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Noto Naskh Arabic" w:hAnsi="Noto Naskh Arabic" w:cs="Noto Naskh Arabic"/>
          <w:sz w:val="48"/>
          <w:szCs w:val="48"/>
          <w:b w:val="1"/>
        </w:rPr>
        <w:t>لَا تَنفُذُونَ إِلَّا بِسُلْطَانٍ</w:t>
      </w:r>
    </w:p>
    <w:p>
      <w:pPr>
        <w:jc w:val="center"/>
        <w:bidi w:val="1"/>
      </w:pPr>
      <w:r>
        <w:rPr>
          <w:rFonts w:ascii="Noto Naskh Arabic" w:hAnsi="Noto Naskh Arabic" w:cs="Noto Naskh Arabic"/>
          <w:sz w:val="28"/>
          <w:szCs w:val="28"/>
          <w:b w:val="1"/>
        </w:rPr>
        <w:t>الوعي الكوكبي والعهد الجديد</w:t>
      </w:r>
    </w:p>
    <w:p>
      <w:pPr>
        <w:jc w:val="center"/>
        <w:bidi w:val="1"/>
      </w:pPr>
      <w:r>
        <w:rPr>
          <w:rFonts w:ascii="Noto Naskh Arabic" w:hAnsi="Noto Naskh Arabic" w:cs="Noto Naskh Arabic"/>
          <w:sz w:val="24"/>
          <w:szCs w:val="24"/>
          <w:b w:val="0"/>
        </w:rPr>
        <w:t>“رحلة العبور من سجن الحرف إلى رحابة الروح.. ومن ضيق الوهم إلى سعة اليقين.”</w:t>
      </w:r>
    </w:p>
    <w:p>
      <w:pPr>
        <w:jc w:val="center"/>
        <w:bidi w:val="1"/>
      </w:pPr>
      <w:r>
        <w:rPr>
          <w:rFonts w:ascii="Noto Naskh Arabic" w:hAnsi="Noto Naskh Arabic" w:cs="Noto Naskh Arabic"/>
          <w:sz w:val="22"/>
          <w:szCs w:val="22"/>
          <w:b w:val="0"/>
        </w:rPr>
        <w:t>بقلم: فراس عساف</w:t>
      </w:r>
    </w:p>
    <w:p>
      <w:pPr>
        <w:jc w:val="center"/>
        <w:bidi w:val="1"/>
      </w:pPr>
      <w:r>
        <w:rPr>
          <w:rFonts w:ascii="Noto Naskh Arabic" w:hAnsi="Noto Naskh Arabic" w:cs="Noto Naskh Arabic"/>
          <w:sz w:val="22"/>
          <w:szCs w:val="22"/>
          <w:b w:val="0"/>
        </w:rPr>
        <w:t>(سلطان المعرفة)</w:t>
      </w:r>
    </w:p>
    <w:p>
      <w:pPr>
        <w:jc w:val="center"/>
        <w:bidi w:val="1"/>
      </w:pPr>
      <w:r>
        <w:rPr>
          <w:rFonts w:ascii="Noto Naskh Arabic" w:hAnsi="Noto Naskh Arabic" w:cs="Noto Naskh Arabic"/>
          <w:sz w:val="22"/>
          <w:szCs w:val="22"/>
          <w:b w:val="0"/>
        </w:rPr>
        <w:t>الطبعة الملحمية الأولى</w:t>
      </w:r>
    </w:p>
    <w:p>
      <w:pPr>
        <w:jc w:val="center"/>
      </w:pPr>
      <w:r>
        <w:rPr>
          <w:rFonts w:ascii="Noto Naskh Arabic" w:hAnsi="Noto Naskh Arabic" w:cs="Noto Naskh Arabic"/>
          <w:sz w:val="22"/>
          <w:szCs w:val="22"/>
          <w:b w:val="0"/>
        </w:rPr>
        <w:t>‎2024 — 2025‎</w:t>
      </w:r>
    </w:p>
    <w:sectPr w:rsidR="00FC693F" w:rsidRPr="0006063C" w:rsidSect="00034616">
      <w:pgSz w:w="8391" w:h="11906"/>
      <w:pgMar w:top="850" w:right="794" w:bottom="90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