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0306D">
      <w:r>
        <w:rPr>
          <w:b/>
          <w:color w:val="003366"/>
          <w:sz w:val="52"/>
        </w:rPr>
        <w:t>CloudSquare (CSQ) Application Intake Platform</w:t>
      </w:r>
      <w:r>
        <w:rPr>
          <w:b/>
          <w:color w:val="003366"/>
          <w:sz w:val="52"/>
        </w:rPr>
        <w:br w:type="textWrapping"/>
      </w:r>
    </w:p>
    <w:p w14:paraId="2313C157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CS Exam</w:t>
      </w:r>
    </w:p>
    <w:p w14:paraId="2F2DF1A1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Firas Khoury</w:t>
      </w:r>
    </w:p>
    <w:p w14:paraId="1ADB0A29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Date: 1/31/2026</w:t>
      </w:r>
    </w:p>
    <w:p w14:paraId="785F9921">
      <w:pPr>
        <w:spacing w:after="160"/>
      </w:pPr>
      <w:bookmarkStart w:id="0" w:name="_GoBack"/>
      <w:bookmarkEnd w:id="0"/>
      <w:r>
        <w:br w:type="textWrapping"/>
      </w:r>
    </w:p>
    <w:p w14:paraId="6ECFB41B">
      <w:r>
        <w:rPr>
          <w:b/>
          <w:color w:val="006699"/>
          <w:sz w:val="32"/>
        </w:rPr>
        <w:t>1. Purpose</w:t>
      </w:r>
    </w:p>
    <w:p w14:paraId="743F3F7D">
      <w:pPr>
        <w:spacing w:after="160"/>
      </w:pPr>
      <w:r>
        <w:br w:type="textWrapping"/>
      </w:r>
      <w:r>
        <w:t>This document describes the steps required to deploy, configure, and test</w:t>
      </w:r>
      <w:r>
        <w:br w:type="textWrapping"/>
      </w:r>
      <w:r>
        <w:t>the CloudSquare Application Intake Platform in a new Salesforce organization.</w:t>
      </w:r>
      <w:r>
        <w:br w:type="textWrapping"/>
      </w:r>
      <w:r>
        <w:t>It is intended for technical reviewers and administrators.</w:t>
      </w:r>
      <w:r>
        <w:br w:type="textWrapping"/>
      </w:r>
    </w:p>
    <w:p w14:paraId="711710EA">
      <w:r>
        <w:rPr>
          <w:b/>
          <w:color w:val="006699"/>
          <w:sz w:val="32"/>
        </w:rPr>
        <w:t>2. Prerequisites</w:t>
      </w:r>
    </w:p>
    <w:p w14:paraId="31C21D38">
      <w:pPr>
        <w:pStyle w:val="23"/>
      </w:pPr>
      <w:r>
        <w:t>Salesforce Developer or Sandbox org</w:t>
      </w:r>
    </w:p>
    <w:p w14:paraId="5A749873">
      <w:pPr>
        <w:pStyle w:val="23"/>
      </w:pPr>
      <w:r>
        <w:t>Visual Studio Code with Salesforce extensions</w:t>
      </w:r>
    </w:p>
    <w:p w14:paraId="190785DC">
      <w:pPr>
        <w:pStyle w:val="23"/>
      </w:pPr>
      <w:r>
        <w:t>Authorized Salesforce CLI connection</w:t>
      </w:r>
    </w:p>
    <w:p w14:paraId="7AB892D8">
      <w:pPr>
        <w:pStyle w:val="23"/>
      </w:pPr>
      <w:r>
        <w:t>Access to GitHub repository</w:t>
      </w:r>
    </w:p>
    <w:p w14:paraId="1CDA157E">
      <w:pPr>
        <w:pStyle w:val="23"/>
      </w:pPr>
      <w:r>
        <w:t>Postman or API testing tool</w:t>
      </w:r>
    </w:p>
    <w:p w14:paraId="72A931EB">
      <w:r>
        <w:rPr>
          <w:b/>
          <w:color w:val="006699"/>
          <w:sz w:val="32"/>
        </w:rPr>
        <w:t>3. Deployment and Dependency Setup</w:t>
      </w:r>
    </w:p>
    <w:p w14:paraId="5C7AE4E3">
      <w:pPr>
        <w:spacing w:after="160"/>
      </w:pPr>
      <w:r>
        <w:t>3.1 Connect to Salesforce</w:t>
      </w:r>
    </w:p>
    <w:p w14:paraId="6511FA54">
      <w:pPr>
        <w:spacing w:after="160"/>
      </w:pPr>
      <w:r>
        <w:t>Authorize the target org in Visual Studio Code using Salesforce CLI.</w:t>
      </w:r>
    </w:p>
    <w:p w14:paraId="2AD1EE18">
      <w:pPr>
        <w:spacing w:after="160"/>
      </w:pPr>
      <w:r>
        <w:t>3.2 Deploy Metadata</w:t>
      </w:r>
    </w:p>
    <w:p w14:paraId="7AC4667F">
      <w:pPr>
        <w:spacing w:after="160"/>
      </w:pPr>
      <w:r>
        <w:t>Copy the following folders into force-app/main/default:</w:t>
      </w:r>
    </w:p>
    <w:p w14:paraId="47C6DCC6">
      <w:pPr>
        <w:pStyle w:val="23"/>
      </w:pPr>
      <w:r>
        <w:t>GlobalValueSets</w:t>
      </w:r>
    </w:p>
    <w:p w14:paraId="1EBAB773">
      <w:pPr>
        <w:pStyle w:val="23"/>
      </w:pPr>
      <w:r>
        <w:t>Objects</w:t>
      </w:r>
    </w:p>
    <w:p w14:paraId="62C0A07F">
      <w:pPr>
        <w:pStyle w:val="23"/>
      </w:pPr>
      <w:r>
        <w:t>Classes</w:t>
      </w:r>
    </w:p>
    <w:p w14:paraId="1ED2CAC9">
      <w:pPr>
        <w:pStyle w:val="23"/>
      </w:pPr>
      <w:r>
        <w:t>lwc</w:t>
      </w:r>
    </w:p>
    <w:p w14:paraId="25034ECC">
      <w:pPr>
        <w:spacing w:after="160"/>
      </w:pPr>
      <w:r>
        <w:t>Deploy in the following order:</w:t>
      </w:r>
    </w:p>
    <w:p w14:paraId="02D3B47C">
      <w:pPr>
        <w:pStyle w:val="23"/>
      </w:pPr>
      <w:r>
        <w:t>GlobalValueSets</w:t>
      </w:r>
    </w:p>
    <w:p w14:paraId="6CF0707E">
      <w:pPr>
        <w:pStyle w:val="23"/>
      </w:pPr>
      <w:r>
        <w:t>Objects</w:t>
      </w:r>
    </w:p>
    <w:p w14:paraId="55A3C755">
      <w:pPr>
        <w:pStyle w:val="23"/>
      </w:pPr>
      <w:r>
        <w:t>Classes</w:t>
      </w:r>
    </w:p>
    <w:p w14:paraId="6B7CAE06">
      <w:pPr>
        <w:pStyle w:val="23"/>
      </w:pPr>
      <w:r>
        <w:t>LWC</w:t>
      </w:r>
    </w:p>
    <w:p w14:paraId="52730679">
      <w:r>
        <w:rPr>
          <w:b/>
          <w:color w:val="006699"/>
          <w:sz w:val="32"/>
        </w:rPr>
        <w:t>4. Experience Cloud Configuration</w:t>
      </w:r>
    </w:p>
    <w:p w14:paraId="04E6A2A9">
      <w:pPr>
        <w:spacing w:after="160"/>
      </w:pPr>
      <w:r>
        <w:t>4.1 Enable Digital Experiences</w:t>
      </w:r>
    </w:p>
    <w:p w14:paraId="79285CD6">
      <w:pPr>
        <w:spacing w:after="160"/>
      </w:pPr>
      <w:r>
        <w:t>Navigate to Setup → Digital Experiences → Settings and enable:</w:t>
      </w:r>
    </w:p>
    <w:p w14:paraId="78442BD8">
      <w:pPr>
        <w:pStyle w:val="23"/>
      </w:pPr>
      <w:r>
        <w:t>Experience Workspaces</w:t>
      </w:r>
    </w:p>
    <w:p w14:paraId="29A585EA">
      <w:pPr>
        <w:pStyle w:val="23"/>
      </w:pPr>
      <w:r>
        <w:t>Use Lightning Web Components on Aura Sites</w:t>
      </w:r>
    </w:p>
    <w:p w14:paraId="45373DA6">
      <w:pPr>
        <w:spacing w:after="160"/>
      </w:pPr>
      <w:r>
        <w:t>4.2 Create Experience Site</w:t>
      </w:r>
    </w:p>
    <w:p w14:paraId="09C60117">
      <w:pPr>
        <w:spacing w:after="160"/>
      </w:pPr>
      <w:r>
        <w:t>Create and open a new site from Digital Experiences → All Sites.</w:t>
      </w:r>
    </w:p>
    <w:p w14:paraId="0F66C294">
      <w:pPr>
        <w:spacing w:after="160"/>
      </w:pPr>
      <w:r>
        <w:t>4.3 Enable Public Access</w:t>
      </w:r>
    </w:p>
    <w:p w14:paraId="5FA0EA2C">
      <w:pPr>
        <w:spacing w:after="160"/>
      </w:pPr>
      <w:r>
        <w:t>Enable Public Access from Builder → Settings → General.</w:t>
      </w:r>
    </w:p>
    <w:p w14:paraId="348FC70D">
      <w:pPr>
        <w:spacing w:after="160"/>
      </w:pPr>
      <w:r>
        <w:t>4.4 Add Application Component</w:t>
      </w:r>
    </w:p>
    <w:p w14:paraId="41811980">
      <w:pPr>
        <w:spacing w:after="160"/>
      </w:pPr>
      <w:r>
        <w:t>Drag cSQ_LWC_PORTAL to the canvas and publish the site.</w:t>
      </w:r>
    </w:p>
    <w:p w14:paraId="162662A6">
      <w:r>
        <w:rPr>
          <w:b/>
          <w:color w:val="006699"/>
          <w:sz w:val="32"/>
        </w:rPr>
        <w:t>5. Guest User Profile Configuration</w:t>
      </w:r>
    </w:p>
    <w:p w14:paraId="42EAC81C">
      <w:pPr>
        <w:spacing w:after="160"/>
      </w:pPr>
      <w:r>
        <w:t>5.1 Enable Apex Class Access</w:t>
      </w:r>
    </w:p>
    <w:p w14:paraId="740E6873">
      <w:pPr>
        <w:pStyle w:val="23"/>
      </w:pPr>
      <w:r>
        <w:t>CSQ_APEX_ApplicationWebhook</w:t>
      </w:r>
    </w:p>
    <w:p w14:paraId="2C341BB6">
      <w:pPr>
        <w:pStyle w:val="23"/>
      </w:pPr>
      <w:r>
        <w:t>CSQ_Service_ApplicationProcessing</w:t>
      </w:r>
    </w:p>
    <w:p w14:paraId="37D3CBF2">
      <w:pPr>
        <w:spacing w:after="160"/>
      </w:pPr>
      <w:r>
        <w:t>5.2 Configure Object Permissions</w:t>
      </w:r>
    </w:p>
    <w:p w14:paraId="012394E8">
      <w:pPr>
        <w:pStyle w:val="23"/>
      </w:pPr>
      <w:r>
        <w:t>Account: Read</w:t>
      </w:r>
      <w:r>
        <w:rPr>
          <w:rFonts w:hint="default"/>
          <w:lang w:val="en-US"/>
        </w:rPr>
        <w:t>, Create</w:t>
      </w:r>
    </w:p>
    <w:p w14:paraId="47AF9318">
      <w:pPr>
        <w:pStyle w:val="23"/>
      </w:pPr>
      <w:r>
        <w:t>Lead: Read, Create</w:t>
      </w:r>
    </w:p>
    <w:p w14:paraId="0F523B74">
      <w:pPr>
        <w:pStyle w:val="23"/>
      </w:pPr>
      <w:r>
        <w:t>Opportunity: Read, Create</w:t>
      </w:r>
    </w:p>
    <w:p w14:paraId="6A383835">
      <w:pPr>
        <w:spacing w:after="160"/>
      </w:pPr>
      <w:r>
        <w:t>5.3 Enable System Permissions</w:t>
      </w:r>
    </w:p>
    <w:p w14:paraId="3EC4D9AC">
      <w:pPr>
        <w:pStyle w:val="23"/>
      </w:pPr>
      <w:r>
        <w:t>Access Apex Class</w:t>
      </w:r>
    </w:p>
    <w:p w14:paraId="25FAE932">
      <w:pPr>
        <w:pStyle w:val="23"/>
      </w:pPr>
      <w:r>
        <w:t>API Enabled</w:t>
      </w:r>
    </w:p>
    <w:p w14:paraId="1BB557F9">
      <w:pPr>
        <w:spacing w:after="160"/>
      </w:pPr>
      <w:r>
        <w:t>5.4 Enable Secure Guest Access</w:t>
      </w:r>
    </w:p>
    <w:p w14:paraId="372AA64F">
      <w:pPr>
        <w:spacing w:after="160"/>
      </w:pPr>
      <w:r>
        <w:t>Enable Secure Guest User Record Access in Sharing Settings.</w:t>
      </w:r>
    </w:p>
    <w:p w14:paraId="17821D7B">
      <w:r>
        <w:rPr>
          <w:b/>
          <w:color w:val="006699"/>
          <w:sz w:val="32"/>
        </w:rPr>
        <w:t>6. Application Testing</w:t>
      </w:r>
    </w:p>
    <w:p w14:paraId="301D3705">
      <w:pPr>
        <w:spacing w:after="160"/>
      </w:pPr>
      <w:r>
        <w:t>6.1 Community Portal Testing</w:t>
      </w:r>
    </w:p>
    <w:p w14:paraId="33E35E2A">
      <w:pPr>
        <w:spacing w:after="160"/>
      </w:pPr>
      <w:r>
        <w:t>Access the site URL in Incognito mode to simulate guest access.</w:t>
      </w:r>
    </w:p>
    <w:p w14:paraId="728D31FA">
      <w:pPr>
        <w:spacing w:after="160"/>
      </w:pPr>
      <w:r>
        <w:t>Expected Behavior:</w:t>
      </w:r>
    </w:p>
    <w:p w14:paraId="559E20DE">
      <w:pPr>
        <w:pStyle w:val="23"/>
      </w:pPr>
      <w:r>
        <w:t>Account match → Opportunity created</w:t>
      </w:r>
    </w:p>
    <w:p w14:paraId="2F36CB86">
      <w:pPr>
        <w:pStyle w:val="23"/>
      </w:pPr>
      <w:r>
        <w:t>No match → Lead created</w:t>
      </w:r>
    </w:p>
    <w:p w14:paraId="78DF2DF5">
      <w:pPr>
        <w:spacing w:after="160"/>
      </w:pPr>
      <w:r>
        <w:t>6.2 Webhook Testing</w:t>
      </w:r>
    </w:p>
    <w:p w14:paraId="74F45720">
      <w:pPr>
        <w:spacing w:after="160"/>
      </w:pPr>
      <w:r>
        <w:t>Endpoint:</w:t>
      </w:r>
    </w:p>
    <w:p w14:paraId="1568FC09">
      <w:pPr>
        <w:spacing w:after="160"/>
      </w:pPr>
      <w:r>
        <w:t>https://SITE_DOMAIN/services/apexrest/cloudsquare/external/applications</w:t>
      </w:r>
    </w:p>
    <w:p w14:paraId="7DA42CE3">
      <w:pPr>
        <w:spacing w:after="160"/>
      </w:pPr>
      <w:r>
        <w:t>Use POST with Content-Type: application/json.</w:t>
      </w:r>
    </w:p>
    <w:p w14:paraId="48640F4F">
      <w:pPr>
        <w:spacing w:after="160"/>
      </w:pPr>
      <w:r>
        <w:t>Sample Payload:</w:t>
      </w:r>
    </w:p>
    <w:p w14:paraId="7DB91DD5">
      <w:pPr>
        <w:spacing w:after="160"/>
      </w:pPr>
      <w:r>
        <w:br w:type="textWrapping"/>
      </w:r>
      <w:r>
        <w:t>{</w:t>
      </w:r>
      <w:r>
        <w:br w:type="textWrapping"/>
      </w:r>
      <w:r>
        <w:t xml:space="preserve">  "organization": {</w:t>
      </w:r>
      <w:r>
        <w:br w:type="textWrapping"/>
      </w:r>
      <w:r>
        <w:t xml:space="preserve">    "legalName": "Test Company",</w:t>
      </w:r>
      <w:r>
        <w:br w:type="textWrapping"/>
      </w:r>
      <w:r>
        <w:t xml:space="preserve">    "taxId": "99887766"</w:t>
      </w:r>
      <w:r>
        <w:br w:type="textWrapping"/>
      </w:r>
      <w:r>
        <w:t xml:space="preserve">  },</w:t>
      </w:r>
      <w:r>
        <w:br w:type="textWrapping"/>
      </w:r>
      <w:r>
        <w:t xml:space="preserve">  "applicant": {</w:t>
      </w:r>
      <w:r>
        <w:br w:type="textWrapping"/>
      </w:r>
      <w:r>
        <w:t xml:space="preserve">    "givenName": "Firas",</w:t>
      </w:r>
      <w:r>
        <w:br w:type="textWrapping"/>
      </w:r>
      <w:r>
        <w:t xml:space="preserve">    "familyName": "Test",</w:t>
      </w:r>
      <w:r>
        <w:br w:type="textWrapping"/>
      </w:r>
      <w:r>
        <w:t xml:space="preserve">    "emailAddress": "firas@test.com",</w:t>
      </w:r>
      <w:r>
        <w:br w:type="textWrapping"/>
      </w:r>
      <w:r>
        <w:t xml:space="preserve">    "phoneNumber": "70123456"</w:t>
      </w:r>
      <w:r>
        <w:br w:type="textWrapping"/>
      </w:r>
      <w:r>
        <w:t xml:space="preserve">  },</w:t>
      </w:r>
      <w:r>
        <w:br w:type="textWrapping"/>
      </w:r>
      <w:r>
        <w:t xml:space="preserve">  "financials": {</w:t>
      </w:r>
      <w:r>
        <w:br w:type="textWrapping"/>
      </w:r>
      <w:r>
        <w:t xml:space="preserve">    "annualRevenue": 100000</w:t>
      </w:r>
      <w:r>
        <w:br w:type="textWrapping"/>
      </w:r>
      <w:r>
        <w:t xml:space="preserve">  }</w:t>
      </w:r>
      <w:r>
        <w:br w:type="textWrapping"/>
      </w:r>
      <w:r>
        <w:t>}</w:t>
      </w:r>
      <w:r>
        <w:br w:type="textWrapping"/>
      </w:r>
    </w:p>
    <w:p w14:paraId="344F182F">
      <w:r>
        <w:rPr>
          <w:rFonts w:hint="default"/>
          <w:b/>
          <w:color w:val="006699"/>
          <w:sz w:val="32"/>
          <w:lang w:val="en-US"/>
        </w:rPr>
        <w:t>7</w:t>
      </w:r>
      <w:r>
        <w:rPr>
          <w:b/>
          <w:color w:val="006699"/>
          <w:sz w:val="32"/>
        </w:rPr>
        <w:t>. Known Limitations</w:t>
      </w:r>
    </w:p>
    <w:p w14:paraId="6FBDB4F9">
      <w:pPr>
        <w:pStyle w:val="23"/>
      </w:pPr>
      <w:r>
        <w:t>No deduplication logic</w:t>
      </w:r>
    </w:p>
    <w:p w14:paraId="66DEC267">
      <w:pPr>
        <w:pStyle w:val="23"/>
      </w:pPr>
      <w:r>
        <w:t>No rate limiting</w:t>
      </w:r>
    </w:p>
    <w:p w14:paraId="42349A8E">
      <w:pPr>
        <w:pStyle w:val="23"/>
      </w:pPr>
      <w:r>
        <w:t>No webhook authentication</w:t>
      </w:r>
    </w:p>
    <w:p w14:paraId="499542A9">
      <w:pPr>
        <w:pStyle w:val="23"/>
      </w:pPr>
      <w:r>
        <w:t>No asynchronous processing</w:t>
      </w:r>
    </w:p>
    <w:p w14:paraId="6D59E1DB">
      <w:r>
        <w:rPr>
          <w:rFonts w:hint="default"/>
          <w:b/>
          <w:color w:val="006699"/>
          <w:sz w:val="32"/>
          <w:lang w:val="en-US"/>
        </w:rPr>
        <w:t>8</w:t>
      </w:r>
      <w:r>
        <w:rPr>
          <w:b/>
          <w:color w:val="006699"/>
          <w:sz w:val="32"/>
        </w:rPr>
        <w:t>. Future Enhancements</w:t>
      </w:r>
    </w:p>
    <w:p w14:paraId="2AE74293">
      <w:pPr>
        <w:pStyle w:val="23"/>
      </w:pPr>
      <w:r>
        <w:t xml:space="preserve">OAuth or </w:t>
      </w:r>
      <w:r>
        <w:rPr>
          <w:rFonts w:hint="default"/>
          <w:lang w:val="en-US"/>
        </w:rPr>
        <w:t xml:space="preserve">proper </w:t>
      </w:r>
      <w:r>
        <w:t>authentication</w:t>
      </w:r>
    </w:p>
    <w:p w14:paraId="2C128745">
      <w:pPr>
        <w:pStyle w:val="23"/>
      </w:pPr>
      <w:r>
        <w:t>Rate limiting</w:t>
      </w:r>
    </w:p>
    <w:p w14:paraId="1E63F605">
      <w:pPr>
        <w:pStyle w:val="23"/>
      </w:pPr>
      <w:r>
        <w:t>Asynchronous processing</w:t>
      </w:r>
    </w:p>
    <w:p w14:paraId="3D4B2F1E">
      <w:pPr>
        <w:pStyle w:val="23"/>
      </w:pPr>
      <w:r>
        <w:t>Bulk ingestion support</w:t>
      </w:r>
    </w:p>
    <w:p w14:paraId="37A4D7EF">
      <w:pPr>
        <w:pStyle w:val="23"/>
      </w:pPr>
      <w:r>
        <w:t>Monitoring and audit logging</w:t>
      </w:r>
    </w:p>
    <w:p w14:paraId="7BF1C2F2">
      <w:pPr>
        <w:pStyle w:val="23"/>
      </w:pPr>
      <w:r>
        <w:t>Deduplication engine</w:t>
      </w:r>
    </w:p>
    <w:p w14:paraId="4A0D0151">
      <w:r>
        <w:rPr>
          <w:rFonts w:hint="default"/>
          <w:b/>
          <w:color w:val="006699"/>
          <w:sz w:val="32"/>
          <w:lang w:val="en-US"/>
        </w:rPr>
        <w:t>9</w:t>
      </w:r>
      <w:r>
        <w:rPr>
          <w:b/>
          <w:color w:val="006699"/>
          <w:sz w:val="32"/>
        </w:rPr>
        <w:t>. Conclusion</w:t>
      </w:r>
    </w:p>
    <w:p w14:paraId="31B44356">
      <w:pPr>
        <w:spacing w:after="160"/>
      </w:pPr>
      <w:r>
        <w:br w:type="textWrapping"/>
      </w:r>
      <w:r>
        <w:t>This guide enables administrators and reviewers to deploy, configure,</w:t>
      </w:r>
      <w:r>
        <w:br w:type="textWrapping"/>
      </w:r>
      <w:r>
        <w:t>and validate the CloudSquare intake platform in a secure and scalable manner.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072DEC"/>
    <w:rsid w:val="7136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Firas</cp:lastModifiedBy>
  <dcterms:modified xsi:type="dcterms:W3CDTF">2026-01-31T17:45:55Z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353BC61807C54F08A8C32CE282C45AA8_12</vt:lpwstr>
  </property>
</Properties>
</file>