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line="240" w:lineRule="auto"/>
        <w:contextualSpacing w:val="false"/>
        <w:rPr>
          <w:rFonts w:cs="Calibri" w:eastAsia="Times New Roman"/>
          <w:b/>
          <w:bCs/>
          <w:sz w:val="24"/>
          <w:szCs w:val="36"/>
        </w:rPr>
      </w:pPr>
      <w:r>
        <w:rPr>
          <w:rFonts w:cs="Calibri" w:eastAsia="Times New Roman"/>
          <w:b/>
          <w:bCs/>
          <w:sz w:val="24"/>
          <w:szCs w:val="36"/>
        </w:rPr>
      </w:r>
    </w:p>
    <w:p>
      <w:pPr>
        <w:pStyle w:val="style0"/>
        <w:spacing w:after="280" w:before="280" w:line="240" w:lineRule="auto"/>
        <w:contextualSpacing/>
        <w:rPr>
          <w:b/>
          <w:i/>
        </w:rPr>
      </w:pPr>
      <w:r>
        <w:rPr>
          <w:b/>
          <w:i/>
        </w:rPr>
        <w:t>Reference</w:t>
      </w:r>
      <w:r>
        <w:rPr>
          <w:b/>
          <w:i/>
        </w:rPr>
        <w:t>s</w:t>
      </w:r>
    </w:p>
    <w:p>
      <w:pPr>
        <w:pStyle w:val="style0"/>
        <w:spacing w:after="280" w:before="280" w:line="240" w:lineRule="auto"/>
        <w:contextualSpacing/>
        <w:rPr/>
      </w:pPr>
      <w:r>
        <w:rPr/>
      </w:r>
    </w:p>
    <w:p>
      <w:pPr>
        <w:pStyle w:val="style0"/>
        <w:spacing w:after="280" w:before="280" w:line="240" w:lineRule="auto"/>
        <w:contextualSpacing/>
        <w:rPr>
          <w:rFonts w:cs="Calibri" w:eastAsia="Times New Roman"/>
          <w:b w:val="false"/>
          <w:bCs w:val="false"/>
          <w:sz w:val="24"/>
          <w:szCs w:val="36"/>
        </w:rPr>
      </w:pPr>
      <w:r>
        <w:rPr>
          <w:rFonts w:cs="Calibri" w:eastAsia="Times New Roman"/>
          <w:b w:val="false"/>
          <w:bCs w:val="false"/>
          <w:sz w:val="24"/>
          <w:szCs w:val="36"/>
        </w:rPr>
        <w:t>Saito, H. 2010. Regulation of cross-talk in yeast MAPK signaling pathways. Saito H. Curr Opin Microbiol. 13(6):677-83.</w:t>
      </w:r>
    </w:p>
    <w:p>
      <w:pPr>
        <w:pStyle w:val="style0"/>
        <w:spacing w:after="280" w:before="280" w:line="240" w:lineRule="auto"/>
        <w:contextualSpacing/>
        <w:rPr>
          <w:rFonts w:cs="Calibri" w:eastAsia="Times New Roman"/>
          <w:b w:val="false"/>
          <w:bCs w:val="false"/>
          <w:sz w:val="24"/>
          <w:szCs w:val="36"/>
        </w:rPr>
      </w:pPr>
      <w:r>
        <w:rPr>
          <w:rFonts w:cs="Calibri" w:eastAsia="Times New Roman"/>
          <w:b w:val="false"/>
          <w:bCs w:val="false"/>
          <w:sz w:val="24"/>
          <w:szCs w:val="36"/>
        </w:rPr>
      </w:r>
    </w:p>
    <w:p>
      <w:pPr>
        <w:pStyle w:val="style0"/>
        <w:spacing w:after="280" w:before="280" w:line="240" w:lineRule="auto"/>
        <w:contextualSpacing/>
        <w:rPr>
          <w:rFonts w:cs="Calibri" w:eastAsia="Times New Roman"/>
          <w:b w:val="false"/>
          <w:bCs w:val="false"/>
          <w:sz w:val="24"/>
          <w:szCs w:val="36"/>
        </w:rPr>
      </w:pPr>
      <w:r>
        <w:rPr>
          <w:rFonts w:cs="Calibri" w:eastAsia="Times New Roman"/>
          <w:b w:val="false"/>
          <w:bCs w:val="false"/>
          <w:sz w:val="24"/>
          <w:szCs w:val="36"/>
        </w:rPr>
        <w:t>Hohmann, S. 2009. Control of high osmolarity signalling in the yeast Saccharomyces cerevisiae. FEBS Lett., 583(24):4025-9.</w:t>
      </w:r>
    </w:p>
    <w:p>
      <w:pPr>
        <w:pStyle w:val="style0"/>
        <w:rPr/>
      </w:pPr>
      <w:r>
        <w:rPr/>
      </w:r>
    </w:p>
    <w:p>
      <w:pPr>
        <w:pStyle w:val="style0"/>
        <w:rPr>
          <w:b/>
          <w:i/>
        </w:rPr>
      </w:pPr>
      <w:r>
        <w:rPr>
          <w:b/>
          <w:i/>
        </w:rPr>
        <w:t>Key Terms (define and, when applicable, give an example from paper)</w:t>
      </w:r>
    </w:p>
    <w:p>
      <w:pPr>
        <w:pStyle w:val="style58"/>
        <w:numPr>
          <w:ilvl w:val="0"/>
          <w:numId w:val="2"/>
        </w:numPr>
        <w:rPr/>
      </w:pPr>
      <w:r>
        <w:rPr/>
        <w:t>Signal transduction pathway</w:t>
      </w:r>
    </w:p>
    <w:p>
      <w:pPr>
        <w:pStyle w:val="style58"/>
        <w:numPr>
          <w:ilvl w:val="0"/>
          <w:numId w:val="2"/>
        </w:numPr>
        <w:rPr/>
      </w:pPr>
      <w:r>
        <w:rPr/>
        <w:t>phosphorylation</w:t>
      </w:r>
    </w:p>
    <w:p>
      <w:pPr>
        <w:pStyle w:val="style58"/>
        <w:numPr>
          <w:ilvl w:val="0"/>
          <w:numId w:val="2"/>
        </w:numPr>
        <w:rPr/>
      </w:pPr>
      <w:r>
        <w:rPr/>
        <w:t>MAP kinase</w:t>
      </w:r>
    </w:p>
    <w:p>
      <w:pPr>
        <w:pStyle w:val="style58"/>
        <w:numPr>
          <w:ilvl w:val="0"/>
          <w:numId w:val="2"/>
        </w:numPr>
        <w:rPr/>
      </w:pPr>
      <w:r>
        <w:rPr/>
        <w:t>Cross-talk</w:t>
      </w:r>
    </w:p>
    <w:p>
      <w:pPr>
        <w:pStyle w:val="style58"/>
        <w:numPr>
          <w:ilvl w:val="0"/>
          <w:numId w:val="2"/>
        </w:numPr>
        <w:rPr/>
      </w:pPr>
      <w:r>
        <w:rPr/>
        <w:t>Pheromone</w:t>
      </w:r>
    </w:p>
    <w:p>
      <w:pPr>
        <w:pStyle w:val="style58"/>
        <w:rPr/>
      </w:pPr>
      <w:r>
        <w:rPr/>
      </w:r>
    </w:p>
    <w:p>
      <w:pPr>
        <w:pStyle w:val="style0"/>
        <w:rPr>
          <w:b/>
          <w:i/>
        </w:rPr>
      </w:pPr>
      <w:r>
        <w:rPr>
          <w:b/>
          <w:i/>
        </w:rPr>
        <w:t>Questions</w:t>
      </w:r>
    </w:p>
    <w:p>
      <w:pPr>
        <w:pStyle w:val="style58"/>
        <w:numPr>
          <w:ilvl w:val="0"/>
          <w:numId w:val="3"/>
        </w:numPr>
        <w:rPr/>
      </w:pPr>
      <w:r>
        <w:rPr/>
        <w:t>Compare and contrast the three yeast MAPK modules (pheromone, FG, HOG) described in this paper. What are the components of these modules? How is each module activated and what is the downstream result?</w:t>
      </w:r>
    </w:p>
    <w:p>
      <w:pPr>
        <w:pStyle w:val="style58"/>
        <w:rPr/>
      </w:pPr>
      <w:r>
        <w:rPr/>
      </w:r>
    </w:p>
    <w:p>
      <w:pPr>
        <w:pStyle w:val="style58"/>
        <w:numPr>
          <w:ilvl w:val="0"/>
          <w:numId w:val="3"/>
        </w:numPr>
        <w:rPr/>
      </w:pPr>
      <w:r>
        <w:rPr/>
        <w:t>List four general strategies overlapping MAPK modules utilize to avoid cross-talk.</w:t>
      </w:r>
    </w:p>
    <w:p>
      <w:pPr>
        <w:pStyle w:val="style58"/>
        <w:rPr/>
      </w:pPr>
      <w:r>
        <w:rPr/>
      </w:r>
    </w:p>
    <w:p>
      <w:pPr>
        <w:pStyle w:val="style58"/>
        <w:numPr>
          <w:ilvl w:val="0"/>
          <w:numId w:val="3"/>
        </w:numPr>
        <w:rPr/>
      </w:pPr>
      <w:r>
        <w:rPr/>
        <w:t>For each strategy listed above, describe a specific example from the paper.</w:t>
      </w:r>
    </w:p>
    <w:p>
      <w:pPr>
        <w:pStyle w:val="style58"/>
        <w:rPr/>
      </w:pPr>
      <w:r>
        <w:rPr/>
      </w:r>
    </w:p>
    <w:p>
      <w:pPr>
        <w:pStyle w:val="style58"/>
        <w:numPr>
          <w:ilvl w:val="0"/>
          <w:numId w:val="3"/>
        </w:numPr>
        <w:rPr/>
      </w:pPr>
      <w:r>
        <w:rPr/>
        <w:t>The paper by Hohmann emphasizes the fact that there are actually two branches of the HOG pathway that converge on the MAP kinase kinase, Pbs2. With this in mind,  would you predict that  a ste11 mutant be more or less resistant to osmostress than a hog1 mutant? What would you predict the phenotype of the ste11 mutant would be with respect to filamentous growth?</w:t>
      </w:r>
    </w:p>
    <w:p>
      <w:pPr>
        <w:pStyle w:val="style58"/>
        <w:rPr/>
      </w:pPr>
      <w:r>
        <w:rPr/>
      </w:r>
    </w:p>
    <w:p>
      <w:pPr>
        <w:pStyle w:val="style58"/>
        <w:numPr>
          <w:ilvl w:val="0"/>
          <w:numId w:val="3"/>
        </w:numPr>
        <w:spacing w:after="200" w:before="0"/>
        <w:contextualSpacing/>
        <w:rPr/>
      </w:pPr>
      <w:r>
        <w:rPr/>
        <w:t>Considering the crosstalk between the FG and HOG pathways, what do you think the phenotype of a hog1 mutant would be with respect ot filamentous growth?</w:t>
      </w:r>
    </w:p>
    <w:sectPr>
      <w:headerReference r:id="rId2" w:type="default"/>
      <w:type w:val="nextPage"/>
      <w:pgSz w:h="15840" w:w="12240"/>
      <w:pgMar w:bottom="1440" w:footer="0" w:gutter="0" w:header="72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auto"/>
    <w:pitch w:val="variable"/>
  </w:font>
  <w:font w:name="Symbol">
    <w:charset w:val="02"/>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9"/>
      <w:jc w:val="center"/>
      <w:rPr/>
    </w:pPr>
    <w:r>
      <w:rPr/>
      <w:t>NCSSM Mini-term</w:t>
    </w:r>
  </w:p>
  <w:p>
    <w:pPr>
      <w:pStyle w:val="style59"/>
      <w:jc w:val="center"/>
      <w:rPr/>
    </w:pPr>
    <w:r>
      <w:rPr/>
      <w:t>Instructors:  Dr. Paul Magwene and Dr. Amy Schmid</w:t>
    </w:r>
  </w:p>
  <w:p>
    <w:pPr>
      <w:pStyle w:val="style59"/>
      <w:jc w:val="center"/>
      <w:rPr/>
    </w:pPr>
    <w:r>
      <w:rPr/>
      <w:t>Reading Guide</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abstractNum>
  <w:abstractNum w:abstractNumId="3">
    <w:lvl w:ilvl="0">
      <w:start w:val="1"/>
      <w:numFmt w:val="decimal"/>
      <w:lvlText w:val="%1)"/>
      <w:lvlJc w:val="left"/>
      <w:pPr>
        <w:ind w:hanging="360" w:left="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Times New Roman" w:eastAsia="Calibri" w:hAnsi="Calibri"/>
      <w:color w:val="auto"/>
      <w:sz w:val="22"/>
      <w:szCs w:val="22"/>
      <w:lang w:bidi="ar-SA" w:eastAsia="zh-CN" w:val="en-US"/>
    </w:rPr>
  </w:style>
  <w:style w:styleId="style2" w:type="paragraph">
    <w:name w:val="Heading 2"/>
    <w:basedOn w:val="style0"/>
    <w:next w:val="style54"/>
    <w:pPr>
      <w:numPr>
        <w:ilvl w:val="1"/>
        <w:numId w:val="1"/>
      </w:numPr>
      <w:spacing w:after="280" w:before="280" w:line="240" w:lineRule="auto"/>
      <w:contextualSpacing w:val="false"/>
      <w:outlineLvl w:val="1"/>
    </w:pPr>
    <w:rPr>
      <w:rFonts w:ascii="Times New Roman" w:cs="Times New Roman" w:eastAsia="Times New Roman" w:hAnsi="Times New Roman"/>
      <w:b/>
      <w:bCs/>
      <w:sz w:val="36"/>
      <w:szCs w:val="36"/>
    </w:rPr>
  </w:style>
  <w:style w:styleId="style15" w:type="character">
    <w:name w:val="WW8Num1z0"/>
    <w:next w:val="style15"/>
    <w:rPr>
      <w:rFonts w:ascii="Symbol" w:cs="Symbol" w:hAnsi="Symbol"/>
    </w:rPr>
  </w:style>
  <w:style w:styleId="style16" w:type="character">
    <w:name w:val="WW8Num1z2"/>
    <w:next w:val="style16"/>
    <w:rPr>
      <w:rFonts w:ascii="Courier New" w:cs="Courier New" w:hAnsi="Courier New"/>
    </w:rPr>
  </w:style>
  <w:style w:styleId="style17" w:type="character">
    <w:name w:val="WW8Num1z3"/>
    <w:next w:val="style17"/>
    <w:rPr>
      <w:rFonts w:ascii="Wingdings" w:cs="Wingdings" w:hAnsi="Wingdings"/>
    </w:rPr>
  </w:style>
  <w:style w:styleId="style18" w:type="character">
    <w:name w:val="WW8Num2z0"/>
    <w:next w:val="style18"/>
    <w:rPr/>
  </w:style>
  <w:style w:styleId="style19" w:type="character">
    <w:name w:val="WW8Num2z1"/>
    <w:next w:val="style19"/>
    <w:rPr/>
  </w:style>
  <w:style w:styleId="style20" w:type="character">
    <w:name w:val="WW8Num2z2"/>
    <w:next w:val="style20"/>
    <w:rPr/>
  </w:style>
  <w:style w:styleId="style21" w:type="character">
    <w:name w:val="WW8Num2z3"/>
    <w:next w:val="style21"/>
    <w:rPr/>
  </w:style>
  <w:style w:styleId="style22" w:type="character">
    <w:name w:val="WW8Num2z4"/>
    <w:next w:val="style22"/>
    <w:rPr/>
  </w:style>
  <w:style w:styleId="style23" w:type="character">
    <w:name w:val="WW8Num2z5"/>
    <w:next w:val="style23"/>
    <w:rPr/>
  </w:style>
  <w:style w:styleId="style24" w:type="character">
    <w:name w:val="WW8Num2z6"/>
    <w:next w:val="style24"/>
    <w:rPr/>
  </w:style>
  <w:style w:styleId="style25" w:type="character">
    <w:name w:val="WW8Num2z7"/>
    <w:next w:val="style25"/>
    <w:rPr/>
  </w:style>
  <w:style w:styleId="style26" w:type="character">
    <w:name w:val="WW8Num2z8"/>
    <w:next w:val="style26"/>
    <w:rPr/>
  </w:style>
  <w:style w:styleId="style27" w:type="character">
    <w:name w:val="WW8Num3z0"/>
    <w:next w:val="style27"/>
    <w:rPr>
      <w:rFonts w:ascii="Symbol" w:cs="Symbol" w:hAnsi="Symbol"/>
    </w:rPr>
  </w:style>
  <w:style w:styleId="style28" w:type="character">
    <w:name w:val="WW8Num3z1"/>
    <w:next w:val="style28"/>
    <w:rPr>
      <w:rFonts w:ascii="Courier New" w:cs="Courier New" w:hAnsi="Courier New"/>
    </w:rPr>
  </w:style>
  <w:style w:styleId="style29" w:type="character">
    <w:name w:val="WW8Num3z2"/>
    <w:next w:val="style29"/>
    <w:rPr>
      <w:rFonts w:ascii="Wingdings" w:cs="Wingdings" w:hAnsi="Wingdings"/>
    </w:rPr>
  </w:style>
  <w:style w:styleId="style30" w:type="character">
    <w:name w:val="WW8Num4z0"/>
    <w:next w:val="style30"/>
    <w:rPr/>
  </w:style>
  <w:style w:styleId="style31" w:type="character">
    <w:name w:val="WW8Num4z1"/>
    <w:next w:val="style31"/>
    <w:rPr/>
  </w:style>
  <w:style w:styleId="style32" w:type="character">
    <w:name w:val="WW8Num4z2"/>
    <w:next w:val="style32"/>
    <w:rPr/>
  </w:style>
  <w:style w:styleId="style33" w:type="character">
    <w:name w:val="WW8Num4z3"/>
    <w:next w:val="style33"/>
    <w:rPr/>
  </w:style>
  <w:style w:styleId="style34" w:type="character">
    <w:name w:val="WW8Num4z4"/>
    <w:next w:val="style34"/>
    <w:rPr/>
  </w:style>
  <w:style w:styleId="style35" w:type="character">
    <w:name w:val="WW8Num4z5"/>
    <w:next w:val="style35"/>
    <w:rPr/>
  </w:style>
  <w:style w:styleId="style36" w:type="character">
    <w:name w:val="WW8Num4z6"/>
    <w:next w:val="style36"/>
    <w:rPr/>
  </w:style>
  <w:style w:styleId="style37" w:type="character">
    <w:name w:val="WW8Num4z7"/>
    <w:next w:val="style37"/>
    <w:rPr/>
  </w:style>
  <w:style w:styleId="style38" w:type="character">
    <w:name w:val="WW8Num4z8"/>
    <w:next w:val="style38"/>
    <w:rPr/>
  </w:style>
  <w:style w:styleId="style39" w:type="character">
    <w:name w:val="WW8Num5z0"/>
    <w:next w:val="style39"/>
    <w:rPr/>
  </w:style>
  <w:style w:styleId="style40" w:type="character">
    <w:name w:val="WW8Num5z1"/>
    <w:next w:val="style40"/>
    <w:rPr/>
  </w:style>
  <w:style w:styleId="style41" w:type="character">
    <w:name w:val="WW8Num5z2"/>
    <w:next w:val="style41"/>
    <w:rPr/>
  </w:style>
  <w:style w:styleId="style42" w:type="character">
    <w:name w:val="WW8Num5z3"/>
    <w:next w:val="style42"/>
    <w:rPr/>
  </w:style>
  <w:style w:styleId="style43" w:type="character">
    <w:name w:val="WW8Num5z4"/>
    <w:next w:val="style43"/>
    <w:rPr/>
  </w:style>
  <w:style w:styleId="style44" w:type="character">
    <w:name w:val="WW8Num5z5"/>
    <w:next w:val="style44"/>
    <w:rPr/>
  </w:style>
  <w:style w:styleId="style45" w:type="character">
    <w:name w:val="WW8Num5z6"/>
    <w:next w:val="style45"/>
    <w:rPr/>
  </w:style>
  <w:style w:styleId="style46" w:type="character">
    <w:name w:val="WW8Num5z7"/>
    <w:next w:val="style46"/>
    <w:rPr/>
  </w:style>
  <w:style w:styleId="style47" w:type="character">
    <w:name w:val="WW8Num5z8"/>
    <w:next w:val="style47"/>
    <w:rPr/>
  </w:style>
  <w:style w:styleId="style48" w:type="character">
    <w:name w:val="Default Paragraph Font"/>
    <w:next w:val="style48"/>
    <w:rPr/>
  </w:style>
  <w:style w:styleId="style49" w:type="character">
    <w:name w:val="Heading 2 Char"/>
    <w:next w:val="style49"/>
    <w:rPr>
      <w:rFonts w:ascii="Times New Roman" w:cs="Times New Roman" w:eastAsia="Times New Roman" w:hAnsi="Times New Roman"/>
      <w:b/>
      <w:bCs/>
      <w:sz w:val="36"/>
      <w:szCs w:val="36"/>
    </w:rPr>
  </w:style>
  <w:style w:styleId="style50" w:type="character">
    <w:name w:val="Internet Link"/>
    <w:next w:val="style50"/>
    <w:rPr>
      <w:color w:val="0000FF"/>
      <w:u w:val="single"/>
    </w:rPr>
  </w:style>
  <w:style w:styleId="style51" w:type="character">
    <w:name w:val="Header Char"/>
    <w:basedOn w:val="style48"/>
    <w:next w:val="style51"/>
    <w:rPr/>
  </w:style>
  <w:style w:styleId="style52" w:type="character">
    <w:name w:val="Footer Char"/>
    <w:basedOn w:val="style48"/>
    <w:next w:val="style52"/>
    <w:rPr/>
  </w:style>
  <w:style w:styleId="style53" w:type="paragraph">
    <w:name w:val="Heading"/>
    <w:basedOn w:val="style0"/>
    <w:next w:val="style54"/>
    <w:pPr>
      <w:keepNext/>
      <w:spacing w:after="120" w:before="240"/>
      <w:contextualSpacing w:val="false"/>
    </w:pPr>
    <w:rPr>
      <w:rFonts w:ascii="Liberation Sans" w:cs="Lohit Hindi" w:eastAsia="DejaVu Sans" w:hAnsi="Liberation Sans"/>
      <w:sz w:val="28"/>
      <w:szCs w:val="28"/>
    </w:rPr>
  </w:style>
  <w:style w:styleId="style54" w:type="paragraph">
    <w:name w:val="Text Body"/>
    <w:basedOn w:val="style0"/>
    <w:next w:val="style54"/>
    <w:pPr>
      <w:spacing w:after="120" w:before="0"/>
      <w:contextualSpacing w:val="false"/>
    </w:pPr>
    <w:rPr/>
  </w:style>
  <w:style w:styleId="style55" w:type="paragraph">
    <w:name w:val="List"/>
    <w:basedOn w:val="style54"/>
    <w:next w:val="style55"/>
    <w:pPr/>
    <w:rPr>
      <w:rFonts w:cs="Lohit Hindi"/>
    </w:rPr>
  </w:style>
  <w:style w:styleId="style56" w:type="paragraph">
    <w:name w:val="Caption"/>
    <w:basedOn w:val="style0"/>
    <w:next w:val="style56"/>
    <w:pPr>
      <w:suppressLineNumbers/>
      <w:spacing w:after="120" w:before="120"/>
      <w:contextualSpacing w:val="false"/>
    </w:pPr>
    <w:rPr>
      <w:rFonts w:cs="Lohit Hindi"/>
      <w:i/>
      <w:iCs/>
      <w:sz w:val="24"/>
      <w:szCs w:val="24"/>
    </w:rPr>
  </w:style>
  <w:style w:styleId="style57" w:type="paragraph">
    <w:name w:val="Index"/>
    <w:basedOn w:val="style0"/>
    <w:next w:val="style57"/>
    <w:pPr>
      <w:suppressLineNumbers/>
    </w:pPr>
    <w:rPr>
      <w:rFonts w:cs="Lohit Hindi"/>
    </w:rPr>
  </w:style>
  <w:style w:styleId="style58" w:type="paragraph">
    <w:name w:val="List Paragraph"/>
    <w:basedOn w:val="style0"/>
    <w:next w:val="style58"/>
    <w:pPr>
      <w:spacing w:after="200" w:before="0"/>
      <w:ind w:hanging="0" w:left="720" w:right="0"/>
      <w:contextualSpacing/>
    </w:pPr>
    <w:rPr/>
  </w:style>
  <w:style w:styleId="style59" w:type="paragraph">
    <w:name w:val="Header"/>
    <w:basedOn w:val="style0"/>
    <w:next w:val="style59"/>
    <w:pPr>
      <w:tabs>
        <w:tab w:leader="none" w:pos="4680" w:val="center"/>
        <w:tab w:leader="none" w:pos="9360" w:val="right"/>
      </w:tabs>
      <w:spacing w:after="0" w:before="0" w:line="240" w:lineRule="auto"/>
      <w:contextualSpacing w:val="false"/>
    </w:pPr>
    <w:rPr/>
  </w:style>
  <w:style w:styleId="style60" w:type="paragraph">
    <w:name w:val="Footer"/>
    <w:basedOn w:val="style0"/>
    <w:next w:val="style60"/>
    <w:pPr>
      <w:tabs>
        <w:tab w:leader="none" w:pos="4680" w:val="center"/>
        <w:tab w:leader="none" w:pos="9360" w:val="right"/>
      </w:tabs>
      <w:spacing w:after="0" w:before="0" w:line="240" w:lineRule="auto"/>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2013-02-11T19:56:00Z</dcterms:created>
  <dc:creator>hcederholm</dc:creator>
  <cp:lastModifiedBy>Microsoft Office User</cp:lastModifiedBy>
  <dcterms:modified xsi:type="dcterms:W3CDTF">2013-02-11T19:56:00Z</dcterms:modified>
  <cp:revision>2</cp:revision>
</cp:coreProperties>
</file>