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>基于 CIFAR-10 的轻量化目标识别方法及实现</w:t>
      </w:r>
    </w:p>
    <w:p>
      <w:pPr>
        <w:jc w:val="center"/>
      </w:pPr>
      <w:r>
        <w:t>计算机视觉大作业报告</w:t>
      </w:r>
    </w:p>
    <w:p>
      <w:pPr>
        <w:pStyle w:val="Heading1"/>
      </w:pPr>
      <w:r>
        <w:t>摘要</w:t>
      </w:r>
    </w:p>
    <w:p>
      <w:r>
        <w:t>本文围绕 CIFAR-10 图像分类任务，设计并实现基础 CNN 和轻量化 CNN 两类模型。实验从准确率、损失、参数量、模型大小、单张图片推理时间和 FPS 等指标进行比较，并使用无增强、旋转翻转增强、噪声增强和强增强策略分析数据增强对模型泛化能力的影响。在部署部分，本文将训练后的轻量化模型导出为 ONNX 格式，并使用 ONNX Runtime 完成 CPU 环境下的边缘端推理模拟。</w:t>
      </w:r>
    </w:p>
    <w:p>
      <w:r>
        <w:t>关键词：CIFAR-10；图像分类；轻量化 CNN；深度可分离卷积；数据增强；ONNX Runtime</w:t>
      </w:r>
    </w:p>
    <w:p>
      <w:pPr>
        <w:pStyle w:val="Heading1"/>
      </w:pPr>
      <w:r>
        <w:t>第 1 章 绪论</w:t>
      </w:r>
    </w:p>
    <w:p>
      <w:pPr>
        <w:pStyle w:val="Heading2"/>
      </w:pPr>
      <w:r>
        <w:t>1.1 研究背景</w:t>
      </w:r>
    </w:p>
    <w:p>
      <w:r>
        <w:t>目标识别是计算机视觉中的基础任务之一，广泛应用于智能终端、工业检测、自动驾驶和移动机器人等场景。随着模型部署场景逐渐从云端扩展到移动端和边缘设备，模型不仅需要具备较高的识别准确率，还需要满足参数量小、推理速度快和存储开销低等要求。</w:t>
      </w:r>
    </w:p>
    <w:p>
      <w:pPr>
        <w:pStyle w:val="Heading2"/>
      </w:pPr>
      <w:r>
        <w:t>1.2 本文主要工作</w:t>
      </w:r>
    </w:p>
    <w:p>
      <w:r>
        <w:t>• 完成 CIFAR-10 数据集加载、预处理和样本可视化。</w:t>
      </w:r>
    </w:p>
    <w:p>
      <w:r>
        <w:t>• 实现基础 CNN 模型作为对照组。</w:t>
      </w:r>
    </w:p>
    <w:p>
      <w:r>
        <w:t>• 设计基于深度可分离卷积和全局平均池化的轻量化 CNN。</w:t>
      </w:r>
    </w:p>
    <w:p>
      <w:r>
        <w:t>• 补充旋转、翻转、颜色扰动和高斯噪声等数据增强策略。</w:t>
      </w:r>
    </w:p>
    <w:p>
      <w:r>
        <w:t>• 统计模型参数量、模型大小、推理时间、FPS、准确率和损失。</w:t>
      </w:r>
    </w:p>
    <w:p>
      <w:r>
        <w:t>• 导出 ONNX 模型并完成 ONNX Runtime 边缘端推理模拟。</w:t>
      </w:r>
    </w:p>
    <w:p>
      <w:r>
        <w:t>• 本项目选择 CNN 路线，ViT/MobileViT 作为后续扩展方向。</w:t>
      </w:r>
    </w:p>
    <w:p>
      <w:pPr>
        <w:pStyle w:val="Heading1"/>
      </w:pPr>
      <w:r>
        <w:t>第 2 章 数据集与预处理</w:t>
      </w:r>
    </w:p>
    <w:p>
      <w:r>
        <w:t>CIFAR-10 数据集包含 60000 张 32x32 彩色图像，共 10 个类别。其中训练集 50000 张，测试集 10000 张。类别包括 airplane、automobile、bird、cat、deer、dog、frog、horse、ship 和 truck。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策略参数</w:t>
            </w:r>
          </w:p>
        </w:tc>
        <w:tc>
          <w:tcPr>
            <w:tcW w:w="2400" w:type="dxa"/>
          </w:tcPr>
          <w:p>
            <w:r>
              <w:t>数据增强方式</w:t>
            </w:r>
          </w:p>
        </w:tc>
        <w:tc>
          <w:tcPr>
            <w:tcW w:w="2400" w:type="dxa"/>
          </w:tcPr>
          <w:p>
            <w:r>
              <w:t>目的</w:t>
            </w:r>
          </w:p>
        </w:tc>
      </w:tr>
      <w:tr>
        <w:tc>
          <w:tcPr>
            <w:tcW w:w="2400" w:type="dxa"/>
          </w:tcPr>
          <w:p>
            <w:r>
              <w:t>none</w:t>
            </w:r>
          </w:p>
        </w:tc>
        <w:tc>
          <w:tcPr>
            <w:tcW w:w="2400" w:type="dxa"/>
          </w:tcPr>
          <w:p>
            <w:r>
              <w:t>无增强</w:t>
            </w:r>
          </w:p>
        </w:tc>
        <w:tc>
          <w:tcPr>
            <w:tcW w:w="2400" w:type="dxa"/>
          </w:tcPr>
          <w:p>
            <w:r>
              <w:t>基础对照组</w:t>
            </w:r>
          </w:p>
        </w:tc>
      </w:tr>
      <w:tr>
        <w:tc>
          <w:tcPr>
            <w:tcW w:w="2400" w:type="dxa"/>
          </w:tcPr>
          <w:p>
            <w:r>
              <w:t>rotate</w:t>
            </w:r>
          </w:p>
        </w:tc>
        <w:tc>
          <w:tcPr>
            <w:tcW w:w="2400" w:type="dxa"/>
          </w:tcPr>
          <w:p>
            <w:r>
              <w:t>随机裁剪 + 水平翻转 + 随机旋转</w:t>
            </w:r>
          </w:p>
        </w:tc>
        <w:tc>
          <w:tcPr>
            <w:tcW w:w="2400" w:type="dxa"/>
          </w:tcPr>
          <w:p>
            <w:r>
              <w:t>提升位置、方向和角度变化适应能力</w:t>
            </w:r>
          </w:p>
        </w:tc>
      </w:tr>
      <w:tr>
        <w:tc>
          <w:tcPr>
            <w:tcW w:w="2400" w:type="dxa"/>
          </w:tcPr>
          <w:p>
            <w:r>
              <w:t>noise</w:t>
            </w:r>
          </w:p>
        </w:tc>
        <w:tc>
          <w:tcPr>
            <w:tcW w:w="2400" w:type="dxa"/>
          </w:tcPr>
          <w:p>
            <w:r>
              <w:t>随机裁剪 + 水平翻转 + 高斯噪声</w:t>
            </w:r>
          </w:p>
        </w:tc>
        <w:tc>
          <w:tcPr>
            <w:tcW w:w="2400" w:type="dxa"/>
          </w:tcPr>
          <w:p>
            <w:r>
              <w:t>模拟采集噪声，提高鲁棒性</w:t>
            </w:r>
          </w:p>
        </w:tc>
      </w:tr>
      <w:tr>
        <w:tc>
          <w:tcPr>
            <w:tcW w:w="2400" w:type="dxa"/>
          </w:tcPr>
          <w:p>
            <w:r>
              <w:t>strong</w:t>
            </w:r>
          </w:p>
        </w:tc>
        <w:tc>
          <w:tcPr>
            <w:tcW w:w="2400" w:type="dxa"/>
          </w:tcPr>
          <w:p>
            <w:r>
              <w:t>随机裁剪 + 水平翻转 + 随机旋转 + 颜色扰动 + 高斯噪声</w:t>
            </w:r>
          </w:p>
        </w:tc>
        <w:tc>
          <w:tcPr>
            <w:tcW w:w="2400" w:type="dxa"/>
          </w:tcPr>
          <w:p>
            <w:r>
              <w:t>更强扰动，用于验证泛化能力</w:t>
            </w:r>
          </w:p>
        </w:tc>
      </w:tr>
    </w:tbl>
    <w:p>
      <w:r>
        <w:t>其中高斯噪声在 ToTensor() 之后、Normalize() 之前加入，避免对已经标准化后的张量直接加噪。</w:t>
      </w:r>
    </w:p>
    <w:p>
      <w:pPr>
        <w:pStyle w:val="Heading1"/>
      </w:pPr>
      <w:r>
        <w:t>第 3 章 模型设计</w:t>
      </w:r>
    </w:p>
    <w:p>
      <w:pPr>
        <w:pStyle w:val="Heading2"/>
      </w:pPr>
      <w:r>
        <w:t>3.1 基础 CNN 模型</w:t>
      </w:r>
    </w:p>
    <w:p>
      <w:r>
        <w:t>基础 CNN 由三组卷积、ReLU 和最大池化组成，最后通过全连接层输出 10 类分类结果。该模型结构简单，便于作为 baseline 分析后续改进是否有效。</w:t>
      </w:r>
    </w:p>
    <w:p>
      <w:pPr>
        <w:pStyle w:val="Code"/>
      </w:pPr>
      <w:r>
        <w:t>Input 32x32x3 -&gt; Conv -&gt; ReLU -&gt; MaxPool -&gt; Conv -&gt; ReLU -&gt; MaxPool -&gt; Conv -&gt; ReLU -&gt; MaxPool -&gt; FC -&gt; Output</w:t>
      </w:r>
    </w:p>
    <w:p>
      <w:pPr>
        <w:pStyle w:val="Heading2"/>
      </w:pPr>
      <w:r>
        <w:t>3.2 轻量化 CNN 模型</w:t>
      </w:r>
    </w:p>
    <w:p>
      <w:r>
        <w:t>轻量化 CNN 使用深度可分离卷积替代部分标准卷积，并结合 Batch Normalization、Dropout 和 Global Average Pooling 降低参数量与计算开销。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改进方法</w:t>
            </w:r>
          </w:p>
        </w:tc>
        <w:tc>
          <w:tcPr>
            <w:tcW w:w="2400" w:type="dxa"/>
          </w:tcPr>
          <w:p>
            <w:r>
              <w:t>作用</w:t>
            </w:r>
          </w:p>
        </w:tc>
      </w:tr>
      <w:tr>
        <w:tc>
          <w:tcPr>
            <w:tcW w:w="2400" w:type="dxa"/>
          </w:tcPr>
          <w:p>
            <w:r>
              <w:t>深度可分离卷积</w:t>
            </w:r>
          </w:p>
        </w:tc>
        <w:tc>
          <w:tcPr>
            <w:tcW w:w="2400" w:type="dxa"/>
          </w:tcPr>
          <w:p>
            <w:r>
              <w:t>减少卷积层参数量</w:t>
            </w:r>
          </w:p>
        </w:tc>
      </w:tr>
      <w:tr>
        <w:tc>
          <w:tcPr>
            <w:tcW w:w="2400" w:type="dxa"/>
          </w:tcPr>
          <w:p>
            <w:r>
              <w:t>Batch Normalization</w:t>
            </w:r>
          </w:p>
        </w:tc>
        <w:tc>
          <w:tcPr>
            <w:tcW w:w="2400" w:type="dxa"/>
          </w:tcPr>
          <w:p>
            <w:r>
              <w:t>加快训练收敛</w:t>
            </w:r>
          </w:p>
        </w:tc>
      </w:tr>
      <w:tr>
        <w:tc>
          <w:tcPr>
            <w:tcW w:w="2400" w:type="dxa"/>
          </w:tcPr>
          <w:p>
            <w:r>
              <w:t>Dropout</w:t>
            </w:r>
          </w:p>
        </w:tc>
        <w:tc>
          <w:tcPr>
            <w:tcW w:w="2400" w:type="dxa"/>
          </w:tcPr>
          <w:p>
            <w:r>
              <w:t>缓解过拟合</w:t>
            </w:r>
          </w:p>
        </w:tc>
      </w:tr>
      <w:tr>
        <w:tc>
          <w:tcPr>
            <w:tcW w:w="2400" w:type="dxa"/>
          </w:tcPr>
          <w:p>
            <w:r>
              <w:t>Global Average Pooling</w:t>
            </w:r>
          </w:p>
        </w:tc>
        <w:tc>
          <w:tcPr>
            <w:tcW w:w="2400" w:type="dxa"/>
          </w:tcPr>
          <w:p>
            <w:r>
              <w:t>减少全连接层参数量</w:t>
            </w:r>
          </w:p>
        </w:tc>
      </w:tr>
      <w:tr>
        <w:tc>
          <w:tcPr>
            <w:tcW w:w="2400" w:type="dxa"/>
          </w:tcPr>
          <w:p>
            <w:r>
              <w:t>减少通道数</w:t>
            </w:r>
          </w:p>
        </w:tc>
        <w:tc>
          <w:tcPr>
            <w:tcW w:w="2400" w:type="dxa"/>
          </w:tcPr>
          <w:p>
            <w:r>
              <w:t>降低模型计算量</w:t>
            </w:r>
          </w:p>
        </w:tc>
      </w:tr>
    </w:tbl>
    <w:p>
      <w:pPr>
        <w:pStyle w:val="Heading1"/>
      </w:pPr>
      <w:r>
        <w:t>第 4 章 实验设计与实现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项目</w:t>
            </w:r>
          </w:p>
        </w:tc>
        <w:tc>
          <w:tcPr>
            <w:tcW w:w="2400" w:type="dxa"/>
          </w:tcPr>
          <w:p>
            <w:r>
              <w:t>设置</w:t>
            </w:r>
          </w:p>
        </w:tc>
      </w:tr>
      <w:tr>
        <w:tc>
          <w:tcPr>
            <w:tcW w:w="2400" w:type="dxa"/>
          </w:tcPr>
          <w:p>
            <w:r>
              <w:t>编程语言</w:t>
            </w:r>
          </w:p>
        </w:tc>
        <w:tc>
          <w:tcPr>
            <w:tcW w:w="2400" w:type="dxa"/>
          </w:tcPr>
          <w:p>
            <w:r>
              <w:t>Python</w:t>
            </w:r>
          </w:p>
        </w:tc>
      </w:tr>
      <w:tr>
        <w:tc>
          <w:tcPr>
            <w:tcW w:w="2400" w:type="dxa"/>
          </w:tcPr>
          <w:p>
            <w:r>
              <w:t>深度学习框架</w:t>
            </w:r>
          </w:p>
        </w:tc>
        <w:tc>
          <w:tcPr>
            <w:tcW w:w="2400" w:type="dxa"/>
          </w:tcPr>
          <w:p>
            <w:r>
              <w:t>PyTorch</w:t>
            </w:r>
          </w:p>
        </w:tc>
      </w:tr>
      <w:tr>
        <w:tc>
          <w:tcPr>
            <w:tcW w:w="2400" w:type="dxa"/>
          </w:tcPr>
          <w:p>
            <w:r>
              <w:t>数据集</w:t>
            </w:r>
          </w:p>
        </w:tc>
        <w:tc>
          <w:tcPr>
            <w:tcW w:w="2400" w:type="dxa"/>
          </w:tcPr>
          <w:p>
            <w:r>
              <w:t>CIFAR-10</w:t>
            </w:r>
          </w:p>
        </w:tc>
      </w:tr>
      <w:tr>
        <w:tc>
          <w:tcPr>
            <w:tcW w:w="2400" w:type="dxa"/>
          </w:tcPr>
          <w:p>
            <w:r>
              <w:t>图像大小</w:t>
            </w:r>
          </w:p>
        </w:tc>
        <w:tc>
          <w:tcPr>
            <w:tcW w:w="2400" w:type="dxa"/>
          </w:tcPr>
          <w:p>
            <w:r>
              <w:t>32x32</w:t>
            </w:r>
          </w:p>
        </w:tc>
      </w:tr>
      <w:tr>
        <w:tc>
          <w:tcPr>
            <w:tcW w:w="2400" w:type="dxa"/>
          </w:tcPr>
          <w:p>
            <w:r>
              <w:t>训练轮数</w:t>
            </w:r>
          </w:p>
        </w:tc>
        <w:tc>
          <w:tcPr>
            <w:tcW w:w="2400" w:type="dxa"/>
          </w:tcPr>
          <w:p>
            <w:r>
              <w:t>20</w:t>
            </w:r>
          </w:p>
        </w:tc>
      </w:tr>
      <w:tr>
        <w:tc>
          <w:tcPr>
            <w:tcW w:w="2400" w:type="dxa"/>
          </w:tcPr>
          <w:p>
            <w:r>
              <w:t>Batch Size</w:t>
            </w:r>
          </w:p>
        </w:tc>
        <w:tc>
          <w:tcPr>
            <w:tcW w:w="2400" w:type="dxa"/>
          </w:tcPr>
          <w:p>
            <w:r>
              <w:t>64</w:t>
            </w:r>
          </w:p>
        </w:tc>
      </w:tr>
      <w:tr>
        <w:tc>
          <w:tcPr>
            <w:tcW w:w="2400" w:type="dxa"/>
          </w:tcPr>
          <w:p>
            <w:r>
              <w:t>优化器</w:t>
            </w:r>
          </w:p>
        </w:tc>
        <w:tc>
          <w:tcPr>
            <w:tcW w:w="2400" w:type="dxa"/>
          </w:tcPr>
          <w:p>
            <w:r>
              <w:t>Adam</w:t>
            </w:r>
          </w:p>
        </w:tc>
      </w:tr>
      <w:tr>
        <w:tc>
          <w:tcPr>
            <w:tcW w:w="2400" w:type="dxa"/>
          </w:tcPr>
          <w:p>
            <w:r>
              <w:t>学习率</w:t>
            </w:r>
          </w:p>
        </w:tc>
        <w:tc>
          <w:tcPr>
            <w:tcW w:w="2400" w:type="dxa"/>
          </w:tcPr>
          <w:p>
            <w:r>
              <w:t>0.001</w:t>
            </w:r>
          </w:p>
        </w:tc>
      </w:tr>
      <w:tr>
        <w:tc>
          <w:tcPr>
            <w:tcW w:w="2400" w:type="dxa"/>
          </w:tcPr>
          <w:p>
            <w:r>
              <w:t>损失函数</w:t>
            </w:r>
          </w:p>
        </w:tc>
        <w:tc>
          <w:tcPr>
            <w:tcW w:w="2400" w:type="dxa"/>
          </w:tcPr>
          <w:p>
            <w:r>
              <w:t>CrossEntropyLoss</w:t>
            </w:r>
          </w:p>
        </w:tc>
      </w:tr>
      <w:tr>
        <w:tc>
          <w:tcPr>
            <w:tcW w:w="2400" w:type="dxa"/>
          </w:tcPr>
          <w:p>
            <w:r>
              <w:t>设备</w:t>
            </w:r>
          </w:p>
        </w:tc>
        <w:tc>
          <w:tcPr>
            <w:tcW w:w="2400" w:type="dxa"/>
          </w:tcPr>
          <w:p>
            <w:r>
              <w:t>MPS 或 CPU</w:t>
            </w:r>
          </w:p>
        </w:tc>
      </w:tr>
      <w:tr>
        <w:tc>
          <w:tcPr>
            <w:tcW w:w="2400" w:type="dxa"/>
          </w:tcPr>
          <w:p>
            <w:r>
              <w:t>模型数量</w:t>
            </w:r>
          </w:p>
        </w:tc>
        <w:tc>
          <w:tcPr>
            <w:tcW w:w="2400" w:type="dxa"/>
          </w:tcPr>
          <w:p>
            <w:r>
              <w:t>基础 CNN + 轻量化 CNN</w:t>
            </w:r>
          </w:p>
        </w:tc>
      </w:tr>
      <w:tr>
        <w:tc>
          <w:tcPr>
            <w:tcW w:w="2400" w:type="dxa"/>
          </w:tcPr>
          <w:p>
            <w:r>
              <w:t>部署方式</w:t>
            </w:r>
          </w:p>
        </w:tc>
        <w:tc>
          <w:tcPr>
            <w:tcW w:w="2400" w:type="dxa"/>
          </w:tcPr>
          <w:p>
            <w:r>
              <w:t>ONNX + ONNX Runtime CPU 推理模拟</w:t>
            </w:r>
          </w:p>
        </w:tc>
      </w:tr>
    </w:tbl>
    <w:p>
      <w:r>
        <w:t>核心训练命令示例：</w:t>
      </w:r>
    </w:p>
    <w:p>
      <w:pPr>
        <w:pStyle w:val="Code"/>
      </w:pPr>
      <w:r>
        <w:t>python train.py --model lightweight --augment strong --epochs 20 --batch-size 64</w:t>
      </w:r>
    </w:p>
    <w:p>
      <w:pPr>
        <w:pStyle w:val="Heading1"/>
      </w:pPr>
      <w:r>
        <w:t>第 5 章 实验结果与分析</w:t>
      </w:r>
    </w:p>
    <w:p>
      <w:r>
        <w:t>报告生成脚本会自动读取 results/model_compare.csv，并将已有实验结果写入下表。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模型</w:t>
            </w:r>
          </w:p>
        </w:tc>
        <w:tc>
          <w:tcPr>
            <w:tcW w:w="2400" w:type="dxa"/>
          </w:tcPr>
          <w:p>
            <w:r>
              <w:t>增强</w:t>
            </w:r>
          </w:p>
        </w:tc>
        <w:tc>
          <w:tcPr>
            <w:tcW w:w="2400" w:type="dxa"/>
          </w:tcPr>
          <w:p>
            <w:r>
              <w:t>准确率</w:t>
            </w:r>
          </w:p>
        </w:tc>
        <w:tc>
          <w:tcPr>
            <w:tcW w:w="2400" w:type="dxa"/>
          </w:tcPr>
          <w:p>
            <w:r>
              <w:t>损失</w:t>
            </w:r>
          </w:p>
        </w:tc>
        <w:tc>
          <w:tcPr>
            <w:tcW w:w="2400" w:type="dxa"/>
          </w:tcPr>
          <w:p>
            <w:r>
              <w:t>参数量</w:t>
            </w:r>
          </w:p>
        </w:tc>
        <w:tc>
          <w:tcPr>
            <w:tcW w:w="2400" w:type="dxa"/>
          </w:tcPr>
          <w:p>
            <w:r>
              <w:t>模型大小</w:t>
            </w:r>
          </w:p>
        </w:tc>
        <w:tc>
          <w:tcPr>
            <w:tcW w:w="2400" w:type="dxa"/>
          </w:tcPr>
          <w:p>
            <w:r>
              <w:t>推理时间</w:t>
            </w:r>
          </w:p>
        </w:tc>
      </w:tr>
      <w:tr>
        <w:tc>
          <w:tcPr>
            <w:tcW w:w="2400" w:type="dxa"/>
          </w:tcPr>
          <w:p>
            <w:r>
              <w:t>baseline</w:t>
            </w:r>
          </w:p>
        </w:tc>
        <w:tc>
          <w:tcPr>
            <w:tcW w:w="2400" w:type="dxa"/>
          </w:tcPr>
          <w:p>
            <w:r>
              <w:t>none</w:t>
            </w:r>
          </w:p>
        </w:tc>
        <w:tc>
          <w:tcPr>
            <w:tcW w:w="2400" w:type="dxa"/>
          </w:tcPr>
          <w:p>
            <w:r>
              <w:t>0.7758</w:t>
            </w:r>
          </w:p>
        </w:tc>
        <w:tc>
          <w:tcPr>
            <w:tcW w:w="2400" w:type="dxa"/>
          </w:tcPr>
          <w:p>
            <w:r>
              <w:t>1.0069</w:t>
            </w:r>
          </w:p>
        </w:tc>
        <w:tc>
          <w:tcPr>
            <w:tcW w:w="2400" w:type="dxa"/>
          </w:tcPr>
          <w:p>
            <w:r>
              <w:t>620362</w:t>
            </w:r>
          </w:p>
        </w:tc>
        <w:tc>
          <w:tcPr>
            <w:tcW w:w="2400" w:type="dxa"/>
          </w:tcPr>
          <w:p>
            <w:r>
              <w:t>2.371 MB</w:t>
            </w:r>
          </w:p>
        </w:tc>
        <w:tc>
          <w:tcPr>
            <w:tcW w:w="2400" w:type="dxa"/>
          </w:tcPr>
          <w:p>
            <w:r>
              <w:t>0.299 ms</w:t>
            </w:r>
          </w:p>
        </w:tc>
      </w:tr>
      <w:tr>
        <w:tc>
          <w:tcPr>
            <w:tcW w:w="2400" w:type="dxa"/>
          </w:tcPr>
          <w:p>
            <w:r>
              <w:t>baseline</w:t>
            </w:r>
          </w:p>
        </w:tc>
        <w:tc>
          <w:tcPr>
            <w:tcW w:w="2400" w:type="dxa"/>
          </w:tcPr>
          <w:p>
            <w:r>
              <w:t>rotate</w:t>
            </w:r>
          </w:p>
        </w:tc>
        <w:tc>
          <w:tcPr>
            <w:tcW w:w="2400" w:type="dxa"/>
          </w:tcPr>
          <w:p>
            <w:r>
              <w:t>0.7935</w:t>
            </w:r>
          </w:p>
        </w:tc>
        <w:tc>
          <w:tcPr>
            <w:tcW w:w="2400" w:type="dxa"/>
          </w:tcPr>
          <w:p>
            <w:r>
              <w:t>0.5986</w:t>
            </w:r>
          </w:p>
        </w:tc>
        <w:tc>
          <w:tcPr>
            <w:tcW w:w="2400" w:type="dxa"/>
          </w:tcPr>
          <w:p>
            <w:r>
              <w:t>620362</w:t>
            </w:r>
          </w:p>
        </w:tc>
        <w:tc>
          <w:tcPr>
            <w:tcW w:w="2400" w:type="dxa"/>
          </w:tcPr>
          <w:p>
            <w:r>
              <w:t>2.371 MB</w:t>
            </w:r>
          </w:p>
        </w:tc>
        <w:tc>
          <w:tcPr>
            <w:tcW w:w="2400" w:type="dxa"/>
          </w:tcPr>
          <w:p>
            <w:r>
              <w:t>0.259 ms</w:t>
            </w:r>
          </w:p>
        </w:tc>
      </w:tr>
      <w:tr>
        <w:tc>
          <w:tcPr>
            <w:tcW w:w="2400" w:type="dxa"/>
          </w:tcPr>
          <w:p>
            <w:r>
              <w:t>lightweight</w:t>
            </w:r>
          </w:p>
        </w:tc>
        <w:tc>
          <w:tcPr>
            <w:tcW w:w="2400" w:type="dxa"/>
          </w:tcPr>
          <w:p>
            <w:r>
              <w:t>none</w:t>
            </w:r>
          </w:p>
        </w:tc>
        <w:tc>
          <w:tcPr>
            <w:tcW w:w="2400" w:type="dxa"/>
          </w:tcPr>
          <w:p>
            <w:r>
              <w:t>0.7820</w:t>
            </w:r>
          </w:p>
        </w:tc>
        <w:tc>
          <w:tcPr>
            <w:tcW w:w="2400" w:type="dxa"/>
          </w:tcPr>
          <w:p>
            <w:r>
              <w:t>0.6535</w:t>
            </w:r>
          </w:p>
        </w:tc>
        <w:tc>
          <w:tcPr>
            <w:tcW w:w="2400" w:type="dxa"/>
          </w:tcPr>
          <w:p>
            <w:r>
              <w:t>44362</w:t>
            </w:r>
          </w:p>
        </w:tc>
        <w:tc>
          <w:tcPr>
            <w:tcW w:w="2400" w:type="dxa"/>
          </w:tcPr>
          <w:p>
            <w:r>
              <w:t>0.185 MB</w:t>
            </w:r>
          </w:p>
        </w:tc>
        <w:tc>
          <w:tcPr>
            <w:tcW w:w="2400" w:type="dxa"/>
          </w:tcPr>
          <w:p>
            <w:r>
              <w:t>0.938 ms</w:t>
            </w:r>
          </w:p>
        </w:tc>
      </w:tr>
      <w:tr>
        <w:tc>
          <w:tcPr>
            <w:tcW w:w="2400" w:type="dxa"/>
          </w:tcPr>
          <w:p>
            <w:r>
              <w:t>lightweight</w:t>
            </w:r>
          </w:p>
        </w:tc>
        <w:tc>
          <w:tcPr>
            <w:tcW w:w="2400" w:type="dxa"/>
          </w:tcPr>
          <w:p>
            <w:r>
              <w:t>rotate</w:t>
            </w:r>
          </w:p>
        </w:tc>
        <w:tc>
          <w:tcPr>
            <w:tcW w:w="2400" w:type="dxa"/>
          </w:tcPr>
          <w:p>
            <w:r>
              <w:t>0.7791</w:t>
            </w:r>
          </w:p>
        </w:tc>
        <w:tc>
          <w:tcPr>
            <w:tcW w:w="2400" w:type="dxa"/>
          </w:tcPr>
          <w:p>
            <w:r>
              <w:t>0.6556</w:t>
            </w:r>
          </w:p>
        </w:tc>
        <w:tc>
          <w:tcPr>
            <w:tcW w:w="2400" w:type="dxa"/>
          </w:tcPr>
          <w:p>
            <w:r>
              <w:t>44362</w:t>
            </w:r>
          </w:p>
        </w:tc>
        <w:tc>
          <w:tcPr>
            <w:tcW w:w="2400" w:type="dxa"/>
          </w:tcPr>
          <w:p>
            <w:r>
              <w:t>0.185 MB</w:t>
            </w:r>
          </w:p>
        </w:tc>
        <w:tc>
          <w:tcPr>
            <w:tcW w:w="2400" w:type="dxa"/>
          </w:tcPr>
          <w:p>
            <w:r>
              <w:t>1.177 ms</w:t>
            </w:r>
          </w:p>
        </w:tc>
      </w:tr>
    </w:tbl>
    <w:p>
      <w:pPr>
        <w:pStyle w:val="Heading2"/>
      </w:pPr>
      <w:r>
        <w:t>5.1 轻量化效果分析</w:t>
      </w:r>
    </w:p>
    <w:p>
      <w:r>
        <w:t>• baseline 参数量约 620k，lightweight 参数量约 44k，参数量减少约 92.85%。</w:t>
      </w:r>
    </w:p>
    <w:p>
      <w:r>
        <w:t>• 模型大小从约 2.37 MB 降至约 0.185 MB，减少约 92.18%。</w:t>
      </w:r>
    </w:p>
    <w:p>
      <w:r>
        <w:t>• 在已有实验中，baseline 测试准确率约 0.7935，lightweight 测试准确率约 0.7791，轻量化模型以明显更小的体积保持了接近的识别能力。</w:t>
      </w:r>
    </w:p>
    <w:p>
      <w:pPr>
        <w:pStyle w:val="Heading2"/>
      </w:pPr>
      <w:r>
        <w:t>5.2 数据增强分析</w:t>
      </w:r>
    </w:p>
    <w:p>
      <w:r>
        <w:t>从已有结果看，baseline CNN 在 rotate 策略下准确率高于无增强策略，说明裁剪、翻转和旋转有助于提升泛化能力。新增的 noise 和 strong 策略已经在代码中支持，可继续运行完整 20 epoch 实验补充对比。</w:t>
      </w:r>
    </w:p>
    <w:p>
      <w:pPr>
        <w:pStyle w:val="Heading1"/>
      </w:pPr>
      <w:r>
        <w:t>第 6 章 ONNX Runtime 边缘端推理模拟</w:t>
      </w:r>
    </w:p>
    <w:p>
      <w:r>
        <w:t>本文采用 ONNX 导出和 ONNX Runtime 推理测试模拟边缘端部署。该流程可以验证 PyTorch 模型能否脱离训练框架运行，并统计 CPU 环境下的单张图像推理时间。ONNX 模型可迁移到树莓派、普通 CPU 设备或移动端 ONNX Runtime 环境。</w:t>
      </w:r>
    </w:p>
    <w:p>
      <w:pPr>
        <w:pStyle w:val="Code"/>
      </w:pPr>
      <w:r>
        <w:t>python export_onnx.py --model lightweight --checkpoint checkpoints/lightweight_rotate.pth --output checkpoints/lightweight_cnn.onnx</w:t>
      </w:r>
    </w:p>
    <w:p>
      <w:pPr>
        <w:pStyle w:val="Code"/>
      </w:pPr>
      <w:r>
        <w:t>python infer_onnx.py --onnx checkpoints/lightweight_cnn.onnx --repeat 20</w:t>
      </w:r>
    </w:p>
    <w:p>
      <w:r>
        <w:t>当前项目完成 ONNX 导出与 ONNX Runtime CPU 推理验证，不声明已经完成 Android/iOS 真机部署。</w:t>
      </w:r>
    </w:p>
    <w:p>
      <w:pPr>
        <w:pStyle w:val="Heading1"/>
      </w:pPr>
      <w:r>
        <w:t>第 7 章 不足与改进方向</w:t>
      </w:r>
    </w:p>
    <w:p>
      <w:r>
        <w:t>• 当前未实现真实 Android/iOS App，仅完成 ONNX Runtime CPU 推理模拟。</w:t>
      </w:r>
    </w:p>
    <w:p>
      <w:r>
        <w:t>• 当前未实现 ViT 或 MobileViT，后续可扩展小型 ViT/MobileViT 结构进行对比。</w:t>
      </w:r>
    </w:p>
    <w:p>
      <w:r>
        <w:t>• 后续可尝试模型量化、剪枝、知识蒸馏，进一步压缩模型体积和提升边缘端速度。</w:t>
      </w:r>
    </w:p>
    <w:p>
      <w:r>
        <w:t>• 后续可在树莓派上进行真实硬件实测，记录端侧推理延迟、功耗和稳定性。</w:t>
      </w:r>
    </w:p>
    <w:p>
      <w:pPr>
        <w:pStyle w:val="Heading1"/>
      </w:pPr>
      <w:r>
        <w:t>第 8 章 总结</w:t>
      </w:r>
    </w:p>
    <w:p>
      <w:r>
        <w:t>本文实现了基于 CIFAR-10 的轻量化目标识别系统。通过模型结构对比、数据增强策略扩展、指标统计和 ONNX Runtime 推理模拟，项目覆盖了课程题目中关于数据集、CNN 模型、结构对比、增强策略和边缘端部署的核心要求。</w:t>
      </w:r>
    </w:p>
    <w:p>
      <w:pPr>
        <w:pStyle w:val="Heading1"/>
      </w:pPr>
      <w:r>
        <w:t>参考文献</w:t>
      </w:r>
    </w:p>
    <w:p>
      <w:r>
        <w:t>[1] Krizhevsky A. Learning Multiple Layers of Features from Tiny Images, 2009.</w:t>
      </w:r>
    </w:p>
    <w:p>
      <w:r>
        <w:t>[2] Howard A. G. et al. MobileNets: Efficient Convolutional Neural Networks for Mobile Vision Applications, 2017.</w:t>
      </w:r>
    </w:p>
    <w:p>
      <w:r>
        <w:t>[3] PyTorch Documentation. https://pytorch.org/docs/</w:t>
      </w:r>
    </w:p>
    <w:p>
      <w:r>
        <w:t>[4] ONNX Runtime Documentation. https://onnxruntime.ai/docs/</w:t>
      </w:r>
    </w:p>
    <w:sectPr>
      <w:pgSz w:w="11906" w:h="16838"/>
      <w:pgMar w:top="1247" w:right="1417" w:bottom="1247" w:left="1417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eastAsia="宋体"/>
      <w:sz w:val="21"/>
    </w:rPr>
  </w:style>
  <w:style w:type="paragraph" w:styleId="Title">
    <w:name w:val="Title"/>
    <w:pPr>
      <w:jc w:val="center"/>
    </w:pPr>
    <w:rPr>
      <w:b/>
      <w:rFonts w:ascii="Times New Roman" w:eastAsia="黑体"/>
      <w:sz w:val="36"/>
    </w:rPr>
  </w:style>
  <w:style w:type="paragraph" w:styleId="Heading1">
    <w:name w:val="heading 1"/>
    <w:basedOn w:val="Normal"/>
    <w:next w:val="Normal"/>
    <w:rPr>
      <w:b/>
      <w:rFonts w:ascii="Times New Roman" w:eastAsia="黑体"/>
      <w:sz w:val="32"/>
    </w:rPr>
  </w:style>
  <w:style w:type="paragraph" w:styleId="Heading2">
    <w:name w:val="heading 2"/>
    <w:basedOn w:val="Normal"/>
    <w:next w:val="Normal"/>
    <w:rPr>
      <w:b/>
      <w:rFonts w:ascii="Times New Roman" w:eastAsia="黑体"/>
      <w:sz w:val="26"/>
    </w:rPr>
  </w:style>
  <w:style w:type="paragraph" w:styleId="Code">
    <w:name w:val="Code"/>
    <w:basedOn w:val="Normal"/>
    <w:rPr>
      <w:rFonts w:ascii="Courier New" w:eastAsia="Courier New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基于 CIFAR-10 的轻量化目标识别方法及实现</dc:title>
  <dc:creator>Codex</dc:creator>
  <dcterms:created xsi:type="dcterms:W3CDTF">2026-06-08T03:36:53.726984+00:00</dcterms:created>
  <dcterms:modified xsi:type="dcterms:W3CDTF">2026-06-08T03:36:53.726984+00:00</dcterms:modified>
</cp:coreProperties>
</file>