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57"/>
          <w:sz w:val="44"/>
          <w:szCs w:val="44"/>
          <w:rtl w:val="0"/>
        </w:rPr>
        <w:t xml:space="preserve">FIRDAUS BASHIR AHMED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7a72"/>
          <w:sz w:val="24"/>
          <w:szCs w:val="24"/>
          <w:rtl w:val="0"/>
        </w:rPr>
        <w:t xml:space="preserve">Senior Software Engineer — Power Platform, Power BI &amp; Generative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d9d9d9" w:space="6" w:sz="6" w:val="single"/>
        </w:pBd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3d3d3d"/>
          <w:sz w:val="19"/>
          <w:szCs w:val="19"/>
          <w:rtl w:val="0"/>
        </w:rPr>
        <w:t xml:space="preserve">Hyderabad, India   |   +91 9890527264   |   firdausahmed2@gmail.com   |   </w:t>
      </w:r>
      <w:hyperlink r:id="rId7">
        <w:r w:rsidDel="00000000" w:rsidR="00000000" w:rsidRPr="00000000">
          <w:rPr>
            <w:rFonts w:ascii="Calibri" w:cs="Calibri" w:eastAsia="Calibri" w:hAnsi="Calibri"/>
            <w:color w:val="1b7a72"/>
            <w:sz w:val="19"/>
            <w:szCs w:val="19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b7a72" w:space="4" w:sz="8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57"/>
          <w:sz w:val="21"/>
          <w:szCs w:val="2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3d3d3d"/>
          <w:sz w:val="20"/>
          <w:szCs w:val="20"/>
          <w:rtl w:val="0"/>
        </w:rPr>
        <w:t xml:space="preserve">Results-driven Senior Software Engineer with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3d3d"/>
          <w:sz w:val="20"/>
          <w:szCs w:val="20"/>
          <w:rtl w:val="0"/>
        </w:rPr>
        <w:t xml:space="preserve">11+ years</w:t>
      </w:r>
      <w:r w:rsidDel="00000000" w:rsidR="00000000" w:rsidRPr="00000000">
        <w:rPr>
          <w:rFonts w:ascii="Calibri" w:cs="Calibri" w:eastAsia="Calibri" w:hAnsi="Calibri"/>
          <w:color w:val="3d3d3d"/>
          <w:sz w:val="20"/>
          <w:szCs w:val="20"/>
          <w:rtl w:val="0"/>
        </w:rPr>
        <w:t xml:space="preserve"> of experience architecting and delivering enterprise solutions across the Microsoft Power Platform, Power BI, and Generative AI. Currently leading a 4-member team at PwC, driving performance optimization, Generative AI integration, and stakeholder-facing BI delivery. Proven track record of building scalable Canvas Apps, Model-Driven Apps, and Power Automate solutions for global clients including PwC, TietoEvry, Capgemini, and Cognizant. Skilled in data modeling, DAX, T-SQL, and BI reporting, with hands-on R&amp;D experience on Microsoft Fabric. Recognized for strong stakeholder management, mentoring, and translating business requirements into high-performance technical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b7a72" w:space="4" w:sz="8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57"/>
          <w:sz w:val="21"/>
          <w:szCs w:val="21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57"/>
          <w:sz w:val="20"/>
          <w:szCs w:val="20"/>
          <w:rtl w:val="0"/>
        </w:rPr>
        <w:t xml:space="preserve">Generative AI: </w:t>
      </w:r>
      <w:r w:rsidDel="00000000" w:rsidR="00000000" w:rsidRPr="00000000">
        <w:rPr>
          <w:rFonts w:ascii="Calibri" w:cs="Calibri" w:eastAsia="Calibri" w:hAnsi="Calibri"/>
          <w:color w:val="3d3d3d"/>
          <w:sz w:val="20"/>
          <w:szCs w:val="20"/>
          <w:rtl w:val="0"/>
        </w:rPr>
        <w:t xml:space="preserve">Copilot Studio, Gen AI integration with Power Apps, Prompt-driven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57"/>
          <w:sz w:val="20"/>
          <w:szCs w:val="20"/>
          <w:rtl w:val="0"/>
        </w:rPr>
        <w:t xml:space="preserve">Power Platform: </w:t>
      </w:r>
      <w:r w:rsidDel="00000000" w:rsidR="00000000" w:rsidRPr="00000000">
        <w:rPr>
          <w:rFonts w:ascii="Calibri" w:cs="Calibri" w:eastAsia="Calibri" w:hAnsi="Calibri"/>
          <w:color w:val="3d3d3d"/>
          <w:sz w:val="20"/>
          <w:szCs w:val="20"/>
          <w:rtl w:val="0"/>
        </w:rPr>
        <w:t xml:space="preserve">Power Apps (Canvas &amp; Model-Driven), Power Automate, Power Virtual Agents, Dataverse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57"/>
          <w:sz w:val="20"/>
          <w:szCs w:val="20"/>
          <w:rtl w:val="0"/>
        </w:rPr>
        <w:t xml:space="preserve">Business Intelligence: </w:t>
      </w:r>
      <w:r w:rsidDel="00000000" w:rsidR="00000000" w:rsidRPr="00000000">
        <w:rPr>
          <w:rFonts w:ascii="Calibri" w:cs="Calibri" w:eastAsia="Calibri" w:hAnsi="Calibri"/>
          <w:color w:val="3d3d3d"/>
          <w:sz w:val="20"/>
          <w:szCs w:val="20"/>
          <w:rtl w:val="0"/>
        </w:rPr>
        <w:t xml:space="preserve">Power BI, DAX, Data Modeling, SSRS, Microsoft Fabric (R&amp;D)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57"/>
          <w:sz w:val="20"/>
          <w:szCs w:val="20"/>
          <w:rtl w:val="0"/>
        </w:rPr>
        <w:t xml:space="preserve">Data Engineering: </w:t>
      </w:r>
      <w:r w:rsidDel="00000000" w:rsidR="00000000" w:rsidRPr="00000000">
        <w:rPr>
          <w:rFonts w:ascii="Calibri" w:cs="Calibri" w:eastAsia="Calibri" w:hAnsi="Calibri"/>
          <w:color w:val="3d3d3d"/>
          <w:sz w:val="20"/>
          <w:szCs w:val="20"/>
          <w:rtl w:val="0"/>
        </w:rPr>
        <w:t xml:space="preserve">SSIS, T-SQL (stored procedures, joins, sub-queries), Azure SQL Server, Data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57"/>
          <w:sz w:val="20"/>
          <w:szCs w:val="20"/>
          <w:rtl w:val="0"/>
        </w:rPr>
        <w:t xml:space="preserve">Tools &amp; Platforms: </w:t>
      </w:r>
      <w:r w:rsidDel="00000000" w:rsidR="00000000" w:rsidRPr="00000000">
        <w:rPr>
          <w:rFonts w:ascii="Calibri" w:cs="Calibri" w:eastAsia="Calibri" w:hAnsi="Calibri"/>
          <w:color w:val="3d3d3d"/>
          <w:sz w:val="20"/>
          <w:szCs w:val="20"/>
          <w:rtl w:val="0"/>
        </w:rPr>
        <w:t xml:space="preserve">SharePoint, Microsoft Forms Pro, Azure DevOps, Dynamics 365,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57"/>
          <w:sz w:val="20"/>
          <w:szCs w:val="20"/>
          <w:rtl w:val="0"/>
        </w:rPr>
        <w:t xml:space="preserve">Professional: </w:t>
      </w:r>
      <w:r w:rsidDel="00000000" w:rsidR="00000000" w:rsidRPr="00000000">
        <w:rPr>
          <w:rFonts w:ascii="Calibri" w:cs="Calibri" w:eastAsia="Calibri" w:hAnsi="Calibri"/>
          <w:color w:val="3d3d3d"/>
          <w:sz w:val="20"/>
          <w:szCs w:val="20"/>
          <w:rtl w:val="0"/>
        </w:rPr>
        <w:t xml:space="preserve">Requirement analysis, Solution architecture, Team mentoring, Agile delivery, Stakeholder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b7a72" w:space="4" w:sz="8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57"/>
          <w:sz w:val="21"/>
          <w:szCs w:val="2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PL-300 — Microsoft Certified: Power BI Data Analyst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PL-900 — Microsoft Certified: Power Platform Fundamentals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>
          <w:rFonts w:ascii="Calibri" w:cs="Calibri" w:eastAsia="Calibri" w:hAnsi="Calibri"/>
          <w:color w:val="3d3d3d"/>
          <w:u w:val="none"/>
        </w:rPr>
      </w:pPr>
      <w:r w:rsidDel="00000000" w:rsidR="00000000" w:rsidRPr="00000000">
        <w:rPr>
          <w:rFonts w:ascii="Calibri" w:cs="Calibri" w:eastAsia="Calibri" w:hAnsi="Calibri"/>
          <w:color w:val="3d3d3d"/>
          <w:rtl w:val="0"/>
        </w:rPr>
        <w:t xml:space="preserve">In Progress - PL 600 and Claude Certified Developer – Foundations (CCDV-F)</w:t>
      </w:r>
    </w:p>
    <w:p w:rsidR="00000000" w:rsidDel="00000000" w:rsidP="00000000" w:rsidRDefault="00000000" w:rsidRPr="00000000" w14:paraId="00000011">
      <w:pPr>
        <w:pBdr>
          <w:bottom w:color="1b7a72" w:space="4" w:sz="8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57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57"/>
          <w:sz w:val="23"/>
          <w:szCs w:val="23"/>
          <w:rtl w:val="0"/>
        </w:rPr>
        <w:t xml:space="preserve">PricewaterhouseCoopers (PwC), Hyderabad SDC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7a72"/>
          <w:sz w:val="19"/>
          <w:szCs w:val="19"/>
          <w:rtl w:val="0"/>
        </w:rPr>
        <w:t xml:space="preserve">May 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3d3d"/>
          <w:sz w:val="20"/>
          <w:szCs w:val="20"/>
          <w:rtl w:val="0"/>
        </w:rPr>
        <w:t xml:space="preserve">Senior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d3d3d"/>
          <w:rtl w:val="0"/>
        </w:rPr>
        <w:t xml:space="preserve">Associate II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e6e6e"/>
          <w:sz w:val="20"/>
          <w:szCs w:val="20"/>
          <w:rtl w:val="0"/>
        </w:rPr>
        <w:t xml:space="preserve"> |  Hyderabad,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7a72"/>
          <w:rtl w:val="0"/>
        </w:rPr>
        <w:t xml:space="preserve">Current Project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e6e6e"/>
          <w:sz w:val="18"/>
          <w:szCs w:val="18"/>
          <w:rtl w:val="0"/>
        </w:rPr>
        <w:t xml:space="preserve">  —  Generative AI (Azure OpenAI), Power Apps, Power Automate, Dataverse, SharePoint, Azure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Led a team of 4 engineers delivering a Canvas App workflow for audit document review and approval, from requirement analysis through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Cut CRUD operation overhead by implementing Dataverse plugins, improving app read/write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Boosted app performance and maintainability by resolving flagged issues and reducing Power Apps Checker warning 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Implemented pagination for large data volumes, enabling smooth navigation without performance degradation.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Improved Power Automate flow speed by adopting a FetchXML-based querying approach for Dataverse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Integrated Generative AI via the Azure OpenAI connector in Power Automate to auto-summarize audit documents, cutting manual review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Built Power BI dashboards aligned to stakeholder reporting requirements for engagement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7a72"/>
          <w:rtl w:val="0"/>
        </w:rPr>
        <w:t xml:space="preserve">Previous Projects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e6e6e"/>
          <w:sz w:val="18"/>
          <w:szCs w:val="18"/>
          <w:rtl w:val="0"/>
        </w:rPr>
        <w:t xml:space="preserve">  —  Power BI, Power Automate, Dataflows, Dataverse, Power Apps, DAX, Azure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Delivered a 9-screen Canvas App with a companion Model-Driven App for admins, capturing client and audit engagement inputs for 100+ end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Designed the Dataverse data model and built Power BI dashboards with DAX measures for pre-engagement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Built Data Flows to move data from Excel into Dataverse and configured SharePoint-based role and permission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26"/>
        </w:tabs>
        <w:spacing w:after="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57"/>
          <w:sz w:val="23"/>
          <w:szCs w:val="23"/>
          <w:rtl w:val="0"/>
        </w:rPr>
        <w:t xml:space="preserve">TietoEvry India Private Limited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7a72"/>
          <w:sz w:val="19"/>
          <w:szCs w:val="19"/>
          <w:rtl w:val="0"/>
        </w:rPr>
        <w:t xml:space="preserve">Jul 2018 – 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3d3d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d3d3d"/>
          <w:sz w:val="20"/>
          <w:szCs w:val="20"/>
          <w:rtl w:val="0"/>
        </w:rPr>
        <w:t xml:space="preserve">, Power Platform &amp; Power BI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e6e6e"/>
          <w:sz w:val="20"/>
          <w:szCs w:val="20"/>
          <w:rtl w:val="0"/>
        </w:rPr>
        <w:t xml:space="preserve">  | Pune,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Led development of enterprise Power BI dashboards (TED Project) giving leadership a consolidated, real-time view of company-wide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Orchestrated end-to-end solutions across Power BI, Power Apps, Power Automate, SQL Server and Forms Pro, and embedded Power Apps within Power BI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Built OLAP cubes and aggregated measures in AOT for Boliden, a global metals and mining client, and embedded Power BI reporting into their Dynamics 365 ERP.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Designed SSIS pipelines to load Dynamics 365 BYOD data into the enterprise warehouse for Sodra, and delivered a Power BI–embedded PowerApp for internal KPI-based project surveys.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Mentored and trained junior engineers on the Power Platform, and managed dev/test/prod environment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026"/>
        </w:tabs>
        <w:spacing w:after="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57"/>
          <w:sz w:val="23"/>
          <w:szCs w:val="23"/>
          <w:rtl w:val="0"/>
        </w:rPr>
        <w:t xml:space="preserve">Capgemini India Pvt. Ltd.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7a72"/>
          <w:sz w:val="19"/>
          <w:szCs w:val="19"/>
          <w:rtl w:val="0"/>
        </w:rPr>
        <w:t xml:space="preserve">Apr 2017 – Jun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3d3d"/>
          <w:rtl w:val="0"/>
        </w:rPr>
        <w:t xml:space="preserve">Associate Consultant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d3d3d"/>
          <w:sz w:val="20"/>
          <w:szCs w:val="20"/>
          <w:rtl w:val="0"/>
        </w:rPr>
        <w:t xml:space="preserve"> — Power BI &amp; SSIS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e6e6e"/>
          <w:sz w:val="20"/>
          <w:szCs w:val="20"/>
          <w:rtl w:val="0"/>
        </w:rPr>
        <w:t xml:space="preserve">  |  Pune,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Built and optimized SSIS packages to load client Excel data into a SQL Server warehouse for one of the world's largest mining companies, and developed Power BI reports refined against client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Guided new team members and received the Rising Star Award (August 2017) for outstanding contribution.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26"/>
        </w:tabs>
        <w:spacing w:after="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57"/>
          <w:sz w:val="23"/>
          <w:szCs w:val="23"/>
          <w:rtl w:val="0"/>
        </w:rPr>
        <w:t xml:space="preserve">Cognizant Technology Solutions Pvt. Ltd.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7a72"/>
          <w:sz w:val="19"/>
          <w:szCs w:val="19"/>
          <w:rtl w:val="0"/>
        </w:rPr>
        <w:t xml:space="preserve">Jul 2014 – Jan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3d3d"/>
          <w:rtl w:val="0"/>
        </w:rPr>
        <w:t xml:space="preserve">Programmer Analyst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d3d3d"/>
          <w:sz w:val="20"/>
          <w:szCs w:val="20"/>
          <w:rtl w:val="0"/>
        </w:rPr>
        <w:t xml:space="preserve"> — MSBI Developer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e6e6e"/>
          <w:sz w:val="20"/>
          <w:szCs w:val="20"/>
          <w:rtl w:val="0"/>
        </w:rPr>
        <w:t xml:space="preserve">  |  Pun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e6e6e"/>
          <w:rtl w:val="0"/>
        </w:rPr>
        <w:t xml:space="preserve">e,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e6e6e"/>
          <w:sz w:val="20"/>
          <w:szCs w:val="20"/>
          <w:rtl w:val="0"/>
        </w:rPr>
        <w:t xml:space="preserve">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Analyzed requirements and delivered an ETL-driven data warehouse (SSIS, dimensional modeling) for a British Telecom managed-services client covering TV, landline, mobile and broadband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Designed, developed and tested ETL scripts in SQL and C#.NET, and built SSRS reports to meet client reporting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1b7a72" w:space="4" w:sz="8" w:val="single"/>
        </w:pBd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b57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Master of Computer Applications (MCA)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 — Sinhgad Institute of Management, Pune University, Pune (2014) —</w:t>
      </w:r>
      <w:r w:rsidDel="00000000" w:rsidR="00000000" w:rsidRPr="00000000">
        <w:rPr>
          <w:rFonts w:ascii="Calibri" w:cs="Calibri" w:eastAsia="Calibri" w:hAnsi="Calibri"/>
          <w:color w:val="3d3d3d"/>
          <w:rtl w:val="0"/>
        </w:rPr>
        <w:t xml:space="preserve">70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B.Sc. Computer Science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 — Vivekanand College, Shivaji University, Kolhapur (2011) — 78.00%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HSC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 — New Model Jr. College, Maharashtra State Board, Kolhapur (2008) — 75.83%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16" w:right="0" w:hanging="23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SSC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 — St. Xavier's High School, Maharashtra State Board, Kolhapur (2006) — 80.93%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20" w:top="6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16" w:hanging="230"/>
      </w:pPr>
      <w:rPr>
        <w:color w:val="1b7a72"/>
      </w:rPr>
    </w:lvl>
    <w:lvl w:ilvl="1">
      <w:start w:val="1"/>
      <w:numFmt w:val="bullet"/>
      <w:lvlText w:val="–"/>
      <w:lvlJc w:val="left"/>
      <w:pPr>
        <w:ind w:left="648" w:hanging="23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firdaus-ahmed-143bb77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zvZ32db9BVd3FVL+geyoUoaFFQ==">CgMxLjA4AHIhMVhrZ29DQzh1YVpEMFBkOGxVVU43aVdyZXFTX09peUFn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2026-07-28T04:55:49.194Z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