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PERATURAN CONTOH NOMOR 3 TAHUN 2026</w:t>
      </w:r>
    </w:p>
    <w:p>
      <w:r>
        <w:t>TENTANG PENGELOLAAN SARANA SEKOLAH</w:t>
      </w:r>
    </w:p>
    <w:p>
      <w:r>
        <w:t>Pasal 1</w:t>
      </w:r>
    </w:p>
    <w:p>
      <w:r>
        <w:t>Kepala sekolah menetapkan penanggung jawab sarana sekolah.</w:t>
      </w:r>
    </w:p>
    <w:p>
      <w:r>
        <w:t>Pasal 2</w:t>
      </w:r>
    </w:p>
    <w:p>
      <w:r>
        <w:t>(1) Inventarisasi sarana prasarana dilakukan setiap semester.</w:t>
      </w:r>
    </w:p>
    <w:p>
      <w:r>
        <w:t>(2) Hasil inventarisasi dilaporkan kepada komite sekolah.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