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921196">
      <w:pPr>
        <w:pStyle w:val="2"/>
        <w:spacing w:line="360" w:lineRule="auto"/>
        <w:jc w:val="center"/>
        <w:rPr>
          <w:rFonts w:hint="default" w:ascii="Times New Roman" w:hAnsi="Times New Roman" w:eastAsia="Arial Unicode MS" w:cs="Times New Roman"/>
          <w:b/>
          <w:color w:val="auto"/>
          <w:sz w:val="24"/>
          <w:szCs w:val="24"/>
          <w:lang w:val="en-US"/>
        </w:rPr>
      </w:pPr>
      <w:r>
        <w:rPr>
          <w:rFonts w:ascii="Times New Roman" w:hAnsi="Times New Roman" w:eastAsia="Arial Unicode MS" w:cs="Times New Roman"/>
          <w:b/>
          <w:color w:val="auto"/>
          <w:sz w:val="24"/>
          <w:szCs w:val="24"/>
        </w:rPr>
        <w:t>Detection and Tracking of People in a Dense Crowd through Deep Learning Approach</w:t>
      </w:r>
      <w:r>
        <w:rPr>
          <w:rFonts w:hint="default" w:ascii="Times New Roman" w:hAnsi="Times New Roman" w:eastAsia="Arial Unicode MS" w:cs="Times New Roman"/>
          <w:b/>
          <w:color w:val="auto"/>
          <w:sz w:val="24"/>
          <w:szCs w:val="24"/>
          <w:lang w:val="en-US"/>
        </w:rPr>
        <w:t xml:space="preserve"> - A Systematic Literature Review</w:t>
      </w:r>
    </w:p>
    <w:p w14:paraId="0996A43D">
      <w:pPr>
        <w:spacing w:line="360" w:lineRule="auto"/>
        <w:jc w:val="center"/>
        <w:rPr>
          <w:rFonts w:ascii="Times New Roman" w:hAnsi="Times New Roman" w:cs="Times New Roman"/>
          <w:vertAlign w:val="superscript"/>
        </w:rPr>
      </w:pPr>
      <w:r>
        <w:rPr>
          <w:rFonts w:ascii="Times New Roman" w:hAnsi="Times New Roman" w:cs="Times New Roman"/>
        </w:rPr>
        <w:t>Muhammad Firdaus Mohamed Badauraudine</w:t>
      </w:r>
      <w:r>
        <w:rPr>
          <w:rFonts w:ascii="Times New Roman" w:hAnsi="Times New Roman" w:cs="Times New Roman"/>
          <w:vertAlign w:val="superscript"/>
        </w:rPr>
        <w:t>1</w:t>
      </w:r>
      <w:r>
        <w:rPr>
          <w:rFonts w:ascii="Times New Roman" w:hAnsi="Times New Roman" w:cs="Times New Roman"/>
        </w:rPr>
        <w:t>, Dr. Megat Norulazmi Megat Mohamed Noor</w:t>
      </w:r>
      <w:r>
        <w:rPr>
          <w:rFonts w:ascii="Times New Roman" w:hAnsi="Times New Roman" w:cs="Times New Roman"/>
          <w:vertAlign w:val="superscript"/>
        </w:rPr>
        <w:t>1</w:t>
      </w:r>
      <w:r>
        <w:rPr>
          <w:rFonts w:ascii="Times New Roman" w:hAnsi="Times New Roman" w:cs="Times New Roman"/>
        </w:rPr>
        <w:t>, Dr. Mohd Shahizan Othman</w:t>
      </w:r>
      <w:r>
        <w:rPr>
          <w:rFonts w:ascii="Times New Roman" w:hAnsi="Times New Roman" w:cs="Times New Roman"/>
          <w:vertAlign w:val="superscript"/>
        </w:rPr>
        <w:t>2</w:t>
      </w:r>
      <w:r>
        <w:rPr>
          <w:rFonts w:ascii="Times New Roman" w:hAnsi="Times New Roman" w:cs="Times New Roman"/>
        </w:rPr>
        <w:t>, Assoc. Prof. Ts. Dr. Haidawati Binti Mohamad Nasir</w:t>
      </w:r>
      <w:r>
        <w:rPr>
          <w:rFonts w:ascii="Times New Roman" w:hAnsi="Times New Roman" w:cs="Times New Roman"/>
          <w:vertAlign w:val="superscript"/>
        </w:rPr>
        <w:t>1</w:t>
      </w:r>
    </w:p>
    <w:p w14:paraId="5002D0D8">
      <w:pPr>
        <w:spacing w:line="360" w:lineRule="auto"/>
        <w:jc w:val="center"/>
        <w:rPr>
          <w:rFonts w:ascii="Times New Roman" w:hAnsi="Times New Roman" w:cs="Times New Roman"/>
          <w:vertAlign w:val="superscript"/>
        </w:rPr>
      </w:pPr>
      <w:r>
        <w:rPr>
          <w:rFonts w:ascii="Times New Roman" w:hAnsi="Times New Roman" w:cs="Times New Roman"/>
        </w:rPr>
        <w:t>Universiti Kuala Lumpur Malaysian Institute of Information Technology</w:t>
      </w:r>
      <w:r>
        <w:rPr>
          <w:rFonts w:ascii="Times New Roman" w:hAnsi="Times New Roman" w:cs="Times New Roman"/>
          <w:vertAlign w:val="superscript"/>
        </w:rPr>
        <w:t>1</w:t>
      </w:r>
      <w:r>
        <w:rPr>
          <w:rFonts w:ascii="Times New Roman" w:hAnsi="Times New Roman" w:cs="Times New Roman"/>
        </w:rPr>
        <w:t>, Universiti Teknologi Malaysia</w:t>
      </w:r>
      <w:r>
        <w:rPr>
          <w:rFonts w:ascii="Times New Roman" w:hAnsi="Times New Roman" w:cs="Times New Roman"/>
          <w:vertAlign w:val="superscript"/>
        </w:rPr>
        <w:t>2</w:t>
      </w:r>
    </w:p>
    <w:p w14:paraId="467C780A">
      <w:pPr>
        <w:spacing w:line="360" w:lineRule="auto"/>
        <w:jc w:val="center"/>
        <w:rPr>
          <w:rFonts w:ascii="Times New Roman" w:hAnsi="Times New Roman" w:cs="Times New Roman"/>
          <w:vertAlign w:val="superscript"/>
        </w:rPr>
      </w:pPr>
      <w:r>
        <w:rPr>
          <w:rFonts w:ascii="Times New Roman" w:hAnsi="Times New Roman" w:cs="Times New Roman"/>
        </w:rPr>
        <w:t>Kuala Lumpur, Malaysia</w:t>
      </w:r>
      <w:r>
        <w:rPr>
          <w:rFonts w:ascii="Times New Roman" w:hAnsi="Times New Roman" w:cs="Times New Roman"/>
          <w:vertAlign w:val="superscript"/>
        </w:rPr>
        <w:t>1</w:t>
      </w:r>
      <w:r>
        <w:rPr>
          <w:rFonts w:ascii="Times New Roman" w:hAnsi="Times New Roman" w:cs="Times New Roman"/>
        </w:rPr>
        <w:t>, Johor Bharu, Malaysia</w:t>
      </w:r>
      <w:r>
        <w:rPr>
          <w:rFonts w:ascii="Times New Roman" w:hAnsi="Times New Roman" w:cs="Times New Roman"/>
          <w:vertAlign w:val="superscript"/>
        </w:rPr>
        <w:t>2</w:t>
      </w:r>
    </w:p>
    <w:p w14:paraId="65F44543">
      <w:pPr>
        <w:spacing w:line="360" w:lineRule="auto"/>
        <w:jc w:val="center"/>
        <w:rPr>
          <w:rFonts w:ascii="Times New Roman" w:hAnsi="Times New Roman" w:cs="Times New Roman"/>
        </w:rPr>
      </w:pPr>
      <w:r>
        <w:fldChar w:fldCharType="begin"/>
      </w:r>
      <w:r>
        <w:instrText xml:space="preserve"> HYPERLINK "mailto:mfirdaus.badauraudine@s.unikl.edu.my" </w:instrText>
      </w:r>
      <w:r>
        <w:fldChar w:fldCharType="separate"/>
      </w:r>
      <w:r>
        <w:rPr>
          <w:rStyle w:val="16"/>
          <w:rFonts w:ascii="Times New Roman" w:hAnsi="Times New Roman" w:cs="Times New Roman"/>
        </w:rPr>
        <w:t>mfirdaus.badauraudine@s.unikl.edu.my</w:t>
      </w:r>
      <w:r>
        <w:rPr>
          <w:rStyle w:val="16"/>
          <w:rFonts w:ascii="Times New Roman" w:hAnsi="Times New Roman" w:cs="Times New Roman"/>
        </w:rPr>
        <w:fldChar w:fldCharType="end"/>
      </w:r>
    </w:p>
    <w:p w14:paraId="54554549">
      <w:pPr>
        <w:spacing w:line="360" w:lineRule="auto"/>
        <w:jc w:val="center"/>
        <w:rPr>
          <w:rFonts w:ascii="Times New Roman" w:hAnsi="Times New Roman" w:eastAsia="Calibri" w:cs="Times New Roman"/>
          <w:color w:val="000000" w:themeColor="text1"/>
          <w14:textFill>
            <w14:solidFill>
              <w14:schemeClr w14:val="tx1"/>
            </w14:solidFill>
          </w14:textFill>
        </w:rPr>
      </w:pPr>
      <w:r>
        <w:rPr>
          <w:rFonts w:ascii="Times New Roman" w:hAnsi="Times New Roman" w:cs="Times New Roman"/>
        </w:rPr>
        <w:t>+601162694030</w:t>
      </w:r>
    </w:p>
    <w:p w14:paraId="4999D273">
      <w:pPr>
        <w:spacing w:line="360" w:lineRule="auto"/>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b/>
          <w:color w:val="000000" w:themeColor="text1"/>
          <w14:textFill>
            <w14:solidFill>
              <w14:schemeClr w14:val="tx1"/>
            </w14:solidFill>
          </w14:textFill>
        </w:rPr>
        <w:t>Abstract</w:t>
      </w:r>
    </w:p>
    <w:p w14:paraId="6FCE439C">
      <w:pPr>
        <w:spacing w:after="0" w:line="360" w:lineRule="auto"/>
        <w:ind w:left="-20" w:right="-20"/>
        <w:jc w:val="both"/>
        <w:rPr>
          <w:rFonts w:ascii="Times New Roman" w:hAnsi="Times New Roman" w:eastAsia="Calibri" w:cs="Times New Roman"/>
          <w:lang w:eastAsia="zh-CN"/>
        </w:rPr>
      </w:pPr>
      <w:r>
        <w:rPr>
          <w:rFonts w:ascii="Times New Roman" w:hAnsi="Times New Roman" w:eastAsia="Calibri" w:cs="Times New Roman"/>
          <w:lang w:eastAsia="zh-CN"/>
        </w:rPr>
        <w:t>Crowd-related incidents, such as the Hillsborough Disaster and the Kanjuruhan Stadium stampede, often result from poor crowd management, leading to tragedies like suffocation and crushing. To mitigate human error in crowd control, this research explores the use of deep learning for the detection and tracking of individuals in dense crowds. The study focuses on implementing artificial intelligence for automated crowd monitoring through a localization map, with an emphasis on re-identification accuracy and auto-annotation of targets in datasets. A systematic literature review (SLR) was conducted following the PRISMA guidelines, analyzing 4384 articles published between 2019 and 2024 across five databases. 13 primary studies met the inclusion criteria and were analyzed to address questions related to the accuracy of crowd tracking and detection. This SLR aims to provide insights and reference points for further research in artificial intelligence, particularly in the areas of auto annotation and re-identification for crowd monitoring.</w:t>
      </w:r>
    </w:p>
    <w:p w14:paraId="3CAE6B09">
      <w:pPr>
        <w:spacing w:after="0" w:line="360" w:lineRule="auto"/>
        <w:ind w:left="-20" w:right="-20"/>
        <w:jc w:val="both"/>
        <w:rPr>
          <w:rFonts w:ascii="Times New Roman" w:hAnsi="Times New Roman" w:eastAsia="Calibri" w:cs="Times New Roman"/>
          <w:lang w:eastAsia="zh-CN"/>
        </w:rPr>
      </w:pPr>
    </w:p>
    <w:p w14:paraId="3A9B7A48">
      <w:pPr>
        <w:spacing w:after="0" w:line="360" w:lineRule="auto"/>
        <w:ind w:left="-20" w:right="-20"/>
        <w:jc w:val="both"/>
        <w:rPr>
          <w:rFonts w:ascii="Times New Roman" w:hAnsi="Times New Roman" w:eastAsia="Calibri" w:cs="Times New Roman"/>
          <w:i/>
          <w:iCs/>
          <w:color w:val="000000" w:themeColor="text1"/>
          <w14:textFill>
            <w14:solidFill>
              <w14:schemeClr w14:val="tx1"/>
            </w14:solidFill>
          </w14:textFill>
        </w:rPr>
      </w:pPr>
      <w:r>
        <w:rPr>
          <w:rFonts w:ascii="Times New Roman" w:hAnsi="Times New Roman" w:eastAsia="Calibri" w:cs="Times New Roman"/>
          <w:b/>
          <w:bCs/>
        </w:rPr>
        <w:t>KEYWORDS</w:t>
      </w:r>
      <w:r>
        <w:rPr>
          <w:rFonts w:ascii="Times New Roman" w:hAnsi="Times New Roman" w:eastAsia="Calibri" w:cs="Times New Roman"/>
        </w:rPr>
        <w:t xml:space="preserve"> </w:t>
      </w:r>
      <w:r>
        <w:rPr>
          <w:rFonts w:ascii="Times New Roman" w:hAnsi="Times New Roman" w:eastAsia="Calibri" w:cs="Times New Roman"/>
          <w:i/>
          <w:iCs/>
        </w:rPr>
        <w:t>localisation, dense crowd, track, deep learning, re-identification, annotation</w:t>
      </w:r>
    </w:p>
    <w:p w14:paraId="0BB0FDD2">
      <w:pPr>
        <w:spacing w:after="0" w:line="360" w:lineRule="auto"/>
        <w:ind w:right="-20"/>
        <w:jc w:val="both"/>
        <w:rPr>
          <w:rFonts w:ascii="Times New Roman" w:hAnsi="Times New Roman" w:eastAsia="Calibri" w:cs="Times New Roman"/>
          <w:lang w:eastAsia="zh-CN"/>
        </w:rPr>
      </w:pPr>
    </w:p>
    <w:p w14:paraId="3FAB49B9">
      <w:pPr>
        <w:numPr>
          <w:ilvl w:val="0"/>
          <w:numId w:val="1"/>
        </w:numPr>
        <w:spacing w:line="360" w:lineRule="auto"/>
        <w:ind w:left="-20" w:right="-20"/>
        <w:jc w:val="both"/>
        <w:rPr>
          <w:rFonts w:ascii="Times New Roman" w:hAnsi="Times New Roman" w:eastAsia="Calibri" w:cs="Times New Roman"/>
          <w:b/>
          <w:color w:val="000000" w:themeColor="text1"/>
          <w14:textFill>
            <w14:solidFill>
              <w14:schemeClr w14:val="tx1"/>
            </w14:solidFill>
          </w14:textFill>
        </w:rPr>
        <w:sectPr>
          <w:headerReference r:id="rId5" w:type="default"/>
          <w:footerReference r:id="rId6" w:type="default"/>
          <w:pgSz w:w="12240" w:h="15840"/>
          <w:pgMar w:top="1440" w:right="1440" w:bottom="1440" w:left="1440" w:header="720" w:footer="720" w:gutter="0"/>
          <w:cols w:space="720" w:num="1"/>
          <w:docGrid w:linePitch="360" w:charSpace="0"/>
        </w:sectPr>
      </w:pPr>
    </w:p>
    <w:p w14:paraId="3AE9E602">
      <w:pPr>
        <w:numPr>
          <w:ilvl w:val="0"/>
          <w:numId w:val="1"/>
        </w:num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b/>
          <w:color w:val="000000" w:themeColor="text1"/>
          <w14:textFill>
            <w14:solidFill>
              <w14:schemeClr w14:val="tx1"/>
            </w14:solidFill>
          </w14:textFill>
        </w:rPr>
        <w:t>Introduction</w:t>
      </w:r>
    </w:p>
    <w:p w14:paraId="1F69834C">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 xml:space="preserve">Crowd detection by </w:t>
      </w:r>
      <w:r>
        <w:rPr>
          <w:rFonts w:ascii="Times New Roman" w:hAnsi="Times New Roman" w:eastAsia="Calibri" w:cs="Times New Roman"/>
        </w:rPr>
        <w:t>Multiple Head Tracking (MHT) is cu</w:t>
      </w:r>
      <w:r>
        <w:rPr>
          <w:rFonts w:ascii="Times New Roman" w:hAnsi="Times New Roman" w:eastAsia="Calibri" w:cs="Times New Roman"/>
          <w:color w:val="000000" w:themeColor="text1"/>
          <w14:textFill>
            <w14:solidFill>
              <w14:schemeClr w14:val="tx1"/>
            </w14:solidFill>
          </w14:textFill>
        </w:rPr>
        <w:t>rrently one of the most essential and challenging research topics in the computer vision community. Due to the common availability of high-quality low-cost video cameras and considering the inefficiency of manual surveillance and monitoring systems, automated video surveillance is now essential for today’s crowded and complex environments. Accurate information about numbers plays a vital role in operational and security efficiencies for monitoring, controlling, and protecting crowds. The counting and tracking of many persons pose as a challenge due to several reasons that are occlusions, the constant displacement of people, different perspectives and behaviours, varying illumination levels, and because, the bigger the crowd, the lower the allocation of pixels per person.</w:t>
      </w:r>
    </w:p>
    <w:p w14:paraId="62E08C02">
      <w:pPr>
        <w:spacing w:line="360" w:lineRule="auto"/>
        <w:ind w:left="-20" w:right="-20"/>
        <w:jc w:val="both"/>
        <w:rPr>
          <w:rFonts w:ascii="Times New Roman" w:hAnsi="Times New Roman" w:eastAsia="Calibri" w:cs="Times New Roman"/>
        </w:rPr>
      </w:pPr>
      <w:r>
        <w:rPr>
          <w:rFonts w:ascii="Times New Roman" w:hAnsi="Times New Roman" w:eastAsia="Calibri" w:cs="Times New Roman"/>
          <w:color w:val="000000" w:themeColor="text1"/>
          <w14:textFill>
            <w14:solidFill>
              <w14:schemeClr w14:val="tx1"/>
            </w14:solidFill>
          </w14:textFill>
        </w:rPr>
        <w:t>However, the counting and tracking of people in crowds is important to be implemented. This is due to public domains such as stadiums, airports, and, and even religious gathering areas tend to be difficult to track the number of people in crowds due to its density. This difficulty has proven to be deadly such as the Hillsborough disaster on 15</w:t>
      </w:r>
      <w:r>
        <w:rPr>
          <w:rFonts w:ascii="Times New Roman" w:hAnsi="Times New Roman" w:eastAsia="Calibri" w:cs="Times New Roman"/>
          <w:color w:val="000000" w:themeColor="text1"/>
          <w:vertAlign w:val="superscript"/>
          <w14:textFill>
            <w14:solidFill>
              <w14:schemeClr w14:val="tx1"/>
            </w14:solidFill>
          </w14:textFill>
        </w:rPr>
        <w:t>th</w:t>
      </w:r>
      <w:r>
        <w:rPr>
          <w:rFonts w:ascii="Times New Roman" w:hAnsi="Times New Roman" w:eastAsia="Calibri" w:cs="Times New Roman"/>
          <w:color w:val="000000" w:themeColor="text1"/>
          <w14:textFill>
            <w14:solidFill>
              <w14:schemeClr w14:val="tx1"/>
            </w14:solidFill>
          </w14:textFill>
        </w:rPr>
        <w:t xml:space="preserve"> April 1989, the human “crush and stampede” event that occurred for the Hajj pilgrims on 24</w:t>
      </w:r>
      <w:r>
        <w:rPr>
          <w:rFonts w:ascii="Times New Roman" w:hAnsi="Times New Roman" w:eastAsia="Calibri" w:cs="Times New Roman"/>
          <w:color w:val="000000" w:themeColor="text1"/>
          <w:vertAlign w:val="superscript"/>
          <w14:textFill>
            <w14:solidFill>
              <w14:schemeClr w14:val="tx1"/>
            </w14:solidFill>
          </w14:textFill>
        </w:rPr>
        <w:t>th</w:t>
      </w:r>
      <w:r>
        <w:rPr>
          <w:rFonts w:ascii="Times New Roman" w:hAnsi="Times New Roman" w:eastAsia="Calibri" w:cs="Times New Roman"/>
          <w:color w:val="000000" w:themeColor="text1"/>
          <w14:textFill>
            <w14:solidFill>
              <w14:schemeClr w14:val="tx1"/>
            </w14:solidFill>
          </w14:textFill>
        </w:rPr>
        <w:t xml:space="preserve"> September 2015, and the human crush at Kanjuruhan Stadium on 1</w:t>
      </w:r>
      <w:r>
        <w:rPr>
          <w:rFonts w:ascii="Times New Roman" w:hAnsi="Times New Roman" w:eastAsia="Calibri" w:cs="Times New Roman"/>
          <w:color w:val="000000" w:themeColor="text1"/>
          <w:vertAlign w:val="superscript"/>
          <w14:textFill>
            <w14:solidFill>
              <w14:schemeClr w14:val="tx1"/>
            </w14:solidFill>
          </w14:textFill>
        </w:rPr>
        <w:t>st</w:t>
      </w:r>
      <w:r>
        <w:rPr>
          <w:rFonts w:ascii="Times New Roman" w:hAnsi="Times New Roman" w:eastAsia="Calibri" w:cs="Times New Roman"/>
          <w:color w:val="000000" w:themeColor="text1"/>
          <w14:textFill>
            <w14:solidFill>
              <w14:schemeClr w14:val="tx1"/>
            </w14:solidFill>
          </w14:textFill>
        </w:rPr>
        <w:t xml:space="preserve"> October 2022. Due to these incidents, a question that usually pops up is how this can be avoided or lesson. One of the solutions that was being researched u</w:t>
      </w:r>
      <w:r>
        <w:rPr>
          <w:rFonts w:ascii="Times New Roman" w:hAnsi="Times New Roman" w:eastAsia="Calibri" w:cs="Times New Roman"/>
        </w:rPr>
        <w:t xml:space="preserve">pon was crowd detection using MHT. </w:t>
      </w:r>
    </w:p>
    <w:p w14:paraId="01248C91">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Crowd detection by MHT is currently one of the most essential and challenging research topics. However, methods developed by different researchers only produce satisfactory results in sparse crowd setting for crowd detection and tracking. Hence, this area of research needs further elaboration to implement this area of research in dense crowd benchmarks.</w:t>
      </w:r>
    </w:p>
    <w:p w14:paraId="1F8A497D">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It is important to analyse the methods that can be used for tracking and detecting people in a crowd. It is also important to take a step back and understand the flow of how the tracking and detection was originally to how much it has evolved so that the current research can understand more on how the gaps were filled with each new evolution. Similar works to this research need to be researched to understand the methods used by different research to detect and track people in crowds and their gaps for the current research to fill them to be novel research.</w:t>
      </w:r>
    </w:p>
    <w:p w14:paraId="5D858F24">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 xml:space="preserve">There have been many review studies focusing on localisation to track or detect people in a crowd. However, some of those studies sometimes only detect and does not track. Another limitation is the accuracy of tracking and detection. The output of the studies can determine the accuracy of the detection and tracking of people in a dense crowd. For example, a topological output will have a higher accuracy in the study compared to a density map output. Since this area of study deals with the physical security of humans, it is important to maintain a high accuracy of tracking and detection. Current architectures implemented in several papers such as YOLO was developed to detect objects in normal situations and not in a </w:t>
      </w:r>
      <w:r>
        <w:rPr>
          <w:rFonts w:ascii="Times New Roman" w:hAnsi="Times New Roman" w:eastAsia="Calibri" w:cs="Times New Roman"/>
          <w:color w:val="000000" w:themeColor="text1"/>
          <w:lang w:val="en-US"/>
          <w14:textFill>
            <w14:solidFill>
              <w14:schemeClr w14:val="tx1"/>
            </w14:solidFill>
          </w14:textFill>
        </w:rPr>
        <w:t>highly-dense</w:t>
      </w:r>
      <w:r>
        <w:rPr>
          <w:rFonts w:ascii="Times New Roman" w:hAnsi="Times New Roman" w:eastAsia="Calibri" w:cs="Times New Roman"/>
          <w:color w:val="000000" w:themeColor="text1"/>
          <w14:textFill>
            <w14:solidFill>
              <w14:schemeClr w14:val="tx1"/>
            </w14:solidFill>
          </w14:textFill>
        </w:rPr>
        <w:t xml:space="preserve"> environment. Another contribution to the accuracy of the output is the re-identification of people in a dense crowd. This is because if the same person exited the tracking parameter and rejoined, they can be counted as another person and increase the crowd count. Hence, it is important to further filter the papers to review research that are more similar to the current research.</w:t>
      </w:r>
    </w:p>
    <w:p w14:paraId="3A7A8C41">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In this paper, our aim is to help other researchers by making an SLR of related studies to using deep learning in tracking and detection of people in a dense crowd. The SLR’s purpose is to research and compare how different studies approach tracking and detection involving dense crowds using deep learning approaches to find out which approach is best suited to answer the study’s research question. The SLR encompass studies in the last five years that are from 2019 to 2024. The main contributions of this systematic review can be summarised as follows:</w:t>
      </w:r>
    </w:p>
    <w:p w14:paraId="3316DC01">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1. Searching articles from various databases with specific keywords that are broadly related to current research. Mainly, the research must include tracking in a crowd using deep learning. The reason why only tracking is used as the keyword and not detection is because to track, the experiment must detect the people first. Hence, both tracking and detection goes together. There are 4384 papers collected using the specified keywords from seven databases that are ACM Digital Library, Wiley Online Library, SpringerLink, ScienceDirect, IEEExplore, and PubMed. The research carried out must have a published date within the past five years' timeframe.</w:t>
      </w:r>
    </w:p>
    <w:p w14:paraId="1A9CDB60">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2. A large-scale literature review is completed using the PRISMA process methodology. The current research proposes three research questions. Firstly, the research questions were formulated. Then, the related studies were collected, the inclusion and exclusion criteria were defined, and from there, the primary studies focused on the related topics were identified with an acceptable quality score.</w:t>
      </w:r>
    </w:p>
    <w:p w14:paraId="5E29D760">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3. A thorough analysis has been implemented in the primary studies. Each reviewed paper is based on research questions, involving the current methods of detection and tracking of people in a dense crowd using deep learning approach and whether it is applicable in public places. The aim of this is to provide researchers with methods to track and detect people in dense crowds and how their output will be to assist them more in their research.</w:t>
      </w:r>
    </w:p>
    <w:p w14:paraId="50E54B93">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The remainder of this paper is structured as follows:</w:t>
      </w:r>
    </w:p>
    <w:p w14:paraId="5E4C451B">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1. Section 2: The research methodology involving research questions and research protocols</w:t>
      </w:r>
    </w:p>
    <w:p w14:paraId="76D57587">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2. Section 3: The results of the literature review to provide answers and discussions to the initial research questions.</w:t>
      </w:r>
    </w:p>
    <w:p w14:paraId="135C825D">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3. Section 4: The limitations of the study</w:t>
      </w:r>
    </w:p>
    <w:p w14:paraId="7B698709">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4. Section 5: The conclusion of the research</w:t>
      </w:r>
    </w:p>
    <w:p w14:paraId="44FF56BC">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p>
    <w:p w14:paraId="4EAAE109">
      <w:pPr>
        <w:spacing w:line="360" w:lineRule="auto"/>
        <w:ind w:left="-20" w:right="-20"/>
        <w:jc w:val="both"/>
        <w:rPr>
          <w:rFonts w:ascii="Times New Roman" w:hAnsi="Times New Roman" w:eastAsia="Calibri" w:cs="Times New Roman"/>
          <w:b/>
          <w:color w:val="000000" w:themeColor="text1"/>
          <w14:textFill>
            <w14:solidFill>
              <w14:schemeClr w14:val="tx1"/>
            </w14:solidFill>
          </w14:textFill>
        </w:rPr>
      </w:pPr>
      <w:r>
        <w:rPr>
          <w:rFonts w:ascii="Times New Roman" w:hAnsi="Times New Roman" w:eastAsia="Calibri" w:cs="Times New Roman"/>
          <w:b/>
          <w:color w:val="000000" w:themeColor="text1"/>
          <w14:textFill>
            <w14:solidFill>
              <w14:schemeClr w14:val="tx1"/>
            </w14:solidFill>
          </w14:textFill>
        </w:rPr>
        <w:t>2. Methodology</w:t>
      </w:r>
    </w:p>
    <w:p w14:paraId="4C6EAF8C">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 xml:space="preserve">The methodology used for the current SLR follows the original guidelines proposed by S. Keele in 2007 in the paper “Guidelines for Performing Systematic Literature Reviews in Software Engineering”. </w:t>
      </w:r>
      <w:r>
        <w:rPr>
          <w:rFonts w:hint="default" w:ascii="Times New Roman" w:hAnsi="Times New Roman" w:eastAsia="Calibri" w:cs="Times New Roman"/>
          <w:color w:val="000000" w:themeColor="text1"/>
          <w:lang w:val="en-US" w:eastAsia="zh-CN"/>
          <w14:textFill>
            <w14:solidFill>
              <w14:schemeClr w14:val="tx1"/>
            </w14:solidFill>
          </w14:textFill>
        </w:rPr>
        <w:t xml:space="preserve">This section presents the method used to undertake the current SLR for the detection and tracking of people in a dense crowd. </w:t>
      </w:r>
      <w:r>
        <w:rPr>
          <w:rFonts w:ascii="Times New Roman" w:hAnsi="Times New Roman" w:eastAsia="Calibri" w:cs="Times New Roman"/>
          <w:color w:val="000000" w:themeColor="text1"/>
          <w14:textFill>
            <w14:solidFill>
              <w14:schemeClr w14:val="tx1"/>
            </w14:solidFill>
          </w14:textFill>
        </w:rPr>
        <w:t>Figure 1 shows the methodology’s flowchart</w:t>
      </w:r>
      <w:r>
        <w:rPr>
          <w:rFonts w:hint="default" w:ascii="Times New Roman" w:hAnsi="Times New Roman" w:eastAsia="Calibri" w:cs="Times New Roman"/>
          <w:color w:val="000000" w:themeColor="text1"/>
          <w:lang w:val="en-US"/>
          <w14:textFill>
            <w14:solidFill>
              <w14:schemeClr w14:val="tx1"/>
            </w14:solidFill>
          </w14:textFill>
        </w:rPr>
        <w:t xml:space="preserve"> for searching for the related papers, filtering them, and writing the report based on the primary studies</w:t>
      </w:r>
      <w:r>
        <w:rPr>
          <w:rFonts w:ascii="Times New Roman" w:hAnsi="Times New Roman" w:eastAsia="Calibri" w:cs="Times New Roman"/>
          <w:color w:val="000000" w:themeColor="text1"/>
          <w14:textFill>
            <w14:solidFill>
              <w14:schemeClr w14:val="tx1"/>
            </w14:solidFill>
          </w14:textFill>
        </w:rPr>
        <w:t>.</w:t>
      </w:r>
    </w:p>
    <w:p w14:paraId="49CC6E4B">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cs="Times New Roman"/>
          <w:lang w:val="en-MY" w:eastAsia="en-MY"/>
        </w:rPr>
        <w:drawing>
          <wp:inline distT="0" distB="0" distL="0" distR="0">
            <wp:extent cx="2082165" cy="2847975"/>
            <wp:effectExtent l="0" t="0" r="0" b="0"/>
            <wp:docPr id="109467520" name="Picture 109467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7520" name="Picture 109467520"/>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2582" cy="2847975"/>
                    </a:xfrm>
                    <a:prstGeom prst="rect">
                      <a:avLst/>
                    </a:prstGeom>
                  </pic:spPr>
                </pic:pic>
              </a:graphicData>
            </a:graphic>
          </wp:inline>
        </w:drawing>
      </w:r>
    </w:p>
    <w:p w14:paraId="43F99072">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FIGURE 1. SLR’s Methodology</w:t>
      </w:r>
    </w:p>
    <w:p w14:paraId="031A8795">
      <w:pPr>
        <w:spacing w:line="360" w:lineRule="auto"/>
        <w:ind w:left="-20" w:right="-20"/>
        <w:jc w:val="both"/>
        <w:rPr>
          <w:rFonts w:hint="default" w:ascii="Times New Roman" w:hAnsi="Times New Roman" w:eastAsia="Calibri" w:cs="Times New Roman"/>
          <w:color w:val="000000" w:themeColor="text1"/>
          <w:lang w:val="en-US"/>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Based on the flowchart, there are 6</w:t>
      </w:r>
      <w:r>
        <w:rPr>
          <w:rFonts w:hint="default" w:ascii="Times New Roman" w:hAnsi="Times New Roman" w:eastAsia="Calibri" w:cs="Times New Roman"/>
          <w:color w:val="000000" w:themeColor="text1"/>
          <w:lang w:val="en-US"/>
          <w14:textFill>
            <w14:solidFill>
              <w14:schemeClr w14:val="tx1"/>
            </w14:solidFill>
          </w14:textFill>
        </w:rPr>
        <w:t xml:space="preserve"> phases of the methodology that highlights the process of preparing the SLR.</w:t>
      </w:r>
    </w:p>
    <w:p w14:paraId="7A77488B">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A. Planning</w:t>
      </w:r>
    </w:p>
    <w:p w14:paraId="429AA4BD">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The planning phase is where the actions required to achieve the research objectives are decided. In this study, the objectives are related to the topic of the methods and algorithms used in the tracking and detection of people in a dense crowd as well as the accuracy of the output and what datasets are used for the experiment. The keywords to be used to search for papers in the five databases were also planned during this stage. Hence, this step is the foundation of the SLR’s methodology.</w:t>
      </w:r>
    </w:p>
    <w:p w14:paraId="3038D9C3">
      <w:pPr>
        <w:spacing w:line="360" w:lineRule="auto"/>
        <w:ind w:right="-20"/>
        <w:jc w:val="both"/>
        <w:rPr>
          <w:rFonts w:ascii="Times New Roman" w:hAnsi="Times New Roman" w:cs="Times New Roman"/>
          <w:lang w:val="en-MY" w:eastAsia="en-MY"/>
        </w:rPr>
      </w:pPr>
    </w:p>
    <w:p w14:paraId="3847E167">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p>
    <w:p w14:paraId="59007F24">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B. Formulation of Research Questions</w:t>
      </w:r>
    </w:p>
    <w:p w14:paraId="465B69B1">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The research questions were discussed and laid out during this phase. The main questions proposed were related to the research study’s output and what datasets were used for the research study’s experiment. The method and architecture used for the detection and tracking of people in a dense crowd also serves as questions needed to be answered as different research provides different methods and algorithms that might not be as accurate as other studies and not suitable for dense crowds. The annotation method is also considered to further research on auto annotation of the individuals in the video frames of the dataset used. Some research focuses on detection only and not tracking. Due to the reasons stated, the research questions formulated are:</w:t>
      </w:r>
    </w:p>
    <w:p w14:paraId="26EE3B19">
      <w:pPr>
        <w:spacing w:line="360" w:lineRule="auto"/>
        <w:ind w:right="-20"/>
        <w:jc w:val="both"/>
        <w:rPr>
          <w:rFonts w:ascii="Times New Roman" w:hAnsi="Times New Roman" w:eastAsia="Calibri" w:cs="Times New Roman"/>
          <w:color w:val="000000" w:themeColor="text1"/>
          <w14:textFill>
            <w14:solidFill>
              <w14:schemeClr w14:val="tx1"/>
            </w14:solidFill>
          </w14:textFill>
        </w:rPr>
      </w:pPr>
    </w:p>
    <w:p w14:paraId="6277DB07">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RQ1: What method will be used for detecting and tracking people in a dense crowd</w:t>
      </w:r>
    </w:p>
    <w:p w14:paraId="0894350B">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RQ2: What method is used for the annotation of individuals in a dense crowd</w:t>
      </w:r>
    </w:p>
    <w:p w14:paraId="642C8B21">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RQ3: How accurate is the detection and tracking of people in a dense crowd</w:t>
      </w:r>
    </w:p>
    <w:p w14:paraId="2B59C4DD">
      <w:pPr>
        <w:spacing w:line="360" w:lineRule="auto"/>
        <w:ind w:right="-20"/>
        <w:jc w:val="both"/>
        <w:rPr>
          <w:rFonts w:ascii="Times New Roman" w:hAnsi="Times New Roman" w:eastAsia="Calibri" w:cs="Times New Roman"/>
          <w:color w:val="000000" w:themeColor="text1"/>
          <w14:textFill>
            <w14:solidFill>
              <w14:schemeClr w14:val="tx1"/>
            </w14:solidFill>
          </w14:textFill>
        </w:rPr>
      </w:pPr>
    </w:p>
    <w:p w14:paraId="3CF99932">
      <w:pPr>
        <w:spacing w:line="360" w:lineRule="auto"/>
        <w:ind w:right="-20"/>
        <w:jc w:val="both"/>
        <w:rPr>
          <w:rFonts w:ascii="Times New Roman" w:hAnsi="Times New Roman" w:eastAsia="Calibri" w:cs="Times New Roman"/>
          <w:color w:val="000000" w:themeColor="text1"/>
          <w14:textFill>
            <w14:solidFill>
              <w14:schemeClr w14:val="tx1"/>
            </w14:solidFill>
          </w14:textFill>
        </w:rPr>
      </w:pPr>
    </w:p>
    <w:p w14:paraId="7B77A35A">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C. Search Process</w:t>
      </w:r>
    </w:p>
    <w:p w14:paraId="047832E3">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In this subsection, each article to be used for comparing similar works is identified. The purpose of this phase is to extract relevant experimental studies on the tracking and detection of people in a dense crowd and if they can be implemented in public places. The databases used to get these articles are IEEExplore, ACM Digital Library, Scopus, Wiley Online Library, and PubMed. The original keywords planned during the planning phase is used to search for related articles in these databases but with a few adjustments. For example, instead of using “DENSE CROWD”, the keyword used will be “CROWD“. This is due to the number of papers being retrieved if the query is too strict. Some research papers might not use “DENSE CROWD” but they use different names to signify the same meaning. The papers will be more accurate to the current study in the future steps, especially the quality assessment step. Publish or Perish is used to obtain the papers and compile them as a CSV file. These papers will be filtered in the further stages. Table shows the keywords used for the search query and articles gotten from each repository.</w:t>
      </w:r>
    </w:p>
    <w:p w14:paraId="609A22FE">
      <w:pPr>
        <w:spacing w:line="360" w:lineRule="auto"/>
        <w:ind w:right="-20"/>
        <w:jc w:val="both"/>
        <w:rPr>
          <w:rFonts w:ascii="Times New Roman" w:hAnsi="Times New Roman" w:eastAsia="Calibri" w:cs="Times New Roman"/>
          <w:color w:val="000000" w:themeColor="text1"/>
          <w14:textFill>
            <w14:solidFill>
              <w14:schemeClr w14:val="tx1"/>
            </w14:solidFill>
          </w14:textFill>
        </w:rPr>
      </w:pPr>
    </w:p>
    <w:p w14:paraId="6863BE07">
      <w:pPr>
        <w:spacing w:line="360" w:lineRule="auto"/>
        <w:ind w:right="-20"/>
        <w:jc w:val="both"/>
        <w:rPr>
          <w:rFonts w:ascii="Times New Roman" w:hAnsi="Times New Roman" w:eastAsia="Calibri" w:cs="Times New Roman"/>
          <w:color w:val="000000" w:themeColor="text1"/>
          <w14:textFill>
            <w14:solidFill>
              <w14:schemeClr w14:val="tx1"/>
            </w14:solidFill>
          </w14:textFill>
        </w:rPr>
      </w:pPr>
    </w:p>
    <w:p w14:paraId="1B8099DB">
      <w:pPr>
        <w:spacing w:line="360" w:lineRule="auto"/>
        <w:ind w:right="-20"/>
        <w:jc w:val="both"/>
        <w:rPr>
          <w:rFonts w:ascii="Times New Roman" w:hAnsi="Times New Roman" w:eastAsia="Calibri" w:cs="Times New Roman"/>
          <w:color w:val="000000" w:themeColor="text1"/>
          <w14:textFill>
            <w14:solidFill>
              <w14:schemeClr w14:val="tx1"/>
            </w14:solidFill>
          </w14:textFill>
        </w:rPr>
        <w:sectPr>
          <w:type w:val="continuous"/>
          <w:pgSz w:w="12240" w:h="15840"/>
          <w:pgMar w:top="1440" w:right="1440" w:bottom="1440" w:left="1440" w:header="720" w:footer="720" w:gutter="0"/>
          <w:cols w:space="720" w:num="2"/>
          <w:docGrid w:linePitch="360" w:charSpace="0"/>
        </w:sectPr>
      </w:pPr>
    </w:p>
    <w:p w14:paraId="52798482">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TABLE 1. Search query used for each database and number of papers gotten from them.</w:t>
      </w:r>
    </w:p>
    <w:p w14:paraId="571243E7">
      <w:pPr>
        <w:spacing w:after="0" w:line="360" w:lineRule="auto"/>
        <w:jc w:val="both"/>
        <w:rPr>
          <w:rFonts w:ascii="Times New Roman" w:hAnsi="Times New Roman" w:eastAsia="Calibri" w:cs="Times New Roman"/>
        </w:rPr>
        <w:sectPr>
          <w:type w:val="continuous"/>
          <w:pgSz w:w="12240" w:h="15840"/>
          <w:pgMar w:top="1440" w:right="1440" w:bottom="1440" w:left="1440" w:header="720" w:footer="720" w:gutter="0"/>
          <w:cols w:space="720" w:num="1"/>
          <w:docGrid w:linePitch="360" w:charSpace="0"/>
        </w:sectPr>
      </w:pPr>
    </w:p>
    <w:tbl>
      <w:tblPr>
        <w:tblStyle w:val="19"/>
        <w:tblW w:w="9315" w:type="dxa"/>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410"/>
        <w:gridCol w:w="4800"/>
        <w:gridCol w:w="3105"/>
      </w:tblGrid>
      <w:tr w14:paraId="7E6748C9">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410" w:type="dxa"/>
            <w:tcMar>
              <w:left w:w="105" w:type="dxa"/>
              <w:right w:w="105" w:type="dxa"/>
            </w:tcMar>
          </w:tcPr>
          <w:p w14:paraId="143A2D3A">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Database</w:t>
            </w:r>
          </w:p>
        </w:tc>
        <w:tc>
          <w:tcPr>
            <w:tcW w:w="4800" w:type="dxa"/>
            <w:tcMar>
              <w:left w:w="105" w:type="dxa"/>
              <w:right w:w="105" w:type="dxa"/>
            </w:tcMar>
          </w:tcPr>
          <w:p w14:paraId="1C1A52A3">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Search Query</w:t>
            </w:r>
          </w:p>
        </w:tc>
        <w:tc>
          <w:tcPr>
            <w:tcW w:w="3105" w:type="dxa"/>
            <w:tcMar>
              <w:left w:w="105" w:type="dxa"/>
              <w:right w:w="105" w:type="dxa"/>
            </w:tcMar>
          </w:tcPr>
          <w:p w14:paraId="106E76A9">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Number of Papers</w:t>
            </w:r>
          </w:p>
        </w:tc>
      </w:tr>
      <w:tr w14:paraId="090D4E10">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85" w:hRule="atLeast"/>
        </w:trPr>
        <w:tc>
          <w:tcPr>
            <w:tcW w:w="1410" w:type="dxa"/>
            <w:tcMar>
              <w:left w:w="105" w:type="dxa"/>
              <w:right w:w="105" w:type="dxa"/>
            </w:tcMar>
          </w:tcPr>
          <w:p w14:paraId="788239E4">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IEEExplore</w:t>
            </w:r>
          </w:p>
        </w:tc>
        <w:tc>
          <w:tcPr>
            <w:tcW w:w="4800" w:type="dxa"/>
            <w:tcMar>
              <w:left w:w="105" w:type="dxa"/>
              <w:right w:w="105" w:type="dxa"/>
            </w:tcMar>
          </w:tcPr>
          <w:p w14:paraId="722D55E6">
            <w:pPr>
              <w:spacing w:after="0" w:line="360" w:lineRule="auto"/>
              <w:jc w:val="both"/>
              <w:rPr>
                <w:rFonts w:ascii="Times New Roman" w:hAnsi="Times New Roman" w:eastAsia="Calibri" w:cs="Times New Roman"/>
                <w:i/>
                <w:iCs/>
                <w:sz w:val="16"/>
                <w:szCs w:val="16"/>
              </w:rPr>
            </w:pPr>
            <w:r>
              <w:rPr>
                <w:rFonts w:ascii="Times New Roman" w:hAnsi="Times New Roman" w:eastAsia="Calibri" w:cs="Times New Roman"/>
                <w:i/>
                <w:iCs/>
                <w:sz w:val="16"/>
                <w:szCs w:val="16"/>
              </w:rPr>
              <w:t>("CROWD") AND ("DEEP LEARNING") AND ("TRACK" OR "TRACKING")</w:t>
            </w:r>
          </w:p>
        </w:tc>
        <w:tc>
          <w:tcPr>
            <w:tcW w:w="3105" w:type="dxa"/>
            <w:tcMar>
              <w:left w:w="105" w:type="dxa"/>
              <w:right w:w="105" w:type="dxa"/>
            </w:tcMar>
          </w:tcPr>
          <w:p w14:paraId="713464C3">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99</w:t>
            </w:r>
          </w:p>
        </w:tc>
      </w:tr>
      <w:tr w14:paraId="3657736B">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410" w:type="dxa"/>
            <w:tcMar>
              <w:left w:w="105" w:type="dxa"/>
              <w:right w:w="105" w:type="dxa"/>
            </w:tcMar>
          </w:tcPr>
          <w:p w14:paraId="64A23207">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ACM Digital Library</w:t>
            </w:r>
          </w:p>
        </w:tc>
        <w:tc>
          <w:tcPr>
            <w:tcW w:w="4800" w:type="dxa"/>
            <w:tcMar>
              <w:left w:w="105" w:type="dxa"/>
              <w:right w:w="105" w:type="dxa"/>
            </w:tcMar>
          </w:tcPr>
          <w:p w14:paraId="2ABABDDB">
            <w:pPr>
              <w:spacing w:after="0" w:line="360" w:lineRule="auto"/>
              <w:jc w:val="both"/>
              <w:rPr>
                <w:rFonts w:ascii="Times New Roman" w:hAnsi="Times New Roman" w:eastAsia="Calibri" w:cs="Times New Roman"/>
                <w:i/>
                <w:iCs/>
                <w:sz w:val="16"/>
                <w:szCs w:val="16"/>
              </w:rPr>
            </w:pPr>
            <w:r>
              <w:rPr>
                <w:rFonts w:ascii="Times New Roman" w:hAnsi="Times New Roman" w:eastAsia="Calibri" w:cs="Times New Roman"/>
                <w:i/>
                <w:iCs/>
                <w:sz w:val="16"/>
                <w:szCs w:val="16"/>
              </w:rPr>
              <w:t>("CROWD") AND ("DEEP LEARNING") AND ("TRACK" OR "TRACKING")</w:t>
            </w:r>
          </w:p>
          <w:p w14:paraId="0D72A0E1">
            <w:pPr>
              <w:spacing w:after="0" w:line="360" w:lineRule="auto"/>
              <w:jc w:val="both"/>
              <w:rPr>
                <w:rFonts w:ascii="Times New Roman" w:hAnsi="Times New Roman" w:eastAsia="Calibri" w:cs="Times New Roman"/>
                <w:i/>
                <w:iCs/>
                <w:sz w:val="16"/>
                <w:szCs w:val="16"/>
              </w:rPr>
            </w:pPr>
          </w:p>
        </w:tc>
        <w:tc>
          <w:tcPr>
            <w:tcW w:w="3105" w:type="dxa"/>
            <w:tcMar>
              <w:left w:w="105" w:type="dxa"/>
              <w:right w:w="105" w:type="dxa"/>
            </w:tcMar>
          </w:tcPr>
          <w:p w14:paraId="3FBF4004">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1170</w:t>
            </w:r>
          </w:p>
        </w:tc>
      </w:tr>
      <w:tr w14:paraId="68E392C0">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410" w:type="dxa"/>
            <w:tcMar>
              <w:left w:w="105" w:type="dxa"/>
              <w:right w:w="105" w:type="dxa"/>
            </w:tcMar>
          </w:tcPr>
          <w:p w14:paraId="42515271">
            <w:pPr>
              <w:spacing w:after="0" w:line="360" w:lineRule="auto"/>
              <w:jc w:val="both"/>
              <w:rPr>
                <w:rFonts w:ascii="Times New Roman" w:hAnsi="Times New Roman" w:cs="Times New Roman"/>
                <w:sz w:val="16"/>
                <w:szCs w:val="16"/>
              </w:rPr>
            </w:pPr>
            <w:r>
              <w:rPr>
                <w:rFonts w:ascii="Times New Roman" w:hAnsi="Times New Roman" w:eastAsia="Calibri" w:cs="Times New Roman"/>
                <w:sz w:val="16"/>
                <w:szCs w:val="16"/>
              </w:rPr>
              <w:t>Scopus</w:t>
            </w:r>
          </w:p>
        </w:tc>
        <w:tc>
          <w:tcPr>
            <w:tcW w:w="4800" w:type="dxa"/>
            <w:tcMar>
              <w:left w:w="105" w:type="dxa"/>
              <w:right w:w="105" w:type="dxa"/>
            </w:tcMar>
          </w:tcPr>
          <w:p w14:paraId="1D320158">
            <w:pPr>
              <w:spacing w:after="0" w:line="360" w:lineRule="auto"/>
              <w:jc w:val="both"/>
              <w:rPr>
                <w:rFonts w:ascii="Times New Roman" w:hAnsi="Times New Roman" w:eastAsia="Calibri" w:cs="Times New Roman"/>
                <w:i/>
                <w:iCs/>
                <w:sz w:val="16"/>
                <w:szCs w:val="16"/>
              </w:rPr>
            </w:pPr>
            <w:r>
              <w:rPr>
                <w:rFonts w:ascii="Times New Roman" w:hAnsi="Times New Roman" w:eastAsia="Calibri" w:cs="Times New Roman"/>
                <w:i/>
                <w:iCs/>
                <w:sz w:val="16"/>
                <w:szCs w:val="16"/>
              </w:rPr>
              <w:t>("CROWD") AND ("DEEP LEARNING") AND ("TRACK" OR "TRACKING")</w:t>
            </w:r>
          </w:p>
        </w:tc>
        <w:tc>
          <w:tcPr>
            <w:tcW w:w="3105" w:type="dxa"/>
            <w:tcMar>
              <w:left w:w="105" w:type="dxa"/>
              <w:right w:w="105" w:type="dxa"/>
            </w:tcMar>
          </w:tcPr>
          <w:p w14:paraId="09750C70">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195</w:t>
            </w:r>
          </w:p>
        </w:tc>
      </w:tr>
      <w:tr w14:paraId="1692D5C1">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410" w:type="dxa"/>
            <w:tcMar>
              <w:left w:w="105" w:type="dxa"/>
              <w:right w:w="105" w:type="dxa"/>
            </w:tcMar>
          </w:tcPr>
          <w:p w14:paraId="085012A4">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Wiley Online Library</w:t>
            </w:r>
          </w:p>
        </w:tc>
        <w:tc>
          <w:tcPr>
            <w:tcW w:w="4800" w:type="dxa"/>
            <w:tcMar>
              <w:left w:w="105" w:type="dxa"/>
              <w:right w:w="105" w:type="dxa"/>
            </w:tcMar>
          </w:tcPr>
          <w:p w14:paraId="0F6EAF1F">
            <w:pPr>
              <w:spacing w:after="0" w:line="360" w:lineRule="auto"/>
              <w:jc w:val="both"/>
              <w:rPr>
                <w:rFonts w:ascii="Times New Roman" w:hAnsi="Times New Roman" w:eastAsia="Calibri" w:cs="Times New Roman"/>
                <w:i/>
                <w:iCs/>
                <w:sz w:val="16"/>
                <w:szCs w:val="16"/>
              </w:rPr>
            </w:pPr>
            <w:r>
              <w:rPr>
                <w:rFonts w:ascii="Times New Roman" w:hAnsi="Times New Roman" w:eastAsia="Calibri" w:cs="Times New Roman"/>
                <w:i/>
                <w:iCs/>
                <w:sz w:val="16"/>
                <w:szCs w:val="16"/>
              </w:rPr>
              <w:t>("CROWD") AND ("DEEP LEARNING") AND ("TRACK" OR "TRACKING")</w:t>
            </w:r>
          </w:p>
          <w:p w14:paraId="11FB598F">
            <w:pPr>
              <w:spacing w:after="0" w:line="360" w:lineRule="auto"/>
              <w:jc w:val="both"/>
              <w:rPr>
                <w:rFonts w:ascii="Times New Roman" w:hAnsi="Times New Roman" w:eastAsia="Calibri" w:cs="Times New Roman"/>
                <w:i/>
                <w:iCs/>
                <w:sz w:val="16"/>
                <w:szCs w:val="16"/>
              </w:rPr>
            </w:pPr>
          </w:p>
        </w:tc>
        <w:tc>
          <w:tcPr>
            <w:tcW w:w="3105" w:type="dxa"/>
            <w:tcMar>
              <w:left w:w="105" w:type="dxa"/>
              <w:right w:w="105" w:type="dxa"/>
            </w:tcMar>
          </w:tcPr>
          <w:p w14:paraId="0491D966">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420</w:t>
            </w:r>
          </w:p>
        </w:tc>
      </w:tr>
      <w:tr w14:paraId="35A97083">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410" w:type="dxa"/>
            <w:tcMar>
              <w:left w:w="105" w:type="dxa"/>
              <w:right w:w="105" w:type="dxa"/>
            </w:tcMar>
          </w:tcPr>
          <w:p w14:paraId="40E31796">
            <w:pPr>
              <w:spacing w:after="0" w:line="360" w:lineRule="auto"/>
              <w:jc w:val="both"/>
              <w:rPr>
                <w:rFonts w:ascii="Times New Roman" w:hAnsi="Times New Roman" w:cs="Times New Roman"/>
                <w:sz w:val="16"/>
                <w:szCs w:val="16"/>
              </w:rPr>
            </w:pPr>
            <w:r>
              <w:rPr>
                <w:rFonts w:ascii="Times New Roman" w:hAnsi="Times New Roman" w:eastAsia="Calibri" w:cs="Times New Roman"/>
                <w:sz w:val="16"/>
                <w:szCs w:val="16"/>
              </w:rPr>
              <w:t>PubMed</w:t>
            </w:r>
          </w:p>
        </w:tc>
        <w:tc>
          <w:tcPr>
            <w:tcW w:w="4800" w:type="dxa"/>
            <w:tcMar>
              <w:left w:w="105" w:type="dxa"/>
              <w:right w:w="105" w:type="dxa"/>
            </w:tcMar>
          </w:tcPr>
          <w:p w14:paraId="40AC54E2">
            <w:pPr>
              <w:spacing w:after="0" w:line="360" w:lineRule="auto"/>
              <w:jc w:val="both"/>
              <w:rPr>
                <w:rFonts w:ascii="Times New Roman" w:hAnsi="Times New Roman" w:eastAsia="Calibri" w:cs="Times New Roman"/>
                <w:i/>
                <w:iCs/>
                <w:sz w:val="16"/>
                <w:szCs w:val="16"/>
              </w:rPr>
            </w:pPr>
            <w:r>
              <w:rPr>
                <w:rFonts w:ascii="Times New Roman" w:hAnsi="Times New Roman" w:eastAsia="Calibri" w:cs="Times New Roman"/>
                <w:i/>
                <w:iCs/>
                <w:sz w:val="16"/>
                <w:szCs w:val="16"/>
              </w:rPr>
              <w:t>("CROWD") AND ("DEEP LEARNING") AND ("TRACK" OR "TRACKING")</w:t>
            </w:r>
          </w:p>
        </w:tc>
        <w:tc>
          <w:tcPr>
            <w:tcW w:w="3105" w:type="dxa"/>
            <w:tcMar>
              <w:left w:w="105" w:type="dxa"/>
              <w:right w:w="105" w:type="dxa"/>
            </w:tcMar>
          </w:tcPr>
          <w:p w14:paraId="7E5CAD6B">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5</w:t>
            </w:r>
          </w:p>
        </w:tc>
      </w:tr>
    </w:tbl>
    <w:p w14:paraId="53609990">
      <w:pPr>
        <w:spacing w:line="360" w:lineRule="auto"/>
        <w:ind w:right="-20"/>
        <w:jc w:val="both"/>
        <w:rPr>
          <w:rFonts w:ascii="Times New Roman" w:hAnsi="Times New Roman" w:eastAsia="Calibri" w:cs="Times New Roman"/>
          <w:color w:val="000000" w:themeColor="text1"/>
          <w14:textFill>
            <w14:solidFill>
              <w14:schemeClr w14:val="tx1"/>
            </w14:solidFill>
          </w14:textFill>
        </w:rPr>
        <w:sectPr>
          <w:type w:val="continuous"/>
          <w:pgSz w:w="12240" w:h="15840"/>
          <w:pgMar w:top="1440" w:right="1440" w:bottom="1440" w:left="1440" w:header="720" w:footer="720" w:gutter="0"/>
          <w:cols w:space="720" w:num="1"/>
          <w:docGrid w:linePitch="360" w:charSpace="0"/>
        </w:sectPr>
      </w:pPr>
    </w:p>
    <w:p w14:paraId="04D2BF50">
      <w:pPr>
        <w:spacing w:line="360" w:lineRule="auto"/>
        <w:ind w:right="-20"/>
        <w:jc w:val="both"/>
        <w:rPr>
          <w:rFonts w:ascii="Times New Roman" w:hAnsi="Times New Roman" w:eastAsia="Calibri" w:cs="Times New Roman"/>
          <w:color w:val="000000" w:themeColor="text1"/>
          <w:highlight w:val="yellow"/>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D. Inclusion and Exclusion Criteria.</w:t>
      </w:r>
    </w:p>
    <w:p w14:paraId="490CD959">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The studies included in the SLR were based on specific criteria. This is to filter out articles into papers that complement the current research. If the papers don’t meet the criteria, they will be excluded and filtered out of the study. Among the most important criteria is that it must be within the appropriate timeframe, which is the past five years of the current studies, to make sure that they are still relevant to the current day and age. Another important factor is that the paper must be written in English. Papers that do not meet these criteria are filtered out. The filtering occurs step by step to achieve higher accuracy in filtering the papers. Table 2 refers to the inclusion and exclusion criteria and the number of papers excluded.</w:t>
      </w:r>
    </w:p>
    <w:p w14:paraId="3A13D3E0">
      <w:pPr>
        <w:spacing w:line="360" w:lineRule="auto"/>
        <w:ind w:right="-20"/>
        <w:jc w:val="both"/>
        <w:rPr>
          <w:rFonts w:ascii="Times New Roman" w:hAnsi="Times New Roman" w:eastAsia="Calibri" w:cs="Times New Roman"/>
          <w:color w:val="000000" w:themeColor="text1"/>
          <w14:textFill>
            <w14:solidFill>
              <w14:schemeClr w14:val="tx1"/>
            </w14:solidFill>
          </w14:textFill>
        </w:rPr>
      </w:pPr>
    </w:p>
    <w:p w14:paraId="14842E07">
      <w:pPr>
        <w:spacing w:line="360" w:lineRule="auto"/>
        <w:ind w:right="-20"/>
        <w:jc w:val="both"/>
        <w:rPr>
          <w:rFonts w:ascii="Times New Roman" w:hAnsi="Times New Roman" w:eastAsia="Calibri" w:cs="Times New Roman"/>
          <w:color w:val="000000" w:themeColor="text1"/>
          <w14:textFill>
            <w14:solidFill>
              <w14:schemeClr w14:val="tx1"/>
            </w14:solidFill>
          </w14:textFill>
        </w:rPr>
      </w:pPr>
    </w:p>
    <w:p w14:paraId="54EA0975">
      <w:pPr>
        <w:spacing w:line="360" w:lineRule="auto"/>
        <w:ind w:right="-20"/>
        <w:jc w:val="both"/>
        <w:rPr>
          <w:rFonts w:ascii="Times New Roman" w:hAnsi="Times New Roman" w:eastAsia="Calibri" w:cs="Times New Roman"/>
          <w:color w:val="000000" w:themeColor="text1"/>
          <w14:textFill>
            <w14:solidFill>
              <w14:schemeClr w14:val="tx1"/>
            </w14:solidFill>
          </w14:textFill>
        </w:rPr>
      </w:pPr>
    </w:p>
    <w:p w14:paraId="6A63B79E">
      <w:pPr>
        <w:spacing w:line="360" w:lineRule="auto"/>
        <w:ind w:right="-20"/>
        <w:jc w:val="both"/>
        <w:rPr>
          <w:rFonts w:ascii="Times New Roman" w:hAnsi="Times New Roman" w:eastAsia="Calibri" w:cs="Times New Roman"/>
          <w:color w:val="000000" w:themeColor="text1"/>
          <w14:textFill>
            <w14:solidFill>
              <w14:schemeClr w14:val="tx1"/>
            </w14:solidFill>
          </w14:textFill>
        </w:rPr>
      </w:pPr>
    </w:p>
    <w:p w14:paraId="404E2055">
      <w:pPr>
        <w:spacing w:line="360" w:lineRule="auto"/>
        <w:ind w:right="-20"/>
        <w:jc w:val="both"/>
        <w:rPr>
          <w:rFonts w:ascii="Times New Roman" w:hAnsi="Times New Roman" w:eastAsia="Calibri" w:cs="Times New Roman"/>
          <w:color w:val="000000" w:themeColor="text1"/>
          <w14:textFill>
            <w14:solidFill>
              <w14:schemeClr w14:val="tx1"/>
            </w14:solidFill>
          </w14:textFill>
        </w:rPr>
        <w:sectPr>
          <w:type w:val="continuous"/>
          <w:pgSz w:w="12240" w:h="15840"/>
          <w:pgMar w:top="1440" w:right="1440" w:bottom="1440" w:left="1440" w:header="720" w:footer="720" w:gutter="0"/>
          <w:cols w:space="720" w:num="2"/>
          <w:docGrid w:linePitch="360" w:charSpace="0"/>
        </w:sectPr>
      </w:pPr>
    </w:p>
    <w:p w14:paraId="7C336774">
      <w:pPr>
        <w:spacing w:line="360" w:lineRule="auto"/>
        <w:ind w:right="-20"/>
        <w:jc w:val="both"/>
        <w:rPr>
          <w:rFonts w:ascii="Times New Roman" w:hAnsi="Times New Roman" w:eastAsia="Calibri" w:cs="Times New Roman"/>
          <w:color w:val="000000" w:themeColor="text1"/>
          <w14:textFill>
            <w14:solidFill>
              <w14:schemeClr w14:val="tx1"/>
            </w14:solidFill>
          </w14:textFill>
        </w:rPr>
      </w:pPr>
    </w:p>
    <w:p w14:paraId="3F94ECB0">
      <w:pPr>
        <w:spacing w:line="360" w:lineRule="auto"/>
        <w:ind w:right="-20"/>
        <w:jc w:val="both"/>
        <w:rPr>
          <w:rFonts w:ascii="Times New Roman" w:hAnsi="Times New Roman" w:eastAsia="Calibri" w:cs="Times New Roman"/>
          <w:color w:val="000000" w:themeColor="text1"/>
          <w14:textFill>
            <w14:solidFill>
              <w14:schemeClr w14:val="tx1"/>
            </w14:solidFill>
          </w14:textFill>
        </w:rPr>
      </w:pPr>
    </w:p>
    <w:p w14:paraId="1064DBDA">
      <w:pPr>
        <w:spacing w:line="360" w:lineRule="auto"/>
        <w:ind w:right="-20"/>
        <w:jc w:val="both"/>
        <w:rPr>
          <w:rFonts w:ascii="Times New Roman" w:hAnsi="Times New Roman" w:eastAsia="Calibri" w:cs="Times New Roman"/>
          <w:color w:val="000000" w:themeColor="text1"/>
          <w14:textFill>
            <w14:solidFill>
              <w14:schemeClr w14:val="tx1"/>
            </w14:solidFill>
          </w14:textFill>
        </w:rPr>
      </w:pPr>
    </w:p>
    <w:p w14:paraId="1BD3C193">
      <w:pPr>
        <w:spacing w:line="360" w:lineRule="auto"/>
        <w:ind w:right="-20"/>
        <w:jc w:val="both"/>
        <w:rPr>
          <w:rFonts w:ascii="Times New Roman" w:hAnsi="Times New Roman" w:eastAsia="Calibri" w:cs="Times New Roman"/>
          <w:color w:val="000000" w:themeColor="text1"/>
          <w14:textFill>
            <w14:solidFill>
              <w14:schemeClr w14:val="tx1"/>
            </w14:solidFill>
          </w14:textFill>
        </w:rPr>
      </w:pPr>
    </w:p>
    <w:p w14:paraId="386CE31E">
      <w:pPr>
        <w:spacing w:line="360" w:lineRule="auto"/>
        <w:ind w:right="-20"/>
        <w:jc w:val="both"/>
        <w:rPr>
          <w:rFonts w:ascii="Times New Roman" w:hAnsi="Times New Roman" w:eastAsia="Calibri" w:cs="Times New Roman"/>
          <w:color w:val="000000" w:themeColor="text1"/>
          <w14:textFill>
            <w14:solidFill>
              <w14:schemeClr w14:val="tx1"/>
            </w14:solidFill>
          </w14:textFill>
        </w:rPr>
      </w:pPr>
    </w:p>
    <w:p w14:paraId="3966ED77">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TABLE 2. Inclusion and Exclusion criteria and papers excluded.</w:t>
      </w:r>
    </w:p>
    <w:tbl>
      <w:tblPr>
        <w:tblStyle w:val="19"/>
        <w:tblW w:w="0" w:type="auto"/>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105"/>
        <w:gridCol w:w="4967"/>
        <w:gridCol w:w="1243"/>
      </w:tblGrid>
      <w:tr w14:paraId="5F811E76">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PrEx>
        <w:trPr>
          <w:trHeight w:val="300" w:hRule="atLeast"/>
        </w:trPr>
        <w:tc>
          <w:tcPr>
            <w:tcW w:w="3105" w:type="dxa"/>
            <w:tcMar>
              <w:left w:w="105" w:type="dxa"/>
              <w:right w:w="105" w:type="dxa"/>
            </w:tcMar>
          </w:tcPr>
          <w:p w14:paraId="538466A4">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Inclusion Criteria</w:t>
            </w:r>
          </w:p>
        </w:tc>
        <w:tc>
          <w:tcPr>
            <w:tcW w:w="4967" w:type="dxa"/>
            <w:tcMar>
              <w:left w:w="105" w:type="dxa"/>
              <w:right w:w="105" w:type="dxa"/>
            </w:tcMar>
          </w:tcPr>
          <w:p w14:paraId="293DB641">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Exclusion Criteria</w:t>
            </w:r>
          </w:p>
        </w:tc>
        <w:tc>
          <w:tcPr>
            <w:tcW w:w="1243" w:type="dxa"/>
            <w:tcMar>
              <w:left w:w="105" w:type="dxa"/>
              <w:right w:w="105" w:type="dxa"/>
            </w:tcMar>
          </w:tcPr>
          <w:p w14:paraId="06EC5B6D">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Number of Papers Excluded</w:t>
            </w:r>
          </w:p>
        </w:tc>
      </w:tr>
      <w:tr w14:paraId="2FD2110E">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3105" w:type="dxa"/>
            <w:tcMar>
              <w:left w:w="105" w:type="dxa"/>
              <w:right w:w="105" w:type="dxa"/>
            </w:tcMar>
          </w:tcPr>
          <w:p w14:paraId="132042D6">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 xml:space="preserve">Articles must be unique </w:t>
            </w:r>
          </w:p>
        </w:tc>
        <w:tc>
          <w:tcPr>
            <w:tcW w:w="4967" w:type="dxa"/>
            <w:tcMar>
              <w:left w:w="105" w:type="dxa"/>
              <w:right w:w="105" w:type="dxa"/>
            </w:tcMar>
          </w:tcPr>
          <w:p w14:paraId="23F29D2A">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There are duplicated articles</w:t>
            </w:r>
          </w:p>
        </w:tc>
        <w:tc>
          <w:tcPr>
            <w:tcW w:w="1243" w:type="dxa"/>
            <w:tcMar>
              <w:left w:w="105" w:type="dxa"/>
              <w:right w:w="105" w:type="dxa"/>
            </w:tcMar>
          </w:tcPr>
          <w:p w14:paraId="1A8EE46F">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140</w:t>
            </w:r>
          </w:p>
        </w:tc>
      </w:tr>
      <w:tr w14:paraId="20DF1EA8">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3105" w:type="dxa"/>
            <w:tcMar>
              <w:left w:w="105" w:type="dxa"/>
              <w:right w:w="105" w:type="dxa"/>
            </w:tcMar>
          </w:tcPr>
          <w:p w14:paraId="3D5D3569">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Paper must be published within 5 years of when the SLR is written (2019 to 2024).</w:t>
            </w:r>
          </w:p>
        </w:tc>
        <w:tc>
          <w:tcPr>
            <w:tcW w:w="4967" w:type="dxa"/>
            <w:tcMar>
              <w:left w:w="105" w:type="dxa"/>
              <w:right w:w="105" w:type="dxa"/>
            </w:tcMar>
          </w:tcPr>
          <w:p w14:paraId="681F7DB7">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Paper is not published within 2019 to 2024</w:t>
            </w:r>
          </w:p>
        </w:tc>
        <w:tc>
          <w:tcPr>
            <w:tcW w:w="1243" w:type="dxa"/>
            <w:tcMar>
              <w:left w:w="105" w:type="dxa"/>
              <w:right w:w="105" w:type="dxa"/>
            </w:tcMar>
          </w:tcPr>
          <w:p w14:paraId="563F1F0E">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52</w:t>
            </w:r>
          </w:p>
        </w:tc>
      </w:tr>
      <w:tr w14:paraId="72D4ADB7">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3105" w:type="dxa"/>
            <w:tcMar>
              <w:left w:w="105" w:type="dxa"/>
              <w:right w:w="105" w:type="dxa"/>
            </w:tcMar>
          </w:tcPr>
          <w:p w14:paraId="7A027A38">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 xml:space="preserve">Have an abstract related to the current research </w:t>
            </w:r>
          </w:p>
        </w:tc>
        <w:tc>
          <w:tcPr>
            <w:tcW w:w="4967" w:type="dxa"/>
            <w:tcMar>
              <w:left w:w="105" w:type="dxa"/>
              <w:right w:w="105" w:type="dxa"/>
            </w:tcMar>
          </w:tcPr>
          <w:p w14:paraId="1820871B">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No abstract or abstract not related to current research</w:t>
            </w:r>
          </w:p>
        </w:tc>
        <w:tc>
          <w:tcPr>
            <w:tcW w:w="1243" w:type="dxa"/>
            <w:tcMar>
              <w:left w:w="105" w:type="dxa"/>
              <w:right w:w="105" w:type="dxa"/>
            </w:tcMar>
          </w:tcPr>
          <w:p w14:paraId="2502F35D">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71</w:t>
            </w:r>
          </w:p>
        </w:tc>
      </w:tr>
      <w:tr w14:paraId="30C5967D">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3105" w:type="dxa"/>
            <w:tcMar>
              <w:left w:w="105" w:type="dxa"/>
              <w:right w:w="105" w:type="dxa"/>
            </w:tcMar>
          </w:tcPr>
          <w:p w14:paraId="51285520">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Paper must be in English</w:t>
            </w:r>
          </w:p>
        </w:tc>
        <w:tc>
          <w:tcPr>
            <w:tcW w:w="4967" w:type="dxa"/>
            <w:tcMar>
              <w:left w:w="105" w:type="dxa"/>
              <w:right w:w="105" w:type="dxa"/>
            </w:tcMar>
          </w:tcPr>
          <w:p w14:paraId="24CC9FF5">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Paper is in a language other than English</w:t>
            </w:r>
          </w:p>
        </w:tc>
        <w:tc>
          <w:tcPr>
            <w:tcW w:w="1243" w:type="dxa"/>
            <w:tcMar>
              <w:left w:w="105" w:type="dxa"/>
              <w:right w:w="105" w:type="dxa"/>
            </w:tcMar>
          </w:tcPr>
          <w:p w14:paraId="0116BC20">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2</w:t>
            </w:r>
          </w:p>
        </w:tc>
      </w:tr>
      <w:tr w14:paraId="5EAC5891">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3105" w:type="dxa"/>
            <w:tcMar>
              <w:left w:w="105" w:type="dxa"/>
              <w:right w:w="105" w:type="dxa"/>
            </w:tcMar>
          </w:tcPr>
          <w:p w14:paraId="071B725C">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Articles’ titles must relate to the current research</w:t>
            </w:r>
          </w:p>
        </w:tc>
        <w:tc>
          <w:tcPr>
            <w:tcW w:w="4967" w:type="dxa"/>
            <w:tcMar>
              <w:left w:w="105" w:type="dxa"/>
              <w:right w:w="105" w:type="dxa"/>
            </w:tcMar>
          </w:tcPr>
          <w:p w14:paraId="5886FFB5">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Articles not related to current research. Focus is on crowds. If crowd is not present, the article is excluded</w:t>
            </w:r>
          </w:p>
        </w:tc>
        <w:tc>
          <w:tcPr>
            <w:tcW w:w="1243" w:type="dxa"/>
            <w:tcMar>
              <w:left w:w="105" w:type="dxa"/>
              <w:right w:w="105" w:type="dxa"/>
            </w:tcMar>
          </w:tcPr>
          <w:p w14:paraId="50885ED1">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1497</w:t>
            </w:r>
          </w:p>
        </w:tc>
      </w:tr>
      <w:tr w14:paraId="372DD2AC">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3105" w:type="dxa"/>
            <w:tcMar>
              <w:left w:w="105" w:type="dxa"/>
              <w:right w:w="105" w:type="dxa"/>
            </w:tcMar>
          </w:tcPr>
          <w:p w14:paraId="404C6A42">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Have a DOI or URL</w:t>
            </w:r>
          </w:p>
        </w:tc>
        <w:tc>
          <w:tcPr>
            <w:tcW w:w="4967" w:type="dxa"/>
            <w:tcMar>
              <w:left w:w="105" w:type="dxa"/>
              <w:right w:w="105" w:type="dxa"/>
            </w:tcMar>
          </w:tcPr>
          <w:p w14:paraId="76A306A5">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Doesn’t have both URL and DOI</w:t>
            </w:r>
          </w:p>
        </w:tc>
        <w:tc>
          <w:tcPr>
            <w:tcW w:w="1243" w:type="dxa"/>
            <w:tcMar>
              <w:left w:w="105" w:type="dxa"/>
              <w:right w:w="105" w:type="dxa"/>
            </w:tcMar>
          </w:tcPr>
          <w:p w14:paraId="2D3C0B59">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11</w:t>
            </w:r>
          </w:p>
        </w:tc>
      </w:tr>
      <w:tr w14:paraId="1FDF7689">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3105" w:type="dxa"/>
            <w:tcMar>
              <w:left w:w="105" w:type="dxa"/>
              <w:right w:w="105" w:type="dxa"/>
            </w:tcMar>
          </w:tcPr>
          <w:p w14:paraId="7C40992E">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The same article could still be obtained</w:t>
            </w:r>
          </w:p>
        </w:tc>
        <w:tc>
          <w:tcPr>
            <w:tcW w:w="4967" w:type="dxa"/>
            <w:tcMar>
              <w:left w:w="105" w:type="dxa"/>
              <w:right w:w="105" w:type="dxa"/>
            </w:tcMar>
          </w:tcPr>
          <w:p w14:paraId="737B1865">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The same article cannot be found through the search engine used</w:t>
            </w:r>
          </w:p>
        </w:tc>
        <w:tc>
          <w:tcPr>
            <w:tcW w:w="1243" w:type="dxa"/>
            <w:tcMar>
              <w:left w:w="105" w:type="dxa"/>
              <w:right w:w="105" w:type="dxa"/>
            </w:tcMar>
          </w:tcPr>
          <w:p w14:paraId="28E5FA7B">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2</w:t>
            </w:r>
          </w:p>
        </w:tc>
      </w:tr>
      <w:tr w14:paraId="762050D4">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3105" w:type="dxa"/>
            <w:tcMar>
              <w:left w:w="105" w:type="dxa"/>
              <w:right w:w="105" w:type="dxa"/>
            </w:tcMar>
          </w:tcPr>
          <w:p w14:paraId="4FBEC5FE">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The article can be fully accessed</w:t>
            </w:r>
          </w:p>
        </w:tc>
        <w:tc>
          <w:tcPr>
            <w:tcW w:w="4967" w:type="dxa"/>
            <w:tcMar>
              <w:left w:w="105" w:type="dxa"/>
              <w:right w:w="105" w:type="dxa"/>
            </w:tcMar>
          </w:tcPr>
          <w:p w14:paraId="771F6A1A">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The article is not open-accessed even when using tools such as Zotero and Sci-Hub</w:t>
            </w:r>
          </w:p>
        </w:tc>
        <w:tc>
          <w:tcPr>
            <w:tcW w:w="1243" w:type="dxa"/>
            <w:tcMar>
              <w:left w:w="105" w:type="dxa"/>
              <w:right w:w="105" w:type="dxa"/>
            </w:tcMar>
          </w:tcPr>
          <w:p w14:paraId="48C87361">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26</w:t>
            </w:r>
          </w:p>
        </w:tc>
      </w:tr>
    </w:tbl>
    <w:p w14:paraId="2AB08BAB">
      <w:pPr>
        <w:spacing w:line="360" w:lineRule="auto"/>
        <w:ind w:right="-20"/>
        <w:jc w:val="both"/>
        <w:rPr>
          <w:rFonts w:ascii="Times New Roman" w:hAnsi="Times New Roman" w:eastAsia="Calibri" w:cs="Times New Roman"/>
          <w:color w:val="000000" w:themeColor="text1"/>
          <w14:textFill>
            <w14:solidFill>
              <w14:schemeClr w14:val="tx1"/>
            </w14:solidFill>
          </w14:textFill>
        </w:rPr>
        <w:sectPr>
          <w:type w:val="continuous"/>
          <w:pgSz w:w="12240" w:h="15840"/>
          <w:pgMar w:top="1440" w:right="1440" w:bottom="1440" w:left="1440" w:header="720" w:footer="720" w:gutter="0"/>
          <w:cols w:space="720" w:num="1"/>
          <w:docGrid w:linePitch="360" w:charSpace="0"/>
        </w:sectPr>
      </w:pPr>
    </w:p>
    <w:p w14:paraId="2DCA27DC">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E. Quality Assessment</w:t>
      </w:r>
    </w:p>
    <w:p w14:paraId="79C79CA9">
      <w:pPr>
        <w:spacing w:line="360" w:lineRule="auto"/>
        <w:ind w:right="-20"/>
        <w:jc w:val="both"/>
        <w:rPr>
          <w:rFonts w:ascii="Times New Roman" w:hAnsi="Times New Roman" w:eastAsia="Calibri" w:cs="Times New Roman"/>
          <w:color w:val="000000" w:themeColor="text1"/>
          <w14:textFill>
            <w14:solidFill>
              <w14:schemeClr w14:val="tx1"/>
            </w14:solidFill>
          </w14:textFill>
        </w:rPr>
        <w:sectPr>
          <w:type w:val="continuous"/>
          <w:pgSz w:w="12240" w:h="15840"/>
          <w:pgMar w:top="1440" w:right="1440" w:bottom="1440" w:left="1440" w:header="720" w:footer="720" w:gutter="0"/>
          <w:cols w:space="720" w:num="2"/>
          <w:docGrid w:linePitch="360" w:charSpace="0"/>
        </w:sectPr>
      </w:pPr>
    </w:p>
    <w:p w14:paraId="3525624C">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Table 3 shows the quality assessment questions.</w:t>
      </w:r>
    </w:p>
    <w:p w14:paraId="7687016F">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TABLE 3. Quality Assessment Questions</w:t>
      </w:r>
    </w:p>
    <w:tbl>
      <w:tblPr>
        <w:tblStyle w:val="19"/>
        <w:tblW w:w="0" w:type="auto"/>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7647"/>
        <w:gridCol w:w="1697"/>
      </w:tblGrid>
      <w:tr w14:paraId="79B177E3">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7647" w:type="dxa"/>
            <w:tcMar>
              <w:left w:w="105" w:type="dxa"/>
              <w:right w:w="105" w:type="dxa"/>
            </w:tcMar>
          </w:tcPr>
          <w:p w14:paraId="23DDD3F2">
            <w:pPr>
              <w:spacing w:after="0" w:line="360" w:lineRule="auto"/>
              <w:jc w:val="both"/>
              <w:rPr>
                <w:rFonts w:ascii="Times New Roman" w:hAnsi="Times New Roman" w:cs="Times New Roman"/>
                <w:sz w:val="16"/>
                <w:szCs w:val="16"/>
              </w:rPr>
            </w:pPr>
            <w:r>
              <w:rPr>
                <w:rFonts w:ascii="Times New Roman" w:hAnsi="Times New Roman" w:eastAsia="Calibri" w:cs="Times New Roman"/>
                <w:sz w:val="16"/>
                <w:szCs w:val="16"/>
              </w:rPr>
              <w:t>Quality Assessment</w:t>
            </w:r>
          </w:p>
        </w:tc>
        <w:tc>
          <w:tcPr>
            <w:tcW w:w="1697" w:type="dxa"/>
            <w:tcMar>
              <w:left w:w="105" w:type="dxa"/>
              <w:right w:w="105" w:type="dxa"/>
            </w:tcMar>
          </w:tcPr>
          <w:p w14:paraId="0AC15DDA">
            <w:pPr>
              <w:spacing w:after="0" w:line="360" w:lineRule="auto"/>
              <w:jc w:val="both"/>
              <w:rPr>
                <w:rFonts w:ascii="Times New Roman" w:hAnsi="Times New Roman" w:cs="Times New Roman"/>
                <w:sz w:val="16"/>
                <w:szCs w:val="16"/>
              </w:rPr>
            </w:pPr>
            <w:r>
              <w:rPr>
                <w:rFonts w:ascii="Times New Roman" w:hAnsi="Times New Roman" w:eastAsia="Calibri" w:cs="Times New Roman"/>
                <w:sz w:val="16"/>
                <w:szCs w:val="16"/>
              </w:rPr>
              <w:t>Respective RQ</w:t>
            </w:r>
          </w:p>
        </w:tc>
      </w:tr>
      <w:tr w14:paraId="0C7C1CA8">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7647" w:type="dxa"/>
            <w:tcMar>
              <w:left w:w="105" w:type="dxa"/>
              <w:right w:w="105" w:type="dxa"/>
            </w:tcMar>
          </w:tcPr>
          <w:p w14:paraId="78C0DD38">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QA 1: The research uses localisation as its deep learning approach</w:t>
            </w:r>
          </w:p>
        </w:tc>
        <w:tc>
          <w:tcPr>
            <w:tcW w:w="1697" w:type="dxa"/>
            <w:tcMar>
              <w:left w:w="105" w:type="dxa"/>
              <w:right w:w="105" w:type="dxa"/>
            </w:tcMar>
          </w:tcPr>
          <w:p w14:paraId="3C9EFC04">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Q1</w:t>
            </w:r>
          </w:p>
        </w:tc>
      </w:tr>
      <w:tr w14:paraId="00E5ADAA">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7647" w:type="dxa"/>
            <w:tcMar>
              <w:left w:w="105" w:type="dxa"/>
              <w:right w:w="105" w:type="dxa"/>
            </w:tcMar>
          </w:tcPr>
          <w:p w14:paraId="5B137242">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QA 2: The crowd involved in the study is a dense crowd</w:t>
            </w:r>
          </w:p>
        </w:tc>
        <w:tc>
          <w:tcPr>
            <w:tcW w:w="1697" w:type="dxa"/>
            <w:tcMar>
              <w:left w:w="105" w:type="dxa"/>
              <w:right w:w="105" w:type="dxa"/>
            </w:tcMar>
          </w:tcPr>
          <w:p w14:paraId="3085E78D">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Q1</w:t>
            </w:r>
          </w:p>
        </w:tc>
      </w:tr>
      <w:tr w14:paraId="5650FD07">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7647" w:type="dxa"/>
            <w:tcMar>
              <w:left w:w="105" w:type="dxa"/>
              <w:right w:w="105" w:type="dxa"/>
            </w:tcMar>
          </w:tcPr>
          <w:p w14:paraId="211C39B7">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QA 3: The research uses auto annotation for tracking the individuals in a dense crowd</w:t>
            </w:r>
          </w:p>
        </w:tc>
        <w:tc>
          <w:tcPr>
            <w:tcW w:w="1697" w:type="dxa"/>
            <w:tcMar>
              <w:left w:w="105" w:type="dxa"/>
              <w:right w:w="105" w:type="dxa"/>
            </w:tcMar>
          </w:tcPr>
          <w:p w14:paraId="19603C7B">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Q2</w:t>
            </w:r>
          </w:p>
        </w:tc>
      </w:tr>
      <w:tr w14:paraId="419B23CB">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7647" w:type="dxa"/>
            <w:tcMar>
              <w:left w:w="105" w:type="dxa"/>
              <w:right w:w="105" w:type="dxa"/>
            </w:tcMar>
          </w:tcPr>
          <w:p w14:paraId="07896C4B">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QA 4: One trained dataset is used on different test datasets</w:t>
            </w:r>
          </w:p>
        </w:tc>
        <w:tc>
          <w:tcPr>
            <w:tcW w:w="1697" w:type="dxa"/>
            <w:tcMar>
              <w:left w:w="105" w:type="dxa"/>
              <w:right w:w="105" w:type="dxa"/>
            </w:tcMar>
          </w:tcPr>
          <w:p w14:paraId="34A95729">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Q2</w:t>
            </w:r>
          </w:p>
        </w:tc>
      </w:tr>
      <w:tr w14:paraId="3CE5395C">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7647" w:type="dxa"/>
            <w:tcMar>
              <w:left w:w="105" w:type="dxa"/>
              <w:right w:w="105" w:type="dxa"/>
            </w:tcMar>
          </w:tcPr>
          <w:p w14:paraId="7B8ED10A">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QA 5: Re-identification of the same person is implemented in the tracking</w:t>
            </w:r>
          </w:p>
        </w:tc>
        <w:tc>
          <w:tcPr>
            <w:tcW w:w="1697" w:type="dxa"/>
            <w:tcMar>
              <w:left w:w="105" w:type="dxa"/>
              <w:right w:w="105" w:type="dxa"/>
            </w:tcMar>
          </w:tcPr>
          <w:p w14:paraId="4F3A77AE">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Q3</w:t>
            </w:r>
          </w:p>
        </w:tc>
      </w:tr>
    </w:tbl>
    <w:p w14:paraId="77A6515D">
      <w:pPr>
        <w:spacing w:line="360" w:lineRule="auto"/>
        <w:ind w:right="-20"/>
        <w:jc w:val="both"/>
        <w:rPr>
          <w:rFonts w:ascii="Times New Roman" w:hAnsi="Times New Roman" w:eastAsia="Calibri" w:cs="Times New Roman"/>
          <w:color w:val="000000" w:themeColor="text1"/>
          <w14:textFill>
            <w14:solidFill>
              <w14:schemeClr w14:val="tx1"/>
            </w14:solidFill>
          </w14:textFill>
        </w:rPr>
        <w:sectPr>
          <w:type w:val="continuous"/>
          <w:pgSz w:w="12240" w:h="15840"/>
          <w:pgMar w:top="1440" w:right="1440" w:bottom="1440" w:left="1440" w:header="720" w:footer="720" w:gutter="0"/>
          <w:cols w:space="720" w:num="1"/>
          <w:docGrid w:linePitch="360" w:charSpace="0"/>
        </w:sectPr>
      </w:pPr>
    </w:p>
    <w:p w14:paraId="533254E3">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These questions are to find research papers that can help answer the research questions proposed at the start of the SLR. The quality assessment questions are formulated similarly to the current study such as finding papers that implement dense crowds and localisation method.</w:t>
      </w:r>
    </w:p>
    <w:p w14:paraId="270FD291">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The studies filtered from the previous step were further filtered through the quality assessment criteria. The main reason for this is although the papers gathered are somewhat related to the current topic, they are not able to help answer the research questions proposed during the research questions’ formulation phase. The quality assessment phase is executed to filter out the best of the best papers that can help answer the research questions proposed in this SLR and extract data from the remaining research studies. The quality assessment checklist is as shown in Table 3.</w:t>
      </w:r>
    </w:p>
    <w:p w14:paraId="05F527CE">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The quality criteria are as follows in Table 4.</w:t>
      </w:r>
    </w:p>
    <w:p w14:paraId="3583AD0A">
      <w:pPr>
        <w:spacing w:line="360" w:lineRule="auto"/>
        <w:ind w:right="-20"/>
        <w:jc w:val="both"/>
        <w:rPr>
          <w:rFonts w:ascii="Times New Roman" w:hAnsi="Times New Roman" w:eastAsia="Calibri" w:cs="Times New Roman"/>
          <w:color w:val="000000" w:themeColor="text1"/>
          <w14:textFill>
            <w14:solidFill>
              <w14:schemeClr w14:val="tx1"/>
            </w14:solidFill>
          </w14:textFill>
        </w:rPr>
        <w:sectPr>
          <w:type w:val="continuous"/>
          <w:pgSz w:w="12240" w:h="15840"/>
          <w:pgMar w:top="1440" w:right="1440" w:bottom="1440" w:left="1440" w:header="720" w:footer="720" w:gutter="0"/>
          <w:cols w:space="720" w:num="2"/>
          <w:docGrid w:linePitch="360" w:charSpace="0"/>
        </w:sectPr>
      </w:pPr>
    </w:p>
    <w:p w14:paraId="7C56445A">
      <w:pPr>
        <w:spacing w:line="360" w:lineRule="auto"/>
        <w:ind w:right="-20"/>
        <w:jc w:val="both"/>
        <w:rPr>
          <w:rFonts w:ascii="Times New Roman" w:hAnsi="Times New Roman" w:eastAsia="Calibri" w:cs="Times New Roman"/>
          <w:color w:val="000000" w:themeColor="text1"/>
          <w14:textFill>
            <w14:solidFill>
              <w14:schemeClr w14:val="tx1"/>
            </w14:solidFill>
          </w14:textFill>
        </w:rPr>
      </w:pPr>
    </w:p>
    <w:p w14:paraId="617370E0">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TABLE 4. Quality Assessment Scoring Criteria</w:t>
      </w:r>
    </w:p>
    <w:tbl>
      <w:tblPr>
        <w:tblStyle w:val="19"/>
        <w:tblW w:w="9360" w:type="dxa"/>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789"/>
        <w:gridCol w:w="1571"/>
      </w:tblGrid>
      <w:tr w14:paraId="60DE91B0">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7789" w:type="dxa"/>
            <w:tcMar>
              <w:left w:w="105" w:type="dxa"/>
              <w:right w:w="105" w:type="dxa"/>
            </w:tcMar>
          </w:tcPr>
          <w:p w14:paraId="33455C44">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Quality Assessment Scoring</w:t>
            </w:r>
          </w:p>
        </w:tc>
        <w:tc>
          <w:tcPr>
            <w:tcW w:w="1571" w:type="dxa"/>
            <w:tcMar>
              <w:left w:w="105" w:type="dxa"/>
              <w:right w:w="105" w:type="dxa"/>
            </w:tcMar>
          </w:tcPr>
          <w:p w14:paraId="0927CC2C">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Score</w:t>
            </w:r>
          </w:p>
        </w:tc>
      </w:tr>
      <w:tr w14:paraId="0084D70C">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7789" w:type="dxa"/>
            <w:tcMar>
              <w:left w:w="105" w:type="dxa"/>
              <w:right w:w="105" w:type="dxa"/>
            </w:tcMar>
          </w:tcPr>
          <w:p w14:paraId="55049BDC">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The author(s) demonstrated a clear, detailed and explicit explanation on the answers for the specific RQ</w:t>
            </w:r>
          </w:p>
        </w:tc>
        <w:tc>
          <w:tcPr>
            <w:tcW w:w="1571" w:type="dxa"/>
            <w:tcMar>
              <w:left w:w="105" w:type="dxa"/>
              <w:right w:w="105" w:type="dxa"/>
            </w:tcMar>
          </w:tcPr>
          <w:p w14:paraId="28400629">
            <w:pPr>
              <w:spacing w:after="0" w:line="360" w:lineRule="auto"/>
              <w:jc w:val="both"/>
              <w:rPr>
                <w:rFonts w:ascii="Times New Roman" w:hAnsi="Times New Roman" w:cs="Times New Roman"/>
                <w:sz w:val="16"/>
                <w:szCs w:val="16"/>
              </w:rPr>
            </w:pPr>
            <w:r>
              <w:rPr>
                <w:rFonts w:ascii="Times New Roman" w:hAnsi="Times New Roman" w:eastAsia="Calibri" w:cs="Times New Roman"/>
                <w:sz w:val="16"/>
                <w:szCs w:val="16"/>
              </w:rPr>
              <w:t>HIGH = H = 1</w:t>
            </w:r>
          </w:p>
        </w:tc>
      </w:tr>
      <w:tr w14:paraId="0D44627D">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7789" w:type="dxa"/>
            <w:tcMar>
              <w:left w:w="105" w:type="dxa"/>
              <w:right w:w="105" w:type="dxa"/>
            </w:tcMar>
          </w:tcPr>
          <w:p w14:paraId="2456B20A">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 xml:space="preserve">The author(s) provided a general, non-detailed, and non-explicit explanation on the answers for the specific RQ  </w:t>
            </w:r>
          </w:p>
        </w:tc>
        <w:tc>
          <w:tcPr>
            <w:tcW w:w="1571" w:type="dxa"/>
            <w:tcMar>
              <w:left w:w="105" w:type="dxa"/>
              <w:right w:w="105" w:type="dxa"/>
            </w:tcMar>
          </w:tcPr>
          <w:p w14:paraId="6BBE81AB">
            <w:pPr>
              <w:spacing w:after="0" w:line="360" w:lineRule="auto"/>
              <w:jc w:val="both"/>
              <w:rPr>
                <w:rFonts w:ascii="Times New Roman" w:hAnsi="Times New Roman" w:cs="Times New Roman"/>
                <w:sz w:val="16"/>
                <w:szCs w:val="16"/>
              </w:rPr>
            </w:pPr>
            <w:r>
              <w:rPr>
                <w:rFonts w:ascii="Times New Roman" w:hAnsi="Times New Roman" w:eastAsia="Calibri" w:cs="Times New Roman"/>
                <w:sz w:val="16"/>
                <w:szCs w:val="16"/>
              </w:rPr>
              <w:t>MEDIUM = M = 0.5</w:t>
            </w:r>
          </w:p>
        </w:tc>
      </w:tr>
      <w:tr w14:paraId="5B821BC0">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7789" w:type="dxa"/>
            <w:tcMar>
              <w:left w:w="105" w:type="dxa"/>
              <w:right w:w="105" w:type="dxa"/>
            </w:tcMar>
          </w:tcPr>
          <w:p w14:paraId="51E33B6C">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The author(s) either provided no or very few technical details on answering the specific RQ</w:t>
            </w:r>
          </w:p>
        </w:tc>
        <w:tc>
          <w:tcPr>
            <w:tcW w:w="1571" w:type="dxa"/>
            <w:tcMar>
              <w:left w:w="105" w:type="dxa"/>
              <w:right w:w="105" w:type="dxa"/>
            </w:tcMar>
          </w:tcPr>
          <w:p w14:paraId="5C8D8AD5">
            <w:pPr>
              <w:spacing w:after="0" w:line="360" w:lineRule="auto"/>
              <w:jc w:val="both"/>
              <w:rPr>
                <w:rFonts w:ascii="Times New Roman" w:hAnsi="Times New Roman" w:cs="Times New Roman"/>
                <w:sz w:val="16"/>
                <w:szCs w:val="16"/>
              </w:rPr>
            </w:pPr>
            <w:r>
              <w:rPr>
                <w:rFonts w:ascii="Times New Roman" w:hAnsi="Times New Roman" w:eastAsia="Calibri" w:cs="Times New Roman"/>
                <w:sz w:val="16"/>
                <w:szCs w:val="16"/>
              </w:rPr>
              <w:t>LOW = L = 0</w:t>
            </w:r>
          </w:p>
        </w:tc>
      </w:tr>
    </w:tbl>
    <w:p w14:paraId="6614116B">
      <w:pPr>
        <w:spacing w:line="360" w:lineRule="auto"/>
        <w:ind w:right="-20"/>
        <w:jc w:val="both"/>
        <w:rPr>
          <w:rFonts w:ascii="Times New Roman" w:hAnsi="Times New Roman" w:eastAsia="Calibri" w:cs="Times New Roman"/>
          <w:color w:val="000000" w:themeColor="text1"/>
          <w14:textFill>
            <w14:solidFill>
              <w14:schemeClr w14:val="tx1"/>
            </w14:solidFill>
          </w14:textFill>
        </w:rPr>
        <w:sectPr>
          <w:type w:val="continuous"/>
          <w:pgSz w:w="12240" w:h="15840"/>
          <w:pgMar w:top="1440" w:right="1440" w:bottom="1440" w:left="1440" w:header="720" w:footer="720" w:gutter="0"/>
          <w:cols w:space="720" w:num="1"/>
          <w:docGrid w:linePitch="360" w:charSpace="0"/>
        </w:sectPr>
      </w:pPr>
    </w:p>
    <w:p w14:paraId="39C6287B">
      <w:pPr>
        <w:spacing w:line="360" w:lineRule="auto"/>
        <w:ind w:right="-20"/>
        <w:jc w:val="both"/>
        <w:rPr>
          <w:rFonts w:ascii="Times New Roman" w:hAnsi="Times New Roman" w:cs="Times New Roman"/>
        </w:rPr>
      </w:pPr>
      <w:r>
        <w:rPr>
          <w:rFonts w:ascii="Times New Roman" w:hAnsi="Times New Roman" w:eastAsia="Calibri" w:cs="Times New Roman"/>
          <w:color w:val="000000" w:themeColor="text1"/>
          <w14:textFill>
            <w14:solidFill>
              <w14:schemeClr w14:val="tx1"/>
            </w14:solidFill>
          </w14:textFill>
        </w:rPr>
        <w:t xml:space="preserve">The remaining research papers were evaluated against the quality assessment questions shown in Table 3. If the score is at least 3, then the paper is accepted in this SLR. As the quality assessment goes through each of the paper, the scores related to each QA of the papers were done on an Excel sheet and can be downloaded and then viewed through the link, </w:t>
      </w:r>
      <w:r>
        <w:fldChar w:fldCharType="begin"/>
      </w:r>
      <w:r>
        <w:instrText xml:space="preserve"> HYPERLINK "https://github.com/firdauskotp/SLR-DETECTION-AND-TRACKING-OF-PEOPLE-IN-A-CROWD-THROUGH-DEEP-LEARNING-APPROACH/blob/main/Publish%20or%20Perish%20Excel%20Sheets/Quality%20Assessment.xlsx" </w:instrText>
      </w:r>
      <w:r>
        <w:fldChar w:fldCharType="separate"/>
      </w:r>
      <w:r>
        <w:rPr>
          <w:rStyle w:val="16"/>
          <w:rFonts w:ascii="Times New Roman" w:hAnsi="Times New Roman" w:cs="Times New Roman"/>
        </w:rPr>
        <w:t>SLR-DETECTION-AND-TRACKING-OF-PEOPLE-IN-A-CROWD-THROUGH-DEEP-LEARNING-APPROACH/Publish or Perish Excel Sheets/Quality Assessment.xlsx at main · firdauskotp/SLR-DETECTION-AND-TRACKING-OF-PEOPLE-IN-A-CROWD-THROUGH-DEEP-LEARNING-APPROACH · GitHub</w:t>
      </w:r>
      <w:r>
        <w:rPr>
          <w:rStyle w:val="16"/>
          <w:rFonts w:ascii="Times New Roman" w:hAnsi="Times New Roman" w:cs="Times New Roman"/>
        </w:rPr>
        <w:fldChar w:fldCharType="end"/>
      </w:r>
      <w:r>
        <w:rPr>
          <w:rFonts w:ascii="Times New Roman" w:hAnsi="Times New Roman" w:cs="Times New Roman"/>
        </w:rPr>
        <w:t xml:space="preserve">. </w:t>
      </w:r>
    </w:p>
    <w:p w14:paraId="2DF192CB">
      <w:pPr>
        <w:spacing w:line="360" w:lineRule="auto"/>
        <w:ind w:right="-20"/>
        <w:jc w:val="both"/>
        <w:rPr>
          <w:rFonts w:ascii="Times New Roman" w:hAnsi="Times New Roman" w:cs="Times New Roman"/>
        </w:rPr>
      </w:pPr>
      <w:r>
        <w:rPr>
          <w:rFonts w:ascii="Times New Roman" w:hAnsi="Times New Roman" w:cs="Times New Roman"/>
        </w:rPr>
        <w:t>The full table can also be viewed on the supplement paper that contains all of the tables and figures of this SLR where the table is named Table 5.</w:t>
      </w:r>
      <w:bookmarkStart w:id="0" w:name="_GoBack"/>
      <w:bookmarkEnd w:id="0"/>
    </w:p>
    <w:p w14:paraId="384B07C8">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F. Data Collection</w:t>
      </w:r>
    </w:p>
    <w:p w14:paraId="13476105">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 xml:space="preserve">After the quality assessment phase, data extraction is implemented on the remaining papers which are now used as the primary studies. The reason is to find the strong point of each research paper that can answer a specific research question. Table </w:t>
      </w:r>
      <w:r>
        <w:rPr>
          <w:rFonts w:hint="default" w:ascii="Times New Roman" w:hAnsi="Times New Roman" w:eastAsia="Calibri" w:cs="Times New Roman"/>
          <w:color w:val="000000" w:themeColor="text1"/>
          <w:lang w:val="en-US"/>
          <w14:textFill>
            <w14:solidFill>
              <w14:schemeClr w14:val="tx1"/>
            </w14:solidFill>
          </w14:textFill>
        </w:rPr>
        <w:t>5</w:t>
      </w:r>
      <w:r>
        <w:rPr>
          <w:rFonts w:ascii="Times New Roman" w:hAnsi="Times New Roman" w:eastAsia="Calibri" w:cs="Times New Roman"/>
          <w:color w:val="000000" w:themeColor="text1"/>
          <w14:textFill>
            <w14:solidFill>
              <w14:schemeClr w14:val="tx1"/>
            </w14:solidFill>
          </w14:textFill>
        </w:rPr>
        <w:t xml:space="preserve"> shows the research paper along with their most respected research question and how it helped to answer it.</w:t>
      </w:r>
    </w:p>
    <w:p w14:paraId="4BF8B871">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sectPr>
          <w:type w:val="continuous"/>
          <w:pgSz w:w="12240" w:h="15840"/>
          <w:pgMar w:top="1440" w:right="1440" w:bottom="1440" w:left="1440" w:header="720" w:footer="720" w:gutter="0"/>
          <w:cols w:space="720" w:num="2"/>
          <w:docGrid w:linePitch="360" w:charSpace="0"/>
        </w:sectPr>
      </w:pPr>
    </w:p>
    <w:p w14:paraId="577A1287">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p>
    <w:p w14:paraId="59313CC5">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p>
    <w:p w14:paraId="5ADBD58E">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p>
    <w:p w14:paraId="48FE0312">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p>
    <w:p w14:paraId="0858A15B">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 xml:space="preserve">TABLE </w:t>
      </w:r>
      <w:r>
        <w:rPr>
          <w:rFonts w:hint="default" w:ascii="Times New Roman" w:hAnsi="Times New Roman" w:eastAsia="Calibri" w:cs="Times New Roman"/>
          <w:color w:val="000000" w:themeColor="text1"/>
          <w:lang w:val="en-US"/>
          <w14:textFill>
            <w14:solidFill>
              <w14:schemeClr w14:val="tx1"/>
            </w14:solidFill>
          </w14:textFill>
        </w:rPr>
        <w:t>5</w:t>
      </w:r>
      <w:r>
        <w:rPr>
          <w:rFonts w:ascii="Times New Roman" w:hAnsi="Times New Roman" w:eastAsia="Calibri" w:cs="Times New Roman"/>
          <w:color w:val="000000" w:themeColor="text1"/>
          <w14:textFill>
            <w14:solidFill>
              <w14:schemeClr w14:val="tx1"/>
            </w14:solidFill>
          </w14:textFill>
        </w:rPr>
        <w:t>. Primary Studies and its most respected RQ</w:t>
      </w:r>
    </w:p>
    <w:tbl>
      <w:tblPr>
        <w:tblStyle w:val="19"/>
        <w:tblW w:w="9360" w:type="dxa"/>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072"/>
        <w:gridCol w:w="1288"/>
      </w:tblGrid>
      <w:tr w14:paraId="680F4DE1">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072" w:type="dxa"/>
            <w:tcMar>
              <w:left w:w="105" w:type="dxa"/>
              <w:right w:w="105" w:type="dxa"/>
            </w:tcMar>
          </w:tcPr>
          <w:p w14:paraId="4BF11C09">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Primary Study</w:t>
            </w:r>
          </w:p>
        </w:tc>
        <w:tc>
          <w:tcPr>
            <w:tcW w:w="1288" w:type="dxa"/>
            <w:tcMar>
              <w:left w:w="105" w:type="dxa"/>
              <w:right w:w="105" w:type="dxa"/>
            </w:tcMar>
          </w:tcPr>
          <w:p w14:paraId="48DC853F">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Respected RQ</w:t>
            </w:r>
          </w:p>
        </w:tc>
      </w:tr>
      <w:tr w14:paraId="0C36E0D1">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072" w:type="dxa"/>
            <w:tcMar>
              <w:left w:w="105" w:type="dxa"/>
              <w:right w:w="105" w:type="dxa"/>
            </w:tcMar>
          </w:tcPr>
          <w:p w14:paraId="70B85A08">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Learning how to analyse crowd behaviour using synthetic data</w:t>
            </w:r>
          </w:p>
        </w:tc>
        <w:tc>
          <w:tcPr>
            <w:tcW w:w="1288" w:type="dxa"/>
            <w:tcMar>
              <w:left w:w="105" w:type="dxa"/>
              <w:right w:w="105" w:type="dxa"/>
            </w:tcMar>
          </w:tcPr>
          <w:p w14:paraId="463A87DF">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RQ2</w:t>
            </w:r>
          </w:p>
        </w:tc>
      </w:tr>
      <w:tr w14:paraId="0FF4CC19">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072" w:type="dxa"/>
            <w:tcMar>
              <w:left w:w="105" w:type="dxa"/>
              <w:right w:w="105" w:type="dxa"/>
            </w:tcMar>
          </w:tcPr>
          <w:p w14:paraId="0AF1DCC7">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Tracking Hundreds of People in Densely Crowded Scenes With Particle Filtering Supervising Deep Convolutional Neural Networks</w:t>
            </w:r>
          </w:p>
        </w:tc>
        <w:tc>
          <w:tcPr>
            <w:tcW w:w="1288" w:type="dxa"/>
            <w:tcMar>
              <w:left w:w="105" w:type="dxa"/>
              <w:right w:w="105" w:type="dxa"/>
            </w:tcMar>
          </w:tcPr>
          <w:p w14:paraId="13D08B03">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RQ2</w:t>
            </w:r>
          </w:p>
        </w:tc>
      </w:tr>
      <w:tr w14:paraId="32AF02D5">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072" w:type="dxa"/>
            <w:tcMar>
              <w:left w:w="105" w:type="dxa"/>
              <w:right w:w="105" w:type="dxa"/>
            </w:tcMar>
          </w:tcPr>
          <w:p w14:paraId="1A04D769">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Crowd Abnormal Behavior Detection Combining Movement and Emotion Descriptors</w:t>
            </w:r>
          </w:p>
        </w:tc>
        <w:tc>
          <w:tcPr>
            <w:tcW w:w="1288" w:type="dxa"/>
            <w:tcMar>
              <w:left w:w="105" w:type="dxa"/>
              <w:right w:w="105" w:type="dxa"/>
            </w:tcMar>
          </w:tcPr>
          <w:p w14:paraId="1C3EE4A7">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RQ2</w:t>
            </w:r>
          </w:p>
        </w:tc>
      </w:tr>
      <w:tr w14:paraId="1FE279F7">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072" w:type="dxa"/>
            <w:tcMar>
              <w:left w:w="105" w:type="dxa"/>
              <w:right w:w="105" w:type="dxa"/>
            </w:tcMar>
          </w:tcPr>
          <w:p w14:paraId="354FBE3B">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Fast intensive crowd counting model of Internet of Things based on multi-scale attention mechanism</w:t>
            </w:r>
          </w:p>
        </w:tc>
        <w:tc>
          <w:tcPr>
            <w:tcW w:w="1288" w:type="dxa"/>
            <w:tcMar>
              <w:left w:w="105" w:type="dxa"/>
              <w:right w:w="105" w:type="dxa"/>
            </w:tcMar>
          </w:tcPr>
          <w:p w14:paraId="4316E10F">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RQ3</w:t>
            </w:r>
          </w:p>
        </w:tc>
      </w:tr>
      <w:tr w14:paraId="5B1D5A80">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072" w:type="dxa"/>
            <w:tcMar>
              <w:left w:w="105" w:type="dxa"/>
              <w:right w:w="105" w:type="dxa"/>
            </w:tcMar>
          </w:tcPr>
          <w:p w14:paraId="648CCD36">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UUCT - HyMP: Towards Tracking Dispersed Crowd Groups from UAVs</w:t>
            </w:r>
          </w:p>
        </w:tc>
        <w:tc>
          <w:tcPr>
            <w:tcW w:w="1288" w:type="dxa"/>
            <w:tcMar>
              <w:left w:w="105" w:type="dxa"/>
              <w:right w:w="105" w:type="dxa"/>
            </w:tcMar>
          </w:tcPr>
          <w:p w14:paraId="2C96C611">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RQ2</w:t>
            </w:r>
          </w:p>
        </w:tc>
      </w:tr>
      <w:tr w14:paraId="4859B679">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072" w:type="dxa"/>
            <w:tcMar>
              <w:left w:w="105" w:type="dxa"/>
              <w:right w:w="105" w:type="dxa"/>
            </w:tcMar>
          </w:tcPr>
          <w:p w14:paraId="3733278B">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Multi-Scale Occluded Pedestrian Detection Based on Deep Learning</w:t>
            </w:r>
          </w:p>
        </w:tc>
        <w:tc>
          <w:tcPr>
            <w:tcW w:w="1288" w:type="dxa"/>
            <w:tcMar>
              <w:left w:w="105" w:type="dxa"/>
              <w:right w:w="105" w:type="dxa"/>
            </w:tcMar>
          </w:tcPr>
          <w:p w14:paraId="1B7053B1">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RQ1</w:t>
            </w:r>
          </w:p>
        </w:tc>
      </w:tr>
      <w:tr w14:paraId="6579B598">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072" w:type="dxa"/>
            <w:tcMar>
              <w:left w:w="105" w:type="dxa"/>
              <w:right w:w="105" w:type="dxa"/>
            </w:tcMar>
          </w:tcPr>
          <w:p w14:paraId="2F1C6457">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An Aerial Crowd-Flow Analyzing System for Drone Under YOLOv5 and StrongSort</w:t>
            </w:r>
          </w:p>
        </w:tc>
        <w:tc>
          <w:tcPr>
            <w:tcW w:w="1288" w:type="dxa"/>
            <w:tcMar>
              <w:left w:w="105" w:type="dxa"/>
              <w:right w:w="105" w:type="dxa"/>
            </w:tcMar>
          </w:tcPr>
          <w:p w14:paraId="4597955C">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RQ2</w:t>
            </w:r>
          </w:p>
        </w:tc>
      </w:tr>
      <w:tr w14:paraId="2A8A21AC">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072" w:type="dxa"/>
            <w:tcMar>
              <w:left w:w="105" w:type="dxa"/>
              <w:right w:w="105" w:type="dxa"/>
            </w:tcMar>
          </w:tcPr>
          <w:p w14:paraId="40F71140">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Fusion of CCTV Video and Spatial Information for Automated Crowd Congestion Monitoring in Public Urban Spaces</w:t>
            </w:r>
          </w:p>
        </w:tc>
        <w:tc>
          <w:tcPr>
            <w:tcW w:w="1288" w:type="dxa"/>
            <w:tcMar>
              <w:left w:w="105" w:type="dxa"/>
              <w:right w:w="105" w:type="dxa"/>
            </w:tcMar>
          </w:tcPr>
          <w:p w14:paraId="1395185F">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RQ1</w:t>
            </w:r>
          </w:p>
        </w:tc>
      </w:tr>
      <w:tr w14:paraId="1351C8AE">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072" w:type="dxa"/>
            <w:tcMar>
              <w:left w:w="105" w:type="dxa"/>
              <w:right w:w="105" w:type="dxa"/>
            </w:tcMar>
          </w:tcPr>
          <w:p w14:paraId="48D1749E">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Enhancing Real-Time Human Tracking using YOLONAS-DeepSort Fusion Models</w:t>
            </w:r>
          </w:p>
        </w:tc>
        <w:tc>
          <w:tcPr>
            <w:tcW w:w="1288" w:type="dxa"/>
            <w:tcMar>
              <w:left w:w="105" w:type="dxa"/>
              <w:right w:w="105" w:type="dxa"/>
            </w:tcMar>
          </w:tcPr>
          <w:p w14:paraId="4BC8B4FD">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RQ3</w:t>
            </w:r>
          </w:p>
        </w:tc>
      </w:tr>
      <w:tr w14:paraId="395F94E6">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072" w:type="dxa"/>
            <w:tcMar>
              <w:left w:w="105" w:type="dxa"/>
              <w:right w:w="105" w:type="dxa"/>
            </w:tcMar>
          </w:tcPr>
          <w:p w14:paraId="201E6ACC">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Less Is More: Learning from Synthetic Data with Fine-Grained Attributes for Person Re-Identification</w:t>
            </w:r>
          </w:p>
        </w:tc>
        <w:tc>
          <w:tcPr>
            <w:tcW w:w="1288" w:type="dxa"/>
            <w:tcMar>
              <w:left w:w="105" w:type="dxa"/>
              <w:right w:w="105" w:type="dxa"/>
            </w:tcMar>
          </w:tcPr>
          <w:p w14:paraId="739987FC">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RQ2</w:t>
            </w:r>
          </w:p>
        </w:tc>
      </w:tr>
      <w:tr w14:paraId="24FD5AD8">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072" w:type="dxa"/>
            <w:tcMar>
              <w:left w:w="105" w:type="dxa"/>
              <w:right w:w="105" w:type="dxa"/>
            </w:tcMar>
          </w:tcPr>
          <w:p w14:paraId="0680EA31">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A Survey on Multi-Target Multi-Camera Tracking Methods</w:t>
            </w:r>
          </w:p>
        </w:tc>
        <w:tc>
          <w:tcPr>
            <w:tcW w:w="1288" w:type="dxa"/>
            <w:tcMar>
              <w:left w:w="105" w:type="dxa"/>
              <w:right w:w="105" w:type="dxa"/>
            </w:tcMar>
          </w:tcPr>
          <w:p w14:paraId="115C8076">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RQ3</w:t>
            </w:r>
          </w:p>
        </w:tc>
      </w:tr>
      <w:tr w14:paraId="0A35DD25">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072" w:type="dxa"/>
            <w:tcMar>
              <w:left w:w="105" w:type="dxa"/>
              <w:right w:w="105" w:type="dxa"/>
            </w:tcMar>
          </w:tcPr>
          <w:p w14:paraId="100C60BA">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Handling Heavy Occlusion in Dense Crowd Tracking by Focusing on the Heads</w:t>
            </w:r>
          </w:p>
        </w:tc>
        <w:tc>
          <w:tcPr>
            <w:tcW w:w="1288" w:type="dxa"/>
            <w:tcMar>
              <w:left w:w="105" w:type="dxa"/>
              <w:right w:w="105" w:type="dxa"/>
            </w:tcMar>
          </w:tcPr>
          <w:p w14:paraId="46437317">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RQ1</w:t>
            </w:r>
          </w:p>
        </w:tc>
      </w:tr>
      <w:tr w14:paraId="7A236142">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072" w:type="dxa"/>
            <w:tcMar>
              <w:left w:w="105" w:type="dxa"/>
              <w:right w:w="105" w:type="dxa"/>
            </w:tcMar>
          </w:tcPr>
          <w:p w14:paraId="2ED021F7">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Topology and channel affinity reinforced global attention for person re-identification</w:t>
            </w:r>
          </w:p>
        </w:tc>
        <w:tc>
          <w:tcPr>
            <w:tcW w:w="1288" w:type="dxa"/>
            <w:tcMar>
              <w:left w:w="105" w:type="dxa"/>
              <w:right w:w="105" w:type="dxa"/>
            </w:tcMar>
          </w:tcPr>
          <w:p w14:paraId="217F04B8">
            <w:pPr>
              <w:spacing w:after="0" w:line="360" w:lineRule="auto"/>
              <w:jc w:val="both"/>
              <w:rPr>
                <w:rFonts w:ascii="Times New Roman" w:hAnsi="Times New Roman" w:cs="Times New Roman"/>
                <w:sz w:val="16"/>
                <w:szCs w:val="16"/>
              </w:rPr>
            </w:pPr>
            <w:r>
              <w:rPr>
                <w:rFonts w:ascii="Times New Roman" w:hAnsi="Times New Roman" w:eastAsia="Calibri" w:cs="Times New Roman"/>
                <w:sz w:val="16"/>
                <w:szCs w:val="16"/>
              </w:rPr>
              <w:t>RQ1</w:t>
            </w:r>
          </w:p>
        </w:tc>
      </w:tr>
    </w:tbl>
    <w:p w14:paraId="3A2E5966">
      <w:pPr>
        <w:spacing w:line="360" w:lineRule="auto"/>
        <w:jc w:val="both"/>
        <w:rPr>
          <w:rFonts w:ascii="Times New Roman" w:hAnsi="Times New Roman" w:cs="Times New Roman"/>
        </w:rPr>
        <w:sectPr>
          <w:type w:val="continuous"/>
          <w:pgSz w:w="12240" w:h="15840"/>
          <w:pgMar w:top="1440" w:right="1440" w:bottom="1440" w:left="1440" w:header="720" w:footer="720" w:gutter="0"/>
          <w:cols w:space="720" w:num="1"/>
          <w:docGrid w:linePitch="360" w:charSpace="0"/>
        </w:sectPr>
      </w:pPr>
    </w:p>
    <w:p w14:paraId="0EE5E5C6">
      <w:pPr>
        <w:spacing w:line="360" w:lineRule="auto"/>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Figure 2 shows the PRISMA process implemented during the SLR from the papers gotten until the papers used as primary studies.</w:t>
      </w:r>
    </w:p>
    <w:p w14:paraId="1457A04D">
      <w:pPr>
        <w:spacing w:line="360" w:lineRule="auto"/>
        <w:ind w:left="-20" w:right="-20"/>
        <w:jc w:val="both"/>
        <w:rPr>
          <w:rFonts w:ascii="Times New Roman" w:hAnsi="Times New Roman" w:cs="Times New Roman"/>
        </w:rPr>
      </w:pPr>
      <w:r>
        <w:rPr>
          <w:rFonts w:ascii="Times New Roman" w:hAnsi="Times New Roman" w:cs="Times New Roman"/>
          <w:lang w:val="en-MY" w:eastAsia="en-MY"/>
        </w:rPr>
        <w:drawing>
          <wp:inline distT="0" distB="0" distL="0" distR="0">
            <wp:extent cx="2524125" cy="2749550"/>
            <wp:effectExtent l="0" t="0" r="0" b="0"/>
            <wp:docPr id="1432327201" name="Picture 1432327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327201" name="Picture 143232720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76606" cy="2807071"/>
                    </a:xfrm>
                    <a:prstGeom prst="rect">
                      <a:avLst/>
                    </a:prstGeom>
                  </pic:spPr>
                </pic:pic>
              </a:graphicData>
            </a:graphic>
          </wp:inline>
        </w:drawing>
      </w:r>
    </w:p>
    <w:p w14:paraId="1C247EBC">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FIGURE 2. PRISMA Diagram for the current SLR</w:t>
      </w:r>
    </w:p>
    <w:p w14:paraId="0FBBED09">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p>
    <w:p w14:paraId="2EEB029A">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 xml:space="preserve">The final part of the process is cleaning the data. This is because Publish or Perish mixes up the data between different databases. </w:t>
      </w:r>
    </w:p>
    <w:p w14:paraId="2BE9674F">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 xml:space="preserve">The screening process from getting the papers in the database to getting the primary studies where the important details are fixed can be found in the Excel sheet, </w:t>
      </w:r>
      <w:r>
        <w:fldChar w:fldCharType="begin"/>
      </w:r>
      <w:r>
        <w:instrText xml:space="preserve"> HYPERLINK "https://github.com/firdauskotp/SLR-DETECTION-AND-TRACKING-OF-PEOPLE-IN-A-CROWD-THROUGH-DEEP-LEARNING-APPROACH/blob/main/Publish%20or%20Perish%20Excel%20Sheets/PoP%20Primary%20Studies%20Screening%20Process.xlsx" \h </w:instrText>
      </w:r>
      <w:r>
        <w:fldChar w:fldCharType="separate"/>
      </w:r>
      <w:r>
        <w:rPr>
          <w:rStyle w:val="16"/>
          <w:rFonts w:ascii="Times New Roman" w:hAnsi="Times New Roman" w:eastAsia="Calibri" w:cs="Times New Roman"/>
        </w:rPr>
        <w:t>https://github.com/firdauskotp/SLR-DETECTION-AND-TRACKING-OF-PEOPLE-IN-A-CROWD-THROUGH-DEEP-LEARNING-APPROACH/blob/main/Publish%20or%20Perish%20Excel%20Sheets/PoP%20Primary%20Studies%20Screening%20Process.xlsx</w:t>
      </w:r>
      <w:r>
        <w:rPr>
          <w:rStyle w:val="16"/>
          <w:rFonts w:ascii="Times New Roman" w:hAnsi="Times New Roman" w:eastAsia="Calibri" w:cs="Times New Roman"/>
        </w:rPr>
        <w:fldChar w:fldCharType="end"/>
      </w:r>
    </w:p>
    <w:p w14:paraId="302EB85B">
      <w:pPr>
        <w:spacing w:line="360" w:lineRule="auto"/>
        <w:jc w:val="both"/>
        <w:rPr>
          <w:rFonts w:ascii="Times New Roman" w:hAnsi="Times New Roman" w:eastAsia="Calibri" w:cs="Times New Roman"/>
          <w:color w:val="000000" w:themeColor="text1"/>
          <w14:textFill>
            <w14:solidFill>
              <w14:schemeClr w14:val="tx1"/>
            </w14:solidFill>
          </w14:textFill>
        </w:rPr>
      </w:pPr>
    </w:p>
    <w:p w14:paraId="01C094A1">
      <w:pPr>
        <w:spacing w:line="360" w:lineRule="auto"/>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G. Data Analysis</w:t>
      </w:r>
    </w:p>
    <w:p w14:paraId="0BF09D3D">
      <w:pPr>
        <w:spacing w:line="360" w:lineRule="auto"/>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This is the final step of the SLR methodology where the primary studies and the data extracted from them are analysed to answer the research questions according to the strong points of each paper.</w:t>
      </w:r>
    </w:p>
    <w:p w14:paraId="5B608EDD">
      <w:pPr>
        <w:spacing w:line="360" w:lineRule="auto"/>
        <w:jc w:val="both"/>
        <w:rPr>
          <w:rFonts w:ascii="Times New Roman" w:hAnsi="Times New Roman" w:eastAsia="Calibri" w:cs="Times New Roman"/>
          <w:color w:val="000000" w:themeColor="text1"/>
          <w14:textFill>
            <w14:solidFill>
              <w14:schemeClr w14:val="tx1"/>
            </w14:solidFill>
          </w14:textFill>
        </w:rPr>
      </w:pPr>
    </w:p>
    <w:p w14:paraId="7D7351D9">
      <w:pPr>
        <w:spacing w:line="360" w:lineRule="auto"/>
        <w:jc w:val="both"/>
        <w:rPr>
          <w:rFonts w:ascii="Times New Roman" w:hAnsi="Times New Roman" w:eastAsia="Calibri" w:cs="Times New Roman"/>
          <w:b/>
          <w:color w:val="000000" w:themeColor="text1"/>
          <w14:textFill>
            <w14:solidFill>
              <w14:schemeClr w14:val="tx1"/>
            </w14:solidFill>
          </w14:textFill>
        </w:rPr>
      </w:pPr>
      <w:r>
        <w:rPr>
          <w:rFonts w:ascii="Times New Roman" w:hAnsi="Times New Roman" w:eastAsia="Calibri" w:cs="Times New Roman"/>
          <w:b/>
          <w:color w:val="000000" w:themeColor="text1"/>
          <w14:textFill>
            <w14:solidFill>
              <w14:schemeClr w14:val="tx1"/>
            </w14:solidFill>
          </w14:textFill>
        </w:rPr>
        <w:t>3. Result and Analysis</w:t>
      </w:r>
    </w:p>
    <w:p w14:paraId="1FFE8750">
      <w:pPr>
        <w:spacing w:line="360" w:lineRule="auto"/>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 xml:space="preserve">In this SLR, there are 13 primary studies obtained after the PRISMA process from 1889 studies collected from five different databases. These primary studies will be used to answer the research questions proposed at the start of the SLR. A summary of the primary studies can be found in Table </w:t>
      </w:r>
      <w:r>
        <w:rPr>
          <w:rFonts w:hint="default" w:ascii="Times New Roman" w:hAnsi="Times New Roman" w:eastAsia="Calibri" w:cs="Times New Roman"/>
          <w:color w:val="000000" w:themeColor="text1"/>
          <w:lang w:val="en-US"/>
          <w14:textFill>
            <w14:solidFill>
              <w14:schemeClr w14:val="tx1"/>
            </w14:solidFill>
          </w14:textFill>
        </w:rPr>
        <w:t>6</w:t>
      </w:r>
      <w:r>
        <w:rPr>
          <w:rFonts w:ascii="Times New Roman" w:hAnsi="Times New Roman" w:eastAsia="Calibri" w:cs="Times New Roman"/>
          <w:color w:val="000000" w:themeColor="text1"/>
          <w14:textFill>
            <w14:solidFill>
              <w14:schemeClr w14:val="tx1"/>
            </w14:solidFill>
          </w14:textFill>
        </w:rPr>
        <w:t>.</w:t>
      </w:r>
    </w:p>
    <w:p w14:paraId="6F2BFF75">
      <w:pPr>
        <w:spacing w:line="360" w:lineRule="auto"/>
        <w:jc w:val="both"/>
        <w:rPr>
          <w:rFonts w:ascii="Times New Roman" w:hAnsi="Times New Roman" w:eastAsia="Calibri" w:cs="Times New Roman"/>
          <w:color w:val="000000" w:themeColor="text1"/>
          <w14:textFill>
            <w14:solidFill>
              <w14:schemeClr w14:val="tx1"/>
            </w14:solidFill>
          </w14:textFill>
        </w:rPr>
      </w:pPr>
    </w:p>
    <w:p w14:paraId="74DE882F">
      <w:pPr>
        <w:spacing w:line="360" w:lineRule="auto"/>
        <w:jc w:val="both"/>
        <w:rPr>
          <w:rFonts w:ascii="Times New Roman" w:hAnsi="Times New Roman" w:eastAsia="Calibri" w:cs="Times New Roman"/>
          <w:color w:val="000000" w:themeColor="text1"/>
          <w14:textFill>
            <w14:solidFill>
              <w14:schemeClr w14:val="tx1"/>
            </w14:solidFill>
          </w14:textFill>
        </w:rPr>
        <w:sectPr>
          <w:type w:val="continuous"/>
          <w:pgSz w:w="12240" w:h="15840"/>
          <w:pgMar w:top="1440" w:right="1440" w:bottom="1440" w:left="1440" w:header="720" w:footer="720" w:gutter="0"/>
          <w:cols w:space="720" w:num="2"/>
          <w:docGrid w:linePitch="360" w:charSpace="0"/>
        </w:sectPr>
      </w:pPr>
    </w:p>
    <w:p w14:paraId="0C7FD6C4">
      <w:pPr>
        <w:spacing w:line="360" w:lineRule="auto"/>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 xml:space="preserve">TABLE </w:t>
      </w:r>
      <w:r>
        <w:rPr>
          <w:rFonts w:hint="default" w:ascii="Times New Roman" w:hAnsi="Times New Roman" w:eastAsia="Calibri" w:cs="Times New Roman"/>
          <w:color w:val="000000" w:themeColor="text1"/>
          <w:lang w:val="en-US"/>
          <w14:textFill>
            <w14:solidFill>
              <w14:schemeClr w14:val="tx1"/>
            </w14:solidFill>
          </w14:textFill>
        </w:rPr>
        <w:t>6</w:t>
      </w:r>
      <w:r>
        <w:rPr>
          <w:rFonts w:ascii="Times New Roman" w:hAnsi="Times New Roman" w:eastAsia="Calibri" w:cs="Times New Roman"/>
          <w:color w:val="000000" w:themeColor="text1"/>
          <w14:textFill>
            <w14:solidFill>
              <w14:schemeClr w14:val="tx1"/>
            </w14:solidFill>
          </w14:textFill>
        </w:rPr>
        <w:t>. Summary of Primary Studies</w:t>
      </w:r>
    </w:p>
    <w:tbl>
      <w:tblPr>
        <w:tblStyle w:val="19"/>
        <w:tblW w:w="9330" w:type="dxa"/>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85"/>
        <w:gridCol w:w="1645"/>
        <w:gridCol w:w="1575"/>
        <w:gridCol w:w="1575"/>
        <w:gridCol w:w="1365"/>
        <w:gridCol w:w="1290"/>
        <w:gridCol w:w="1095"/>
      </w:tblGrid>
      <w:tr w14:paraId="638F570B">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785" w:type="dxa"/>
            <w:tcMar>
              <w:left w:w="105" w:type="dxa"/>
              <w:right w:w="105" w:type="dxa"/>
            </w:tcMar>
          </w:tcPr>
          <w:p w14:paraId="091F1AD6">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ID</w:t>
            </w:r>
          </w:p>
        </w:tc>
        <w:tc>
          <w:tcPr>
            <w:tcW w:w="1645" w:type="dxa"/>
            <w:tcMar>
              <w:left w:w="105" w:type="dxa"/>
              <w:right w:w="105" w:type="dxa"/>
            </w:tcMar>
          </w:tcPr>
          <w:p w14:paraId="622D4ADA">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TITLE</w:t>
            </w:r>
          </w:p>
        </w:tc>
        <w:tc>
          <w:tcPr>
            <w:tcW w:w="1575" w:type="dxa"/>
            <w:tcMar>
              <w:left w:w="105" w:type="dxa"/>
              <w:right w:w="105" w:type="dxa"/>
            </w:tcMar>
          </w:tcPr>
          <w:p w14:paraId="4F94BF8A">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REFERENCE</w:t>
            </w:r>
          </w:p>
        </w:tc>
        <w:tc>
          <w:tcPr>
            <w:tcW w:w="1575" w:type="dxa"/>
            <w:tcMar>
              <w:left w:w="105" w:type="dxa"/>
              <w:right w:w="105" w:type="dxa"/>
            </w:tcMar>
          </w:tcPr>
          <w:p w14:paraId="4C7D93B5">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PUBLISHER</w:t>
            </w:r>
          </w:p>
        </w:tc>
        <w:tc>
          <w:tcPr>
            <w:tcW w:w="1365" w:type="dxa"/>
            <w:tcMar>
              <w:left w:w="105" w:type="dxa"/>
              <w:right w:w="105" w:type="dxa"/>
            </w:tcMar>
          </w:tcPr>
          <w:p w14:paraId="4D4F824B">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TYPE</w:t>
            </w:r>
          </w:p>
        </w:tc>
        <w:tc>
          <w:tcPr>
            <w:tcW w:w="1290" w:type="dxa"/>
            <w:tcMar>
              <w:left w:w="105" w:type="dxa"/>
              <w:right w:w="105" w:type="dxa"/>
            </w:tcMar>
          </w:tcPr>
          <w:p w14:paraId="412854B6">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RESPECTED RQ</w:t>
            </w:r>
          </w:p>
        </w:tc>
        <w:tc>
          <w:tcPr>
            <w:tcW w:w="1095" w:type="dxa"/>
            <w:tcMar>
              <w:left w:w="105" w:type="dxa"/>
              <w:right w:w="105" w:type="dxa"/>
            </w:tcMar>
          </w:tcPr>
          <w:p w14:paraId="423C0479">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YEAR</w:t>
            </w:r>
          </w:p>
        </w:tc>
      </w:tr>
      <w:tr w14:paraId="6D4994C5">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785" w:type="dxa"/>
            <w:tcMar>
              <w:left w:w="105" w:type="dxa"/>
              <w:right w:w="105" w:type="dxa"/>
            </w:tcMar>
          </w:tcPr>
          <w:p w14:paraId="5E863A9A">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PS1</w:t>
            </w:r>
          </w:p>
        </w:tc>
        <w:tc>
          <w:tcPr>
            <w:tcW w:w="1645" w:type="dxa"/>
            <w:tcMar>
              <w:left w:w="105" w:type="dxa"/>
              <w:right w:w="105" w:type="dxa"/>
            </w:tcMar>
          </w:tcPr>
          <w:p w14:paraId="2FB2143A">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Learning how to analyse crowd behaviour using synthetic data</w:t>
            </w:r>
          </w:p>
        </w:tc>
        <w:tc>
          <w:tcPr>
            <w:tcW w:w="1575" w:type="dxa"/>
            <w:tcMar>
              <w:left w:w="105" w:type="dxa"/>
              <w:right w:w="105" w:type="dxa"/>
            </w:tcMar>
          </w:tcPr>
          <w:p w14:paraId="2F0A4653">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(A.R. Khadka et al., 2019)</w:t>
            </w:r>
          </w:p>
        </w:tc>
        <w:tc>
          <w:tcPr>
            <w:tcW w:w="1575" w:type="dxa"/>
            <w:tcMar>
              <w:left w:w="105" w:type="dxa"/>
              <w:right w:w="105" w:type="dxa"/>
            </w:tcMar>
          </w:tcPr>
          <w:p w14:paraId="7D9FD33D">
            <w:pPr>
              <w:spacing w:after="0" w:line="360" w:lineRule="auto"/>
              <w:jc w:val="both"/>
              <w:rPr>
                <w:rFonts w:ascii="Times New Roman" w:hAnsi="Times New Roman" w:cs="Times New Roman"/>
                <w:sz w:val="16"/>
                <w:szCs w:val="16"/>
              </w:rPr>
            </w:pPr>
            <w:r>
              <w:rPr>
                <w:rFonts w:ascii="Times New Roman" w:hAnsi="Times New Roman" w:eastAsia="Calibri" w:cs="Times New Roman"/>
                <w:sz w:val="16"/>
                <w:szCs w:val="16"/>
              </w:rPr>
              <w:t>ACM Digital Library</w:t>
            </w:r>
          </w:p>
        </w:tc>
        <w:tc>
          <w:tcPr>
            <w:tcW w:w="1365" w:type="dxa"/>
            <w:tcMar>
              <w:left w:w="105" w:type="dxa"/>
              <w:right w:w="105" w:type="dxa"/>
            </w:tcMar>
          </w:tcPr>
          <w:p w14:paraId="4BD19301">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Conference Paper</w:t>
            </w:r>
          </w:p>
        </w:tc>
        <w:tc>
          <w:tcPr>
            <w:tcW w:w="1290" w:type="dxa"/>
            <w:tcMar>
              <w:left w:w="105" w:type="dxa"/>
              <w:right w:w="105" w:type="dxa"/>
            </w:tcMar>
          </w:tcPr>
          <w:p w14:paraId="70523F8E">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RQ2</w:t>
            </w:r>
          </w:p>
        </w:tc>
        <w:tc>
          <w:tcPr>
            <w:tcW w:w="1095" w:type="dxa"/>
            <w:tcMar>
              <w:left w:w="105" w:type="dxa"/>
              <w:right w:w="105" w:type="dxa"/>
            </w:tcMar>
          </w:tcPr>
          <w:p w14:paraId="2ABA57F3">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2019</w:t>
            </w:r>
          </w:p>
        </w:tc>
      </w:tr>
      <w:tr w14:paraId="62A54C86">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785" w:type="dxa"/>
            <w:tcMar>
              <w:left w:w="105" w:type="dxa"/>
              <w:right w:w="105" w:type="dxa"/>
            </w:tcMar>
          </w:tcPr>
          <w:p w14:paraId="28DD588B">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PS2</w:t>
            </w:r>
          </w:p>
        </w:tc>
        <w:tc>
          <w:tcPr>
            <w:tcW w:w="1645" w:type="dxa"/>
            <w:tcMar>
              <w:left w:w="105" w:type="dxa"/>
              <w:right w:w="105" w:type="dxa"/>
            </w:tcMar>
          </w:tcPr>
          <w:p w14:paraId="0F775914">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Tracking Hundreds of People in Densely Crowded Scenes With Particle Filtering Supervising Deep Convolutional Neural Networks</w:t>
            </w:r>
          </w:p>
        </w:tc>
        <w:tc>
          <w:tcPr>
            <w:tcW w:w="1575" w:type="dxa"/>
            <w:tcMar>
              <w:left w:w="105" w:type="dxa"/>
              <w:right w:w="105" w:type="dxa"/>
            </w:tcMar>
          </w:tcPr>
          <w:p w14:paraId="6A050157">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(Gianni Franchi et al., 2020)</w:t>
            </w:r>
          </w:p>
          <w:p w14:paraId="53CB4453">
            <w:pPr>
              <w:spacing w:after="0" w:line="360" w:lineRule="auto"/>
              <w:jc w:val="both"/>
              <w:rPr>
                <w:rFonts w:ascii="Times New Roman" w:hAnsi="Times New Roman" w:eastAsia="Calibri" w:cs="Times New Roman"/>
                <w:sz w:val="16"/>
                <w:szCs w:val="16"/>
              </w:rPr>
            </w:pPr>
          </w:p>
        </w:tc>
        <w:tc>
          <w:tcPr>
            <w:tcW w:w="1575" w:type="dxa"/>
            <w:tcMar>
              <w:left w:w="105" w:type="dxa"/>
              <w:right w:w="105" w:type="dxa"/>
            </w:tcMar>
          </w:tcPr>
          <w:p w14:paraId="5EF39DF3">
            <w:pPr>
              <w:spacing w:after="0" w:line="360" w:lineRule="auto"/>
              <w:jc w:val="both"/>
              <w:rPr>
                <w:rFonts w:ascii="Times New Roman" w:hAnsi="Times New Roman" w:cs="Times New Roman"/>
                <w:sz w:val="16"/>
                <w:szCs w:val="16"/>
              </w:rPr>
            </w:pPr>
            <w:r>
              <w:rPr>
                <w:rFonts w:ascii="Times New Roman" w:hAnsi="Times New Roman" w:eastAsia="Calibri" w:cs="Times New Roman"/>
                <w:sz w:val="16"/>
                <w:szCs w:val="16"/>
              </w:rPr>
              <w:t>IEEE</w:t>
            </w:r>
          </w:p>
        </w:tc>
        <w:tc>
          <w:tcPr>
            <w:tcW w:w="1365" w:type="dxa"/>
            <w:tcMar>
              <w:left w:w="105" w:type="dxa"/>
              <w:right w:w="105" w:type="dxa"/>
            </w:tcMar>
          </w:tcPr>
          <w:p w14:paraId="2CFB4631">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Conference Paper</w:t>
            </w:r>
          </w:p>
        </w:tc>
        <w:tc>
          <w:tcPr>
            <w:tcW w:w="1290" w:type="dxa"/>
            <w:tcMar>
              <w:left w:w="105" w:type="dxa"/>
              <w:right w:w="105" w:type="dxa"/>
            </w:tcMar>
          </w:tcPr>
          <w:p w14:paraId="2E64DE1C">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RQ2</w:t>
            </w:r>
          </w:p>
        </w:tc>
        <w:tc>
          <w:tcPr>
            <w:tcW w:w="1095" w:type="dxa"/>
            <w:tcMar>
              <w:left w:w="105" w:type="dxa"/>
              <w:right w:w="105" w:type="dxa"/>
            </w:tcMar>
          </w:tcPr>
          <w:p w14:paraId="5D34613A">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2020</w:t>
            </w:r>
          </w:p>
        </w:tc>
      </w:tr>
      <w:tr w14:paraId="0851E114">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785" w:type="dxa"/>
            <w:tcMar>
              <w:left w:w="105" w:type="dxa"/>
              <w:right w:w="105" w:type="dxa"/>
            </w:tcMar>
          </w:tcPr>
          <w:p w14:paraId="3B3FF7D9">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PS3</w:t>
            </w:r>
          </w:p>
        </w:tc>
        <w:tc>
          <w:tcPr>
            <w:tcW w:w="1645" w:type="dxa"/>
            <w:tcMar>
              <w:left w:w="105" w:type="dxa"/>
              <w:right w:w="105" w:type="dxa"/>
            </w:tcMar>
          </w:tcPr>
          <w:p w14:paraId="27BC4BC4">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Crowd Abnormal Behavior Detection Combining Movement and Emotion Descriptors</w:t>
            </w:r>
          </w:p>
        </w:tc>
        <w:tc>
          <w:tcPr>
            <w:tcW w:w="1575" w:type="dxa"/>
            <w:tcMar>
              <w:left w:w="105" w:type="dxa"/>
              <w:right w:w="105" w:type="dxa"/>
            </w:tcMar>
          </w:tcPr>
          <w:p w14:paraId="36FAC985">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(Xiao Li et al., 2020)</w:t>
            </w:r>
          </w:p>
          <w:p w14:paraId="4033A161">
            <w:pPr>
              <w:spacing w:after="0" w:line="360" w:lineRule="auto"/>
              <w:jc w:val="both"/>
              <w:rPr>
                <w:rFonts w:ascii="Times New Roman" w:hAnsi="Times New Roman" w:eastAsia="Calibri" w:cs="Times New Roman"/>
                <w:sz w:val="16"/>
                <w:szCs w:val="16"/>
              </w:rPr>
            </w:pPr>
          </w:p>
        </w:tc>
        <w:tc>
          <w:tcPr>
            <w:tcW w:w="1575" w:type="dxa"/>
            <w:tcMar>
              <w:left w:w="105" w:type="dxa"/>
              <w:right w:w="105" w:type="dxa"/>
            </w:tcMar>
          </w:tcPr>
          <w:p w14:paraId="375B2053">
            <w:pPr>
              <w:spacing w:after="0" w:line="360" w:lineRule="auto"/>
              <w:jc w:val="both"/>
              <w:rPr>
                <w:rFonts w:ascii="Times New Roman" w:hAnsi="Times New Roman" w:cs="Times New Roman"/>
                <w:sz w:val="16"/>
                <w:szCs w:val="16"/>
              </w:rPr>
            </w:pPr>
            <w:r>
              <w:rPr>
                <w:rFonts w:ascii="Times New Roman" w:hAnsi="Times New Roman" w:eastAsia="Calibri" w:cs="Times New Roman"/>
                <w:sz w:val="16"/>
                <w:szCs w:val="16"/>
              </w:rPr>
              <w:t>ACM Digital Library</w:t>
            </w:r>
          </w:p>
          <w:p w14:paraId="32C69786">
            <w:pPr>
              <w:spacing w:after="0" w:line="360" w:lineRule="auto"/>
              <w:jc w:val="both"/>
              <w:rPr>
                <w:rFonts w:ascii="Times New Roman" w:hAnsi="Times New Roman" w:eastAsia="Calibri" w:cs="Times New Roman"/>
                <w:sz w:val="16"/>
                <w:szCs w:val="16"/>
              </w:rPr>
            </w:pPr>
          </w:p>
        </w:tc>
        <w:tc>
          <w:tcPr>
            <w:tcW w:w="1365" w:type="dxa"/>
            <w:tcMar>
              <w:left w:w="105" w:type="dxa"/>
              <w:right w:w="105" w:type="dxa"/>
            </w:tcMar>
          </w:tcPr>
          <w:p w14:paraId="3AD44405">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Conference Paper</w:t>
            </w:r>
          </w:p>
        </w:tc>
        <w:tc>
          <w:tcPr>
            <w:tcW w:w="1290" w:type="dxa"/>
            <w:tcMar>
              <w:left w:w="105" w:type="dxa"/>
              <w:right w:w="105" w:type="dxa"/>
            </w:tcMar>
          </w:tcPr>
          <w:p w14:paraId="67E0E4B9">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RQ2</w:t>
            </w:r>
          </w:p>
        </w:tc>
        <w:tc>
          <w:tcPr>
            <w:tcW w:w="1095" w:type="dxa"/>
            <w:tcMar>
              <w:left w:w="105" w:type="dxa"/>
              <w:right w:w="105" w:type="dxa"/>
            </w:tcMar>
          </w:tcPr>
          <w:p w14:paraId="77D417C4">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2020</w:t>
            </w:r>
          </w:p>
        </w:tc>
      </w:tr>
      <w:tr w14:paraId="77CA93D0">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185" w:hRule="atLeast"/>
        </w:trPr>
        <w:tc>
          <w:tcPr>
            <w:tcW w:w="785" w:type="dxa"/>
            <w:tcMar>
              <w:left w:w="105" w:type="dxa"/>
              <w:right w:w="105" w:type="dxa"/>
            </w:tcMar>
          </w:tcPr>
          <w:p w14:paraId="53BA1CC5">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PS4</w:t>
            </w:r>
          </w:p>
        </w:tc>
        <w:tc>
          <w:tcPr>
            <w:tcW w:w="1645" w:type="dxa"/>
            <w:tcMar>
              <w:left w:w="105" w:type="dxa"/>
              <w:right w:w="105" w:type="dxa"/>
            </w:tcMar>
          </w:tcPr>
          <w:p w14:paraId="538CCA78">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Fast intensive crowd counting model of Internet of Things based on multi-scale attention mechanism</w:t>
            </w:r>
          </w:p>
        </w:tc>
        <w:tc>
          <w:tcPr>
            <w:tcW w:w="1575" w:type="dxa"/>
            <w:tcMar>
              <w:left w:w="105" w:type="dxa"/>
              <w:right w:w="105" w:type="dxa"/>
            </w:tcMar>
          </w:tcPr>
          <w:p w14:paraId="2990E641">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(Dong Liu et. al., 2022)</w:t>
            </w:r>
          </w:p>
          <w:p w14:paraId="3A0B2892">
            <w:pPr>
              <w:spacing w:after="0" w:line="360" w:lineRule="auto"/>
              <w:jc w:val="both"/>
              <w:rPr>
                <w:rFonts w:ascii="Times New Roman" w:hAnsi="Times New Roman" w:eastAsia="Calibri" w:cs="Times New Roman"/>
                <w:sz w:val="16"/>
                <w:szCs w:val="16"/>
              </w:rPr>
            </w:pPr>
          </w:p>
        </w:tc>
        <w:tc>
          <w:tcPr>
            <w:tcW w:w="1575" w:type="dxa"/>
            <w:tcMar>
              <w:left w:w="105" w:type="dxa"/>
              <w:right w:w="105" w:type="dxa"/>
            </w:tcMar>
          </w:tcPr>
          <w:p w14:paraId="6949992A">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The Institute of Engineering Technology</w:t>
            </w:r>
          </w:p>
        </w:tc>
        <w:tc>
          <w:tcPr>
            <w:tcW w:w="1365" w:type="dxa"/>
            <w:tcMar>
              <w:left w:w="105" w:type="dxa"/>
              <w:right w:w="105" w:type="dxa"/>
            </w:tcMar>
          </w:tcPr>
          <w:p w14:paraId="14038C95">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Article</w:t>
            </w:r>
          </w:p>
        </w:tc>
        <w:tc>
          <w:tcPr>
            <w:tcW w:w="1290" w:type="dxa"/>
            <w:tcMar>
              <w:left w:w="105" w:type="dxa"/>
              <w:right w:w="105" w:type="dxa"/>
            </w:tcMar>
          </w:tcPr>
          <w:p w14:paraId="042B5DF6">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RQ3</w:t>
            </w:r>
          </w:p>
        </w:tc>
        <w:tc>
          <w:tcPr>
            <w:tcW w:w="1095" w:type="dxa"/>
            <w:tcMar>
              <w:left w:w="105" w:type="dxa"/>
              <w:right w:w="105" w:type="dxa"/>
            </w:tcMar>
          </w:tcPr>
          <w:p w14:paraId="6EFF21E6">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2022</w:t>
            </w:r>
          </w:p>
        </w:tc>
      </w:tr>
      <w:tr w14:paraId="60715929">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785" w:type="dxa"/>
            <w:tcMar>
              <w:left w:w="105" w:type="dxa"/>
              <w:right w:w="105" w:type="dxa"/>
            </w:tcMar>
          </w:tcPr>
          <w:p w14:paraId="281194D6">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PS5</w:t>
            </w:r>
          </w:p>
        </w:tc>
        <w:tc>
          <w:tcPr>
            <w:tcW w:w="1645" w:type="dxa"/>
            <w:tcMar>
              <w:left w:w="105" w:type="dxa"/>
              <w:right w:w="105" w:type="dxa"/>
            </w:tcMar>
          </w:tcPr>
          <w:p w14:paraId="5793170C">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UUCT - HyMP: Towards Tracking Dispersed Crowd Groups from UAVs</w:t>
            </w:r>
          </w:p>
        </w:tc>
        <w:tc>
          <w:tcPr>
            <w:tcW w:w="1575" w:type="dxa"/>
            <w:tcMar>
              <w:left w:w="105" w:type="dxa"/>
              <w:right w:w="105" w:type="dxa"/>
            </w:tcMar>
          </w:tcPr>
          <w:p w14:paraId="4E013CFD">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(Tonmoay Deb et. al., 2021)</w:t>
            </w:r>
          </w:p>
          <w:p w14:paraId="5138E34A">
            <w:pPr>
              <w:spacing w:after="0" w:line="360" w:lineRule="auto"/>
              <w:jc w:val="both"/>
              <w:rPr>
                <w:rFonts w:ascii="Times New Roman" w:hAnsi="Times New Roman" w:eastAsia="Calibri" w:cs="Times New Roman"/>
                <w:sz w:val="16"/>
                <w:szCs w:val="16"/>
              </w:rPr>
            </w:pPr>
          </w:p>
        </w:tc>
        <w:tc>
          <w:tcPr>
            <w:tcW w:w="1575" w:type="dxa"/>
            <w:tcMar>
              <w:left w:w="105" w:type="dxa"/>
              <w:right w:w="105" w:type="dxa"/>
            </w:tcMar>
          </w:tcPr>
          <w:p w14:paraId="5CD3510F">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IEEE</w:t>
            </w:r>
          </w:p>
        </w:tc>
        <w:tc>
          <w:tcPr>
            <w:tcW w:w="1365" w:type="dxa"/>
            <w:tcMar>
              <w:left w:w="105" w:type="dxa"/>
              <w:right w:w="105" w:type="dxa"/>
            </w:tcMar>
          </w:tcPr>
          <w:p w14:paraId="50590993">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Conference Paper</w:t>
            </w:r>
          </w:p>
        </w:tc>
        <w:tc>
          <w:tcPr>
            <w:tcW w:w="1290" w:type="dxa"/>
            <w:tcMar>
              <w:left w:w="105" w:type="dxa"/>
              <w:right w:w="105" w:type="dxa"/>
            </w:tcMar>
          </w:tcPr>
          <w:p w14:paraId="04C32876">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RQ2</w:t>
            </w:r>
          </w:p>
        </w:tc>
        <w:tc>
          <w:tcPr>
            <w:tcW w:w="1095" w:type="dxa"/>
            <w:tcMar>
              <w:left w:w="105" w:type="dxa"/>
              <w:right w:w="105" w:type="dxa"/>
            </w:tcMar>
          </w:tcPr>
          <w:p w14:paraId="4734E541">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2021</w:t>
            </w:r>
          </w:p>
        </w:tc>
      </w:tr>
      <w:tr w14:paraId="59755FC9">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785" w:type="dxa"/>
            <w:tcMar>
              <w:left w:w="105" w:type="dxa"/>
              <w:right w:w="105" w:type="dxa"/>
            </w:tcMar>
          </w:tcPr>
          <w:p w14:paraId="4981086B">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PS6</w:t>
            </w:r>
          </w:p>
        </w:tc>
        <w:tc>
          <w:tcPr>
            <w:tcW w:w="1645" w:type="dxa"/>
            <w:tcMar>
              <w:left w:w="105" w:type="dxa"/>
              <w:right w:w="105" w:type="dxa"/>
            </w:tcMar>
          </w:tcPr>
          <w:p w14:paraId="6BBC65AB">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Multi-Scale Occluded Pedestrian Detection Based on Deep Learning</w:t>
            </w:r>
          </w:p>
        </w:tc>
        <w:tc>
          <w:tcPr>
            <w:tcW w:w="1575" w:type="dxa"/>
            <w:tcMar>
              <w:left w:w="105" w:type="dxa"/>
              <w:right w:w="105" w:type="dxa"/>
            </w:tcMar>
          </w:tcPr>
          <w:p w14:paraId="2DD8E7CD">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(Fang Li et. al., 2022)</w:t>
            </w:r>
          </w:p>
          <w:p w14:paraId="474143D1">
            <w:pPr>
              <w:spacing w:after="0" w:line="360" w:lineRule="auto"/>
              <w:jc w:val="both"/>
              <w:rPr>
                <w:rFonts w:ascii="Times New Roman" w:hAnsi="Times New Roman" w:eastAsia="Calibri" w:cs="Times New Roman"/>
                <w:sz w:val="16"/>
                <w:szCs w:val="16"/>
              </w:rPr>
            </w:pPr>
          </w:p>
        </w:tc>
        <w:tc>
          <w:tcPr>
            <w:tcW w:w="1575" w:type="dxa"/>
            <w:tcMar>
              <w:left w:w="105" w:type="dxa"/>
              <w:right w:w="105" w:type="dxa"/>
            </w:tcMar>
          </w:tcPr>
          <w:p w14:paraId="589A5985">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IEEE</w:t>
            </w:r>
          </w:p>
        </w:tc>
        <w:tc>
          <w:tcPr>
            <w:tcW w:w="1365" w:type="dxa"/>
            <w:tcMar>
              <w:left w:w="105" w:type="dxa"/>
              <w:right w:w="105" w:type="dxa"/>
            </w:tcMar>
          </w:tcPr>
          <w:p w14:paraId="3519F73E">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Journal Article</w:t>
            </w:r>
          </w:p>
        </w:tc>
        <w:tc>
          <w:tcPr>
            <w:tcW w:w="1290" w:type="dxa"/>
            <w:tcMar>
              <w:left w:w="105" w:type="dxa"/>
              <w:right w:w="105" w:type="dxa"/>
            </w:tcMar>
          </w:tcPr>
          <w:p w14:paraId="373FC2AA">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RQ1</w:t>
            </w:r>
          </w:p>
        </w:tc>
        <w:tc>
          <w:tcPr>
            <w:tcW w:w="1095" w:type="dxa"/>
            <w:tcMar>
              <w:left w:w="105" w:type="dxa"/>
              <w:right w:w="105" w:type="dxa"/>
            </w:tcMar>
          </w:tcPr>
          <w:p w14:paraId="7AF566EC">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2022</w:t>
            </w:r>
          </w:p>
        </w:tc>
      </w:tr>
      <w:tr w14:paraId="45A7AFD3">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785" w:type="dxa"/>
            <w:tcMar>
              <w:left w:w="105" w:type="dxa"/>
              <w:right w:w="105" w:type="dxa"/>
            </w:tcMar>
          </w:tcPr>
          <w:p w14:paraId="14C92B42">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PS7</w:t>
            </w:r>
          </w:p>
        </w:tc>
        <w:tc>
          <w:tcPr>
            <w:tcW w:w="1645" w:type="dxa"/>
            <w:tcMar>
              <w:left w:w="105" w:type="dxa"/>
              <w:right w:w="105" w:type="dxa"/>
            </w:tcMar>
          </w:tcPr>
          <w:p w14:paraId="78B2BB1D">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An Aerial Crowd-Flow Analyzing System for Drone Under YOLOv5 and StrongSort</w:t>
            </w:r>
          </w:p>
        </w:tc>
        <w:tc>
          <w:tcPr>
            <w:tcW w:w="1575" w:type="dxa"/>
            <w:tcMar>
              <w:left w:w="105" w:type="dxa"/>
              <w:right w:w="105" w:type="dxa"/>
            </w:tcMar>
          </w:tcPr>
          <w:p w14:paraId="274CBDBE">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(Kuan-Hao Yeh et. al., 2022)</w:t>
            </w:r>
          </w:p>
          <w:p w14:paraId="712264A7">
            <w:pPr>
              <w:spacing w:after="0" w:line="360" w:lineRule="auto"/>
              <w:jc w:val="both"/>
              <w:rPr>
                <w:rFonts w:ascii="Times New Roman" w:hAnsi="Times New Roman" w:eastAsia="Calibri" w:cs="Times New Roman"/>
                <w:sz w:val="16"/>
                <w:szCs w:val="16"/>
              </w:rPr>
            </w:pPr>
          </w:p>
        </w:tc>
        <w:tc>
          <w:tcPr>
            <w:tcW w:w="1575" w:type="dxa"/>
            <w:tcMar>
              <w:left w:w="105" w:type="dxa"/>
              <w:right w:w="105" w:type="dxa"/>
            </w:tcMar>
          </w:tcPr>
          <w:p w14:paraId="28F0E6C8">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IEEE</w:t>
            </w:r>
          </w:p>
        </w:tc>
        <w:tc>
          <w:tcPr>
            <w:tcW w:w="1365" w:type="dxa"/>
            <w:tcMar>
              <w:left w:w="105" w:type="dxa"/>
              <w:right w:w="105" w:type="dxa"/>
            </w:tcMar>
          </w:tcPr>
          <w:p w14:paraId="6919FB7F">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Conference Paper</w:t>
            </w:r>
          </w:p>
        </w:tc>
        <w:tc>
          <w:tcPr>
            <w:tcW w:w="1290" w:type="dxa"/>
            <w:tcMar>
              <w:left w:w="105" w:type="dxa"/>
              <w:right w:w="105" w:type="dxa"/>
            </w:tcMar>
          </w:tcPr>
          <w:p w14:paraId="0696A1B5">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RQ2</w:t>
            </w:r>
          </w:p>
        </w:tc>
        <w:tc>
          <w:tcPr>
            <w:tcW w:w="1095" w:type="dxa"/>
            <w:tcMar>
              <w:left w:w="105" w:type="dxa"/>
              <w:right w:w="105" w:type="dxa"/>
            </w:tcMar>
          </w:tcPr>
          <w:p w14:paraId="3962A1E5">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2022</w:t>
            </w:r>
          </w:p>
        </w:tc>
      </w:tr>
      <w:tr w14:paraId="382646FF">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785" w:type="dxa"/>
            <w:tcMar>
              <w:left w:w="105" w:type="dxa"/>
              <w:right w:w="105" w:type="dxa"/>
            </w:tcMar>
          </w:tcPr>
          <w:p w14:paraId="2E980261">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PS8</w:t>
            </w:r>
          </w:p>
        </w:tc>
        <w:tc>
          <w:tcPr>
            <w:tcW w:w="1645" w:type="dxa"/>
            <w:tcMar>
              <w:left w:w="105" w:type="dxa"/>
              <w:right w:w="105" w:type="dxa"/>
            </w:tcMar>
          </w:tcPr>
          <w:p w14:paraId="4846FE2D">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Fusion of CCTV Video and Spatial Information for Automated Crowd Congestion Monitoring in Public Urban Spaces</w:t>
            </w:r>
          </w:p>
        </w:tc>
        <w:tc>
          <w:tcPr>
            <w:tcW w:w="1575" w:type="dxa"/>
            <w:tcMar>
              <w:left w:w="105" w:type="dxa"/>
              <w:right w:w="105" w:type="dxa"/>
            </w:tcMar>
          </w:tcPr>
          <w:p w14:paraId="54A4096F">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(Vivian W. H. Wong et. al., 2023)</w:t>
            </w:r>
          </w:p>
          <w:p w14:paraId="3240137E">
            <w:pPr>
              <w:spacing w:after="0" w:line="360" w:lineRule="auto"/>
              <w:jc w:val="both"/>
              <w:rPr>
                <w:rFonts w:ascii="Times New Roman" w:hAnsi="Times New Roman" w:eastAsia="Calibri" w:cs="Times New Roman"/>
                <w:sz w:val="16"/>
                <w:szCs w:val="16"/>
              </w:rPr>
            </w:pPr>
          </w:p>
        </w:tc>
        <w:tc>
          <w:tcPr>
            <w:tcW w:w="1575" w:type="dxa"/>
            <w:tcMar>
              <w:left w:w="105" w:type="dxa"/>
              <w:right w:w="105" w:type="dxa"/>
            </w:tcMar>
          </w:tcPr>
          <w:p w14:paraId="15E1D267">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MDPI</w:t>
            </w:r>
          </w:p>
        </w:tc>
        <w:tc>
          <w:tcPr>
            <w:tcW w:w="1365" w:type="dxa"/>
            <w:tcMar>
              <w:left w:w="105" w:type="dxa"/>
              <w:right w:w="105" w:type="dxa"/>
            </w:tcMar>
          </w:tcPr>
          <w:p w14:paraId="03BD361F">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Article</w:t>
            </w:r>
          </w:p>
        </w:tc>
        <w:tc>
          <w:tcPr>
            <w:tcW w:w="1290" w:type="dxa"/>
            <w:tcMar>
              <w:left w:w="105" w:type="dxa"/>
              <w:right w:w="105" w:type="dxa"/>
            </w:tcMar>
          </w:tcPr>
          <w:p w14:paraId="3F88DC52">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RQ1</w:t>
            </w:r>
          </w:p>
        </w:tc>
        <w:tc>
          <w:tcPr>
            <w:tcW w:w="1095" w:type="dxa"/>
            <w:tcMar>
              <w:left w:w="105" w:type="dxa"/>
              <w:right w:w="105" w:type="dxa"/>
            </w:tcMar>
          </w:tcPr>
          <w:p w14:paraId="5E229230">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2023</w:t>
            </w:r>
          </w:p>
        </w:tc>
      </w:tr>
      <w:tr w14:paraId="20EAD8A2">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785" w:type="dxa"/>
            <w:tcMar>
              <w:left w:w="105" w:type="dxa"/>
              <w:right w:w="105" w:type="dxa"/>
            </w:tcMar>
          </w:tcPr>
          <w:p w14:paraId="2C219B22">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PS9</w:t>
            </w:r>
          </w:p>
        </w:tc>
        <w:tc>
          <w:tcPr>
            <w:tcW w:w="1645" w:type="dxa"/>
            <w:tcMar>
              <w:left w:w="105" w:type="dxa"/>
              <w:right w:w="105" w:type="dxa"/>
            </w:tcMar>
          </w:tcPr>
          <w:p w14:paraId="7D428884">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Enhancing Real-Time Human Tracking using YOLONAS-DeepSort Fusion Models</w:t>
            </w:r>
          </w:p>
        </w:tc>
        <w:tc>
          <w:tcPr>
            <w:tcW w:w="1575" w:type="dxa"/>
            <w:tcMar>
              <w:left w:w="105" w:type="dxa"/>
              <w:right w:w="105" w:type="dxa"/>
            </w:tcMar>
          </w:tcPr>
          <w:p w14:paraId="78F73DD8">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(Athilakshmi R. et. al., 2024)</w:t>
            </w:r>
          </w:p>
          <w:p w14:paraId="56F340BB">
            <w:pPr>
              <w:spacing w:after="0" w:line="360" w:lineRule="auto"/>
              <w:jc w:val="both"/>
              <w:rPr>
                <w:rFonts w:ascii="Times New Roman" w:hAnsi="Times New Roman" w:eastAsia="Calibri" w:cs="Times New Roman"/>
                <w:sz w:val="16"/>
                <w:szCs w:val="16"/>
              </w:rPr>
            </w:pPr>
          </w:p>
        </w:tc>
        <w:tc>
          <w:tcPr>
            <w:tcW w:w="1575" w:type="dxa"/>
            <w:tcMar>
              <w:left w:w="105" w:type="dxa"/>
              <w:right w:w="105" w:type="dxa"/>
            </w:tcMar>
          </w:tcPr>
          <w:p w14:paraId="6383E913">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ResearchGate</w:t>
            </w:r>
          </w:p>
        </w:tc>
        <w:tc>
          <w:tcPr>
            <w:tcW w:w="1365" w:type="dxa"/>
            <w:tcMar>
              <w:left w:w="105" w:type="dxa"/>
              <w:right w:w="105" w:type="dxa"/>
            </w:tcMar>
          </w:tcPr>
          <w:p w14:paraId="15B52A75">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Conference Paper</w:t>
            </w:r>
          </w:p>
        </w:tc>
        <w:tc>
          <w:tcPr>
            <w:tcW w:w="1290" w:type="dxa"/>
            <w:tcMar>
              <w:left w:w="105" w:type="dxa"/>
              <w:right w:w="105" w:type="dxa"/>
            </w:tcMar>
          </w:tcPr>
          <w:p w14:paraId="3B746E56">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RQ3</w:t>
            </w:r>
          </w:p>
        </w:tc>
        <w:tc>
          <w:tcPr>
            <w:tcW w:w="1095" w:type="dxa"/>
            <w:tcMar>
              <w:left w:w="105" w:type="dxa"/>
              <w:right w:w="105" w:type="dxa"/>
            </w:tcMar>
          </w:tcPr>
          <w:p w14:paraId="4613E9FA">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2024</w:t>
            </w:r>
          </w:p>
        </w:tc>
      </w:tr>
      <w:tr w14:paraId="33DAACA8">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785" w:type="dxa"/>
            <w:tcMar>
              <w:left w:w="105" w:type="dxa"/>
              <w:right w:w="105" w:type="dxa"/>
            </w:tcMar>
          </w:tcPr>
          <w:p w14:paraId="294262EA">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PS10</w:t>
            </w:r>
          </w:p>
        </w:tc>
        <w:tc>
          <w:tcPr>
            <w:tcW w:w="1645" w:type="dxa"/>
            <w:tcMar>
              <w:left w:w="105" w:type="dxa"/>
              <w:right w:w="105" w:type="dxa"/>
            </w:tcMar>
          </w:tcPr>
          <w:p w14:paraId="11047DC4">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Less Is More: Learning from Synthetic Data with Fine-Grained Attributes for Person Re-Identification</w:t>
            </w:r>
          </w:p>
        </w:tc>
        <w:tc>
          <w:tcPr>
            <w:tcW w:w="1575" w:type="dxa"/>
            <w:tcMar>
              <w:left w:w="105" w:type="dxa"/>
              <w:right w:w="105" w:type="dxa"/>
            </w:tcMar>
          </w:tcPr>
          <w:p w14:paraId="21CF7455">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(Suncheng Xiang et. al., 2021)</w:t>
            </w:r>
          </w:p>
          <w:p w14:paraId="6FC61562">
            <w:pPr>
              <w:spacing w:after="0" w:line="360" w:lineRule="auto"/>
              <w:jc w:val="both"/>
              <w:rPr>
                <w:rFonts w:ascii="Times New Roman" w:hAnsi="Times New Roman" w:eastAsia="Calibri" w:cs="Times New Roman"/>
                <w:sz w:val="16"/>
                <w:szCs w:val="16"/>
              </w:rPr>
            </w:pPr>
          </w:p>
        </w:tc>
        <w:tc>
          <w:tcPr>
            <w:tcW w:w="1575" w:type="dxa"/>
            <w:tcMar>
              <w:left w:w="105" w:type="dxa"/>
              <w:right w:w="105" w:type="dxa"/>
            </w:tcMar>
          </w:tcPr>
          <w:p w14:paraId="4571BA5F">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arXiv</w:t>
            </w:r>
          </w:p>
        </w:tc>
        <w:tc>
          <w:tcPr>
            <w:tcW w:w="1365" w:type="dxa"/>
            <w:tcMar>
              <w:left w:w="105" w:type="dxa"/>
              <w:right w:w="105" w:type="dxa"/>
            </w:tcMar>
          </w:tcPr>
          <w:p w14:paraId="551E0037">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Article</w:t>
            </w:r>
          </w:p>
        </w:tc>
        <w:tc>
          <w:tcPr>
            <w:tcW w:w="1290" w:type="dxa"/>
            <w:tcMar>
              <w:left w:w="105" w:type="dxa"/>
              <w:right w:w="105" w:type="dxa"/>
            </w:tcMar>
          </w:tcPr>
          <w:p w14:paraId="6ECBFD19">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RQ2</w:t>
            </w:r>
          </w:p>
        </w:tc>
        <w:tc>
          <w:tcPr>
            <w:tcW w:w="1095" w:type="dxa"/>
            <w:tcMar>
              <w:left w:w="105" w:type="dxa"/>
              <w:right w:w="105" w:type="dxa"/>
            </w:tcMar>
          </w:tcPr>
          <w:p w14:paraId="0869A028">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2021</w:t>
            </w:r>
          </w:p>
        </w:tc>
      </w:tr>
      <w:tr w14:paraId="67ABB76F">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785" w:type="dxa"/>
            <w:tcMar>
              <w:left w:w="105" w:type="dxa"/>
              <w:right w:w="105" w:type="dxa"/>
            </w:tcMar>
          </w:tcPr>
          <w:p w14:paraId="48B29D32">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PS11</w:t>
            </w:r>
          </w:p>
        </w:tc>
        <w:tc>
          <w:tcPr>
            <w:tcW w:w="1645" w:type="dxa"/>
            <w:tcMar>
              <w:left w:w="105" w:type="dxa"/>
              <w:right w:w="105" w:type="dxa"/>
            </w:tcMar>
          </w:tcPr>
          <w:p w14:paraId="23728D83">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A Survey on Multi-Target Multi-Camera Tracking Methods</w:t>
            </w:r>
          </w:p>
        </w:tc>
        <w:tc>
          <w:tcPr>
            <w:tcW w:w="1575" w:type="dxa"/>
            <w:tcMar>
              <w:left w:w="105" w:type="dxa"/>
              <w:right w:w="105" w:type="dxa"/>
            </w:tcMar>
          </w:tcPr>
          <w:p w14:paraId="219D127E">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(Temitope Ibrahim Amosa et. al., 2023)</w:t>
            </w:r>
          </w:p>
          <w:p w14:paraId="0407CCC6">
            <w:pPr>
              <w:spacing w:after="0" w:line="360" w:lineRule="auto"/>
              <w:jc w:val="both"/>
              <w:rPr>
                <w:rFonts w:ascii="Times New Roman" w:hAnsi="Times New Roman" w:eastAsia="Calibri" w:cs="Times New Roman"/>
                <w:sz w:val="16"/>
                <w:szCs w:val="16"/>
              </w:rPr>
            </w:pPr>
          </w:p>
        </w:tc>
        <w:tc>
          <w:tcPr>
            <w:tcW w:w="1575" w:type="dxa"/>
            <w:tcMar>
              <w:left w:w="105" w:type="dxa"/>
              <w:right w:w="105" w:type="dxa"/>
            </w:tcMar>
          </w:tcPr>
          <w:p w14:paraId="6CBC52F7">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ScienceDirect</w:t>
            </w:r>
          </w:p>
        </w:tc>
        <w:tc>
          <w:tcPr>
            <w:tcW w:w="1365" w:type="dxa"/>
            <w:tcMar>
              <w:left w:w="105" w:type="dxa"/>
              <w:right w:w="105" w:type="dxa"/>
            </w:tcMar>
          </w:tcPr>
          <w:p w14:paraId="459586DC">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Survey Paper</w:t>
            </w:r>
          </w:p>
        </w:tc>
        <w:tc>
          <w:tcPr>
            <w:tcW w:w="1290" w:type="dxa"/>
            <w:tcMar>
              <w:left w:w="105" w:type="dxa"/>
              <w:right w:w="105" w:type="dxa"/>
            </w:tcMar>
          </w:tcPr>
          <w:p w14:paraId="0EBF192F">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RQ3</w:t>
            </w:r>
          </w:p>
        </w:tc>
        <w:tc>
          <w:tcPr>
            <w:tcW w:w="1095" w:type="dxa"/>
            <w:tcMar>
              <w:left w:w="105" w:type="dxa"/>
              <w:right w:w="105" w:type="dxa"/>
            </w:tcMar>
          </w:tcPr>
          <w:p w14:paraId="70165D2E">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2023</w:t>
            </w:r>
          </w:p>
        </w:tc>
      </w:tr>
      <w:tr w14:paraId="1399C7FD">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785" w:type="dxa"/>
            <w:tcMar>
              <w:left w:w="105" w:type="dxa"/>
              <w:right w:w="105" w:type="dxa"/>
            </w:tcMar>
          </w:tcPr>
          <w:p w14:paraId="311432AD">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PS12</w:t>
            </w:r>
          </w:p>
        </w:tc>
        <w:tc>
          <w:tcPr>
            <w:tcW w:w="1645" w:type="dxa"/>
            <w:tcMar>
              <w:left w:w="105" w:type="dxa"/>
              <w:right w:w="105" w:type="dxa"/>
            </w:tcMar>
          </w:tcPr>
          <w:p w14:paraId="3F41A769">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Handling Heavy Occlusion in Dense Crowd Tracking by Focusing on the Heads</w:t>
            </w:r>
          </w:p>
        </w:tc>
        <w:tc>
          <w:tcPr>
            <w:tcW w:w="1575" w:type="dxa"/>
            <w:tcMar>
              <w:left w:w="105" w:type="dxa"/>
              <w:right w:w="105" w:type="dxa"/>
            </w:tcMar>
          </w:tcPr>
          <w:p w14:paraId="58240F34">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(Yu Zhang et. al., 2023)</w:t>
            </w:r>
          </w:p>
          <w:p w14:paraId="3459C03E">
            <w:pPr>
              <w:spacing w:after="0" w:line="360" w:lineRule="auto"/>
              <w:jc w:val="both"/>
              <w:rPr>
                <w:rFonts w:ascii="Times New Roman" w:hAnsi="Times New Roman" w:eastAsia="Calibri" w:cs="Times New Roman"/>
                <w:sz w:val="16"/>
                <w:szCs w:val="16"/>
              </w:rPr>
            </w:pPr>
          </w:p>
        </w:tc>
        <w:tc>
          <w:tcPr>
            <w:tcW w:w="1575" w:type="dxa"/>
            <w:tcMar>
              <w:left w:w="105" w:type="dxa"/>
              <w:right w:w="105" w:type="dxa"/>
            </w:tcMar>
          </w:tcPr>
          <w:p w14:paraId="364AFEA6">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arXiv</w:t>
            </w:r>
          </w:p>
        </w:tc>
        <w:tc>
          <w:tcPr>
            <w:tcW w:w="1365" w:type="dxa"/>
            <w:tcMar>
              <w:left w:w="105" w:type="dxa"/>
              <w:right w:w="105" w:type="dxa"/>
            </w:tcMar>
          </w:tcPr>
          <w:p w14:paraId="48702DCC">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Article</w:t>
            </w:r>
          </w:p>
        </w:tc>
        <w:tc>
          <w:tcPr>
            <w:tcW w:w="1290" w:type="dxa"/>
            <w:tcMar>
              <w:left w:w="105" w:type="dxa"/>
              <w:right w:w="105" w:type="dxa"/>
            </w:tcMar>
          </w:tcPr>
          <w:p w14:paraId="17AA6BD9">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RQ1</w:t>
            </w:r>
          </w:p>
        </w:tc>
        <w:tc>
          <w:tcPr>
            <w:tcW w:w="1095" w:type="dxa"/>
            <w:tcMar>
              <w:left w:w="105" w:type="dxa"/>
              <w:right w:w="105" w:type="dxa"/>
            </w:tcMar>
          </w:tcPr>
          <w:p w14:paraId="3F1D4B87">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2023</w:t>
            </w:r>
          </w:p>
        </w:tc>
      </w:tr>
      <w:tr w14:paraId="650A4BF7">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785" w:type="dxa"/>
            <w:tcMar>
              <w:left w:w="105" w:type="dxa"/>
              <w:right w:w="105" w:type="dxa"/>
            </w:tcMar>
          </w:tcPr>
          <w:p w14:paraId="32EDD56C">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PS13</w:t>
            </w:r>
          </w:p>
        </w:tc>
        <w:tc>
          <w:tcPr>
            <w:tcW w:w="1645" w:type="dxa"/>
            <w:tcMar>
              <w:left w:w="105" w:type="dxa"/>
              <w:right w:w="105" w:type="dxa"/>
            </w:tcMar>
          </w:tcPr>
          <w:p w14:paraId="05432A79">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Topology and channel affinity reinforced global attention for person re-identification</w:t>
            </w:r>
          </w:p>
        </w:tc>
        <w:tc>
          <w:tcPr>
            <w:tcW w:w="1575" w:type="dxa"/>
            <w:tcMar>
              <w:left w:w="105" w:type="dxa"/>
              <w:right w:w="105" w:type="dxa"/>
            </w:tcMar>
          </w:tcPr>
          <w:p w14:paraId="056C1C4E">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(Xile Wang et. al., 2021)</w:t>
            </w:r>
          </w:p>
          <w:p w14:paraId="31F1BE44">
            <w:pPr>
              <w:spacing w:after="0" w:line="360" w:lineRule="auto"/>
              <w:jc w:val="both"/>
              <w:rPr>
                <w:rFonts w:ascii="Times New Roman" w:hAnsi="Times New Roman" w:eastAsia="Calibri" w:cs="Times New Roman"/>
                <w:sz w:val="16"/>
                <w:szCs w:val="16"/>
              </w:rPr>
            </w:pPr>
          </w:p>
        </w:tc>
        <w:tc>
          <w:tcPr>
            <w:tcW w:w="1575" w:type="dxa"/>
            <w:tcMar>
              <w:left w:w="105" w:type="dxa"/>
              <w:right w:w="105" w:type="dxa"/>
            </w:tcMar>
          </w:tcPr>
          <w:p w14:paraId="6E18669A">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Wiley Online Library</w:t>
            </w:r>
          </w:p>
        </w:tc>
        <w:tc>
          <w:tcPr>
            <w:tcW w:w="1365" w:type="dxa"/>
            <w:tcMar>
              <w:left w:w="105" w:type="dxa"/>
              <w:right w:w="105" w:type="dxa"/>
            </w:tcMar>
          </w:tcPr>
          <w:p w14:paraId="60248B61">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Research Article</w:t>
            </w:r>
          </w:p>
        </w:tc>
        <w:tc>
          <w:tcPr>
            <w:tcW w:w="1290" w:type="dxa"/>
            <w:tcMar>
              <w:left w:w="105" w:type="dxa"/>
              <w:right w:w="105" w:type="dxa"/>
            </w:tcMar>
          </w:tcPr>
          <w:p w14:paraId="38130E2A">
            <w:pPr>
              <w:spacing w:after="0" w:line="360" w:lineRule="auto"/>
              <w:jc w:val="both"/>
              <w:rPr>
                <w:rFonts w:ascii="Times New Roman" w:hAnsi="Times New Roman" w:cs="Times New Roman"/>
                <w:sz w:val="16"/>
                <w:szCs w:val="16"/>
              </w:rPr>
            </w:pPr>
            <w:r>
              <w:rPr>
                <w:rFonts w:ascii="Times New Roman" w:hAnsi="Times New Roman" w:eastAsia="Calibri" w:cs="Times New Roman"/>
                <w:sz w:val="16"/>
                <w:szCs w:val="16"/>
              </w:rPr>
              <w:t>RQ1</w:t>
            </w:r>
          </w:p>
        </w:tc>
        <w:tc>
          <w:tcPr>
            <w:tcW w:w="1095" w:type="dxa"/>
            <w:tcMar>
              <w:left w:w="105" w:type="dxa"/>
              <w:right w:w="105" w:type="dxa"/>
            </w:tcMar>
          </w:tcPr>
          <w:p w14:paraId="6353E253">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2021</w:t>
            </w:r>
          </w:p>
        </w:tc>
      </w:tr>
    </w:tbl>
    <w:p w14:paraId="2E96A970">
      <w:pPr>
        <w:spacing w:line="360" w:lineRule="auto"/>
        <w:jc w:val="both"/>
        <w:rPr>
          <w:rFonts w:ascii="Times New Roman" w:hAnsi="Times New Roman" w:eastAsia="Calibri" w:cs="Times New Roman"/>
          <w:color w:val="000000" w:themeColor="text1"/>
          <w14:textFill>
            <w14:solidFill>
              <w14:schemeClr w14:val="tx1"/>
            </w14:solidFill>
          </w14:textFill>
        </w:rPr>
        <w:sectPr>
          <w:type w:val="continuous"/>
          <w:pgSz w:w="12240" w:h="15840"/>
          <w:pgMar w:top="1440" w:right="1440" w:bottom="1440" w:left="1440" w:header="720" w:footer="720" w:gutter="0"/>
          <w:cols w:space="720" w:num="1"/>
          <w:docGrid w:linePitch="360" w:charSpace="0"/>
        </w:sectPr>
      </w:pPr>
    </w:p>
    <w:p w14:paraId="1D24EDBA">
      <w:pPr>
        <w:spacing w:line="360" w:lineRule="auto"/>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VOSviewer was used to conduct a brief data analysis on the keywords found in the primary studies’ title and abstract to determine the relationships and key aspects between them. As Publish or Perish gives a CSV file and it couldn’t be converted to a RIS file which is accepted by VOSViewer, Zotero is used to get the DOIs and convert them into a RIS file. The RIS file is then used by VOSViewer to obtain the key aspects and relationships between the primary studies. Figure 3 shows the output of VOSviewer.</w:t>
      </w:r>
    </w:p>
    <w:p w14:paraId="3976986F">
      <w:pPr>
        <w:spacing w:line="360" w:lineRule="auto"/>
        <w:jc w:val="both"/>
        <w:rPr>
          <w:rFonts w:ascii="Times New Roman" w:hAnsi="Times New Roman" w:eastAsia="Calibri" w:cs="Times New Roman"/>
          <w:color w:val="000000" w:themeColor="text1"/>
          <w14:textFill>
            <w14:solidFill>
              <w14:schemeClr w14:val="tx1"/>
            </w14:solidFill>
          </w14:textFill>
        </w:rPr>
      </w:pPr>
    </w:p>
    <w:p w14:paraId="3B8F0EFA">
      <w:pPr>
        <w:spacing w:line="360" w:lineRule="auto"/>
        <w:jc w:val="both"/>
        <w:rPr>
          <w:rFonts w:ascii="Times New Roman" w:hAnsi="Times New Roman" w:cs="Times New Roman"/>
        </w:rPr>
      </w:pPr>
      <w:r>
        <w:rPr>
          <w:rFonts w:ascii="Times New Roman" w:hAnsi="Times New Roman" w:cs="Times New Roman"/>
          <w:lang w:val="en-MY" w:eastAsia="en-MY"/>
        </w:rPr>
        <w:drawing>
          <wp:inline distT="0" distB="0" distL="0" distR="0">
            <wp:extent cx="2713355" cy="1470025"/>
            <wp:effectExtent l="0" t="0" r="1905" b="0"/>
            <wp:docPr id="346540021" name="Picture 34654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40021" name="Picture 34654002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13892" cy="1470025"/>
                    </a:xfrm>
                    <a:prstGeom prst="rect">
                      <a:avLst/>
                    </a:prstGeom>
                  </pic:spPr>
                </pic:pic>
              </a:graphicData>
            </a:graphic>
          </wp:inline>
        </w:drawing>
      </w:r>
    </w:p>
    <w:p w14:paraId="12553EEE">
      <w:pPr>
        <w:spacing w:line="360" w:lineRule="auto"/>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FIGURE 3. Key items of the primary studies visualised by VOSviewer</w:t>
      </w:r>
    </w:p>
    <w:p w14:paraId="0D954B49">
      <w:pPr>
        <w:spacing w:line="360" w:lineRule="auto"/>
        <w:jc w:val="both"/>
        <w:rPr>
          <w:rFonts w:ascii="Times New Roman" w:hAnsi="Times New Roman" w:cs="Times New Roman"/>
        </w:rPr>
      </w:pPr>
      <w:r>
        <w:rPr>
          <w:rFonts w:ascii="Times New Roman" w:hAnsi="Times New Roman" w:cs="Times New Roman"/>
          <w:lang w:val="en-MY" w:eastAsia="en-MY"/>
        </w:rPr>
        <w:drawing>
          <wp:inline distT="0" distB="0" distL="0" distR="0">
            <wp:extent cx="2705100" cy="762635"/>
            <wp:effectExtent l="0" t="0" r="0" b="0"/>
            <wp:docPr id="148709102" name="Picture 148709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09102" name="Picture 14870910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805758" cy="791368"/>
                    </a:xfrm>
                    <a:prstGeom prst="rect">
                      <a:avLst/>
                    </a:prstGeom>
                  </pic:spPr>
                </pic:pic>
              </a:graphicData>
            </a:graphic>
          </wp:inline>
        </w:drawing>
      </w:r>
    </w:p>
    <w:p w14:paraId="24FDEF68">
      <w:pPr>
        <w:spacing w:line="360" w:lineRule="auto"/>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FIGURE 4. Terms of key items from primary studies that are visualised by VOSViewer</w:t>
      </w:r>
    </w:p>
    <w:p w14:paraId="49E86DDE">
      <w:pPr>
        <w:spacing w:line="360" w:lineRule="auto"/>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 xml:space="preserve">Based on Figure 3 and Figure 4, technical terms such as deep learning and crowd are repeated among the primary studies. This is to show that the primary studies involved are correlated with the current research. However, terms such as dense are not shown as not all of the primary studies involve dense crowds, and those that do uses different names across the studies such as high-density crowds. Re-identification is not shown here as well as they are written in the primary studies in different spellings such as re-indentification, re-identification, and also shorten to Re-ID. An important term is the synthetic data, which plays a role in auto annotation of some of the primary studies. </w:t>
      </w:r>
    </w:p>
    <w:p w14:paraId="6648E081">
      <w:pPr>
        <w:spacing w:line="360" w:lineRule="auto"/>
        <w:ind w:right="-20"/>
        <w:jc w:val="both"/>
        <w:rPr>
          <w:rFonts w:ascii="Times New Roman" w:hAnsi="Times New Roman" w:eastAsia="Calibri" w:cs="Times New Roman"/>
          <w:color w:val="000000" w:themeColor="text1"/>
          <w14:textFill>
            <w14:solidFill>
              <w14:schemeClr w14:val="tx1"/>
            </w14:solidFill>
          </w14:textFill>
        </w:rPr>
      </w:pPr>
    </w:p>
    <w:p w14:paraId="65EAD70D">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RQ1: What method will be used for detecting and tracking people in a dense crowd</w:t>
      </w:r>
    </w:p>
    <w:p w14:paraId="2D04873C">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 xml:space="preserve">There were not many papers that used the localisation method. Hence, if they were incorporating any kind of localisation method, they were researched further and counted towards the quality assessment. Most of the primary studies involve dense crowd but not many use any kind of localisation methods. Hence, three primary studies were mainly used to answer RQ1. PS13’s topology localisation method was one of the closest to the current research as it uses the method with modules for re-identification of people with the help of spatial topology information (STI) and channel affinity information (CAI). Multi-informant Fusion reinforced Global Attention (MIFGA) is a module proposed by the researchers of PS13 in their research for more comprehensive information about STI and CAI. Although the study doesn’t deal with a dense crowd, it helps further the research on involving detection and tracking through localisation with re-identification. PS12 also shows how to deal with occlusions when tracking people in a dense crowd. The research doesn’t use localisation methods. However, it shows how to re-identify a person from the dense crowd. The research also focuses on head tracking of the people in the crowd. By avoiding occlusions, which are overlapping of the boundary boxes or something blocking the annotated target for detection, we can further improve the accuracy for RQ3. PS8 solves the average for all three RQs. It implements a localisation method by using a  topology constraint as information for the spatial connectivity of egresses. It also involves re-identification and uses a method that the current research’s experiment is doing that is verifying models not associated with the trained dataset to verify the accuracy. The reason for this is to check if the datasets need to be manually </w:t>
      </w:r>
      <w:r>
        <w:rPr>
          <w:rFonts w:ascii="Times New Roman" w:hAnsi="Times New Roman" w:eastAsia="Calibri" w:cs="Times New Roman"/>
          <w:color w:val="000000" w:themeColor="text1"/>
          <w:lang w:val="en-US"/>
          <w14:textFill>
            <w14:solidFill>
              <w14:schemeClr w14:val="tx1"/>
            </w14:solidFill>
          </w14:textFill>
        </w:rPr>
        <w:t>labeled</w:t>
      </w:r>
      <w:r>
        <w:rPr>
          <w:rFonts w:ascii="Times New Roman" w:hAnsi="Times New Roman" w:eastAsia="Calibri" w:cs="Times New Roman"/>
          <w:color w:val="000000" w:themeColor="text1"/>
          <w14:textFill>
            <w14:solidFill>
              <w14:schemeClr w14:val="tx1"/>
            </w14:solidFill>
          </w14:textFill>
        </w:rPr>
        <w:t xml:space="preserve"> or if a different dataset can automatically annotate the </w:t>
      </w:r>
      <w:r>
        <w:rPr>
          <w:rFonts w:ascii="Times New Roman" w:hAnsi="Times New Roman" w:eastAsia="Calibri" w:cs="Times New Roman"/>
          <w:color w:val="000000" w:themeColor="text1"/>
          <w:lang w:val="en-US"/>
          <w14:textFill>
            <w14:solidFill>
              <w14:schemeClr w14:val="tx1"/>
            </w14:solidFill>
          </w14:textFill>
        </w:rPr>
        <w:t>unlabeled</w:t>
      </w:r>
      <w:r>
        <w:rPr>
          <w:rFonts w:ascii="Times New Roman" w:hAnsi="Times New Roman" w:eastAsia="Calibri" w:cs="Times New Roman"/>
          <w:color w:val="000000" w:themeColor="text1"/>
          <w14:textFill>
            <w14:solidFill>
              <w14:schemeClr w14:val="tx1"/>
            </w14:solidFill>
          </w14:textFill>
        </w:rPr>
        <w:t xml:space="preserve"> datasets based on our desired target. If we were to combine the research of all three primary studies, we could achieve the current research objectives through the experiment conducted.</w:t>
      </w:r>
    </w:p>
    <w:p w14:paraId="3BC0CF00">
      <w:pPr>
        <w:spacing w:line="360" w:lineRule="auto"/>
        <w:ind w:right="-20"/>
        <w:jc w:val="both"/>
        <w:rPr>
          <w:rFonts w:ascii="Times New Roman" w:hAnsi="Times New Roman" w:eastAsia="Calibri" w:cs="Times New Roman"/>
          <w:color w:val="000000" w:themeColor="text1"/>
          <w14:textFill>
            <w14:solidFill>
              <w14:schemeClr w14:val="tx1"/>
            </w14:solidFill>
          </w14:textFill>
        </w:rPr>
      </w:pPr>
    </w:p>
    <w:p w14:paraId="59701300">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RQ2: What method is used for the annotation of individuals in a dense crowd</w:t>
      </w:r>
    </w:p>
    <w:p w14:paraId="2372D83E">
      <w:pPr>
        <w:spacing w:line="360" w:lineRule="auto"/>
        <w:ind w:right="-20"/>
        <w:jc w:val="both"/>
        <w:rPr>
          <w:rFonts w:ascii="Times New Roman" w:hAnsi="Times New Roman" w:eastAsia="Calibri" w:cs="Times New Roman"/>
        </w:rPr>
      </w:pPr>
      <w:r>
        <w:rPr>
          <w:rFonts w:ascii="Times New Roman" w:hAnsi="Times New Roman" w:eastAsia="Calibri" w:cs="Times New Roman"/>
          <w:color w:val="000000" w:themeColor="text1"/>
          <w14:textFill>
            <w14:solidFill>
              <w14:schemeClr w14:val="tx1"/>
            </w14:solidFill>
          </w14:textFill>
        </w:rPr>
        <w:t xml:space="preserve">Most of the primary studies use manual annotation. However, there are primary studies like PS8 that train different models on different datasets to test the accuracy of their annotation. However, most of the auto annotation from these primary studies come from synthetic data. Let’s take PS1 for example where there was a discussion on </w:t>
      </w:r>
      <w:r>
        <w:rPr>
          <w:rFonts w:ascii="Times New Roman" w:hAnsi="Times New Roman" w:eastAsia="Calibri" w:cs="Times New Roman"/>
        </w:rPr>
        <w:t xml:space="preserve">exploiting abundantly available unlabeled crowd imagery in a learning-to-rank framework. PS2 overcomes the issue of manual annotation for videos. The method they used to achieve this is by having three diffusion-convolutional neural network (DCNN) monitored by a particle filter (PF). The first DCNN is the detector that detects the pedestrians via RetinaNet algorithm and the ResNet 50 architecture. The second DCNN was pretrained on the synthetic MPI-Sintel dataset. It is referred to as DCNN O. Flow, which is Deepflow. It takes two images as inputs and outputs the optical flow. The final DCNN is known as the DCNN Corrector where its training is supervised by the PF. </w:t>
      </w:r>
      <w:r>
        <w:rPr>
          <w:rFonts w:hint="default" w:ascii="Times New Roman" w:hAnsi="Times New Roman" w:eastAsia="Calibri" w:cs="Times New Roman"/>
          <w:lang w:val="en-US"/>
        </w:rPr>
        <w:t xml:space="preserve">Figure 5 summarises </w:t>
      </w:r>
      <w:r>
        <w:rPr>
          <w:rFonts w:ascii="Times New Roman" w:hAnsi="Times New Roman" w:eastAsia="Calibri" w:cs="Times New Roman"/>
        </w:rPr>
        <w:t>how the DCNNs were used together for tracking.</w:t>
      </w:r>
    </w:p>
    <w:p w14:paraId="6160CAFA">
      <w:pPr>
        <w:spacing w:line="360" w:lineRule="auto"/>
        <w:ind w:right="-20"/>
        <w:jc w:val="both"/>
        <w:rPr>
          <w:rFonts w:ascii="Times New Roman" w:hAnsi="Times New Roman" w:eastAsia="Calibri" w:cs="Times New Roman"/>
        </w:rPr>
      </w:pPr>
    </w:p>
    <w:p w14:paraId="00B2407D">
      <w:pPr>
        <w:spacing w:line="360" w:lineRule="auto"/>
        <w:ind w:right="-20"/>
        <w:jc w:val="both"/>
        <w:rPr>
          <w:rFonts w:ascii="Times New Roman" w:hAnsi="Times New Roman" w:eastAsia="Calibri" w:cs="Times New Roman"/>
        </w:rPr>
      </w:pPr>
      <w:r>
        <w:rPr>
          <w:rFonts w:ascii="Times New Roman" w:hAnsi="Times New Roman" w:eastAsia="Calibri" w:cs="Times New Roman"/>
        </w:rPr>
        <w:object>
          <v:shape id="_x0000_i1025" o:spt="75" type="#_x0000_t75" style="height:0.05pt;width:0.05pt;" o:ole="t" filled="f" o:preferrelative="t" stroked="f" coordsize="21600,21600">
            <v:path/>
            <v:fill on="f" focussize="0,0"/>
            <v:stroke on="f" joinstyle="miter"/>
            <v:imagedata o:title=""/>
            <o:lock v:ext="edit" aspectratio="t"/>
            <w10:wrap type="none"/>
            <w10:anchorlock/>
          </v:shape>
          <o:OLEObject Type="Embed" ProgID="" ShapeID="_x0000_i1025" DrawAspect="Content" ObjectID="_1468075725" r:id="rId12">
            <o:LockedField>false</o:LockedField>
          </o:OLEObject>
        </w:object>
      </w:r>
      <w:r>
        <w:rPr>
          <w:rFonts w:ascii="Times New Roman" w:hAnsi="Times New Roman" w:eastAsia="Calibri" w:cs="Times New Roman"/>
          <w:lang w:val="en-MY" w:eastAsia="en-MY"/>
        </w:rPr>
        <w:drawing>
          <wp:inline distT="0" distB="0" distL="114300" distR="114300">
            <wp:extent cx="2723515" cy="1537970"/>
            <wp:effectExtent l="0" t="0" r="635" b="5080"/>
            <wp:docPr id="1" name="Picture 1" descr="Screen Shot 2024-07-31 at 9.0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4-07-31 at 9.08.49"/>
                    <pic:cNvPicPr>
                      <a:picLocks noChangeAspect="1"/>
                    </pic:cNvPicPr>
                  </pic:nvPicPr>
                  <pic:blipFill>
                    <a:blip r:embed="rId13"/>
                    <a:stretch>
                      <a:fillRect/>
                    </a:stretch>
                  </pic:blipFill>
                  <pic:spPr>
                    <a:xfrm>
                      <a:off x="0" y="0"/>
                      <a:ext cx="2792500" cy="1577215"/>
                    </a:xfrm>
                    <a:prstGeom prst="rect">
                      <a:avLst/>
                    </a:prstGeom>
                  </pic:spPr>
                </pic:pic>
              </a:graphicData>
            </a:graphic>
          </wp:inline>
        </w:drawing>
      </w:r>
    </w:p>
    <w:p w14:paraId="4079DDD7">
      <w:pPr>
        <w:spacing w:line="360" w:lineRule="auto"/>
        <w:ind w:right="-20"/>
        <w:jc w:val="both"/>
        <w:rPr>
          <w:rFonts w:ascii="Times New Roman" w:hAnsi="Times New Roman" w:eastAsia="Calibri" w:cs="Times New Roman"/>
        </w:rPr>
      </w:pPr>
      <w:r>
        <w:rPr>
          <w:rFonts w:ascii="Times New Roman" w:hAnsi="Times New Roman" w:eastAsia="Calibri" w:cs="Times New Roman"/>
        </w:rPr>
        <w:t>FIGURE 5: How the three DCNNs work together with the PF for tracking people in a dense crowd.</w:t>
      </w:r>
    </w:p>
    <w:p w14:paraId="0CFD4067">
      <w:pPr>
        <w:spacing w:line="360" w:lineRule="auto"/>
        <w:ind w:right="-20"/>
        <w:jc w:val="both"/>
        <w:rPr>
          <w:rFonts w:ascii="Times New Roman" w:hAnsi="Times New Roman" w:eastAsia="Calibri" w:cs="Times New Roman"/>
        </w:rPr>
      </w:pPr>
      <w:r>
        <w:rPr>
          <w:rFonts w:ascii="Times New Roman" w:hAnsi="Times New Roman" w:eastAsia="Calibri" w:cs="Times New Roman"/>
        </w:rPr>
        <w:t xml:space="preserve">The researchers conducted two experiments where for the first, they used sequence 6 of an extensive annotated dataset of dense crowd sequence where the tracking accuracy threshold was set to 15 of 133 frames. The last 200 frames were used to train the DCNN Detection which produced a very high accuracy of 98%. The second experiment includes a dataset similar to the current research's objective that is the dense crowd during Makkah's pilgrimage. However, they use two different datasets composed of different times during the Makkah pilgrimage. For the DCNN Detection, a training set with no tracking annotation is used. The only annotations that were present are the bounding boxes that is around each person's heads. The second tracking dataset is based on seeds sampled mostly in high-density crowds during Makkah's Hajj pilgrimage. Their annotations span only a field of view in which human annotations can still be done without ambiguity. They compared the results between both algorithms where the first algorithm uses optical flow to track the pilgrims while the second algorithm is based on Neural Marching Cube (NMC). The DCNN Corrector which was trained with supervised learning earlier improves the accuracy when implemented. </w:t>
      </w:r>
      <w:r>
        <w:rPr>
          <w:rFonts w:hint="default" w:ascii="Times New Roman" w:hAnsi="Times New Roman" w:eastAsia="Calibri" w:cs="Times New Roman"/>
          <w:lang w:val="en-US"/>
        </w:rPr>
        <w:t xml:space="preserve">Figure 6 summarises </w:t>
      </w:r>
      <w:r>
        <w:rPr>
          <w:rFonts w:ascii="Times New Roman" w:hAnsi="Times New Roman" w:eastAsia="Calibri" w:cs="Times New Roman"/>
        </w:rPr>
        <w:t>the results of their studies where PFMRF is the coupling of the Particle Filter and Markov Random Field model, DCNN Cor is short for the DCNN Connector, MOTP is Multiple Object Tracking Precision, MOTA is Multiple Object Accuracy, and TA is Tracking Accuracy. The amount of training data used in the model (T data) is tested with different epochs.</w:t>
      </w:r>
    </w:p>
    <w:p w14:paraId="62ED7819">
      <w:pPr>
        <w:spacing w:line="360" w:lineRule="auto"/>
        <w:ind w:right="-20"/>
        <w:jc w:val="both"/>
        <w:rPr>
          <w:rFonts w:ascii="Times New Roman" w:hAnsi="Times New Roman" w:eastAsia="Calibri" w:cs="Times New Roman"/>
        </w:rPr>
      </w:pPr>
      <w:r>
        <w:rPr>
          <w:rFonts w:ascii="Times New Roman" w:hAnsi="Times New Roman" w:eastAsia="Calibri" w:cs="Times New Roman"/>
          <w:lang w:val="en-MY" w:eastAsia="en-MY"/>
        </w:rPr>
        <w:drawing>
          <wp:inline distT="0" distB="0" distL="114300" distR="114300">
            <wp:extent cx="2604770" cy="2225675"/>
            <wp:effectExtent l="0" t="0" r="5080" b="3175"/>
            <wp:docPr id="2" name="Picture 2" descr="Screen Shot 2024-07-31 at 9.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4-07-31 at 9.12.01"/>
                    <pic:cNvPicPr>
                      <a:picLocks noChangeAspect="1"/>
                    </pic:cNvPicPr>
                  </pic:nvPicPr>
                  <pic:blipFill>
                    <a:blip r:embed="rId14"/>
                    <a:stretch>
                      <a:fillRect/>
                    </a:stretch>
                  </pic:blipFill>
                  <pic:spPr>
                    <a:xfrm>
                      <a:off x="0" y="0"/>
                      <a:ext cx="2629721" cy="2247580"/>
                    </a:xfrm>
                    <a:prstGeom prst="rect">
                      <a:avLst/>
                    </a:prstGeom>
                  </pic:spPr>
                </pic:pic>
              </a:graphicData>
            </a:graphic>
          </wp:inline>
        </w:drawing>
      </w:r>
    </w:p>
    <w:p w14:paraId="4651138B">
      <w:pPr>
        <w:spacing w:line="360" w:lineRule="auto"/>
        <w:ind w:right="-20"/>
        <w:jc w:val="both"/>
        <w:rPr>
          <w:rFonts w:ascii="Times New Roman" w:hAnsi="Times New Roman" w:eastAsia="Calibri" w:cs="Times New Roman"/>
        </w:rPr>
      </w:pPr>
      <w:r>
        <w:rPr>
          <w:rFonts w:ascii="Times New Roman" w:hAnsi="Times New Roman" w:eastAsia="Calibri" w:cs="Times New Roman"/>
        </w:rPr>
        <w:t>FIGURE 6: Results of PS2's experiments</w:t>
      </w:r>
    </w:p>
    <w:p w14:paraId="165B90F4">
      <w:pPr>
        <w:spacing w:line="360" w:lineRule="auto"/>
        <w:ind w:right="-20"/>
        <w:jc w:val="both"/>
        <w:rPr>
          <w:rFonts w:ascii="Times New Roman" w:hAnsi="Times New Roman" w:eastAsia="Calibri" w:cs="Times New Roman"/>
        </w:rPr>
      </w:pPr>
      <w:r>
        <w:rPr>
          <w:rFonts w:hint="default" w:ascii="Times New Roman" w:hAnsi="Times New Roman" w:eastAsia="Calibri" w:cs="Times New Roman"/>
          <w:lang w:val="en-US"/>
        </w:rPr>
        <w:t>From the result, it can be seen that t</w:t>
      </w:r>
      <w:r>
        <w:rPr>
          <w:rFonts w:ascii="Times New Roman" w:hAnsi="Times New Roman" w:eastAsia="Calibri" w:cs="Times New Roman"/>
        </w:rPr>
        <w:t xml:space="preserve">his research proves that different datasets can be used with an </w:t>
      </w:r>
      <w:r>
        <w:rPr>
          <w:rFonts w:ascii="Times New Roman" w:hAnsi="Times New Roman" w:eastAsia="Calibri" w:cs="Times New Roman"/>
          <w:lang w:val="en-US"/>
        </w:rPr>
        <w:t>dissociated</w:t>
      </w:r>
      <w:r>
        <w:rPr>
          <w:rFonts w:ascii="Times New Roman" w:hAnsi="Times New Roman" w:eastAsia="Calibri" w:cs="Times New Roman"/>
        </w:rPr>
        <w:t xml:space="preserve"> model and still achieve </w:t>
      </w:r>
      <w:r>
        <w:rPr>
          <w:rFonts w:hint="default" w:ascii="Times New Roman" w:hAnsi="Times New Roman" w:eastAsia="Calibri" w:cs="Times New Roman"/>
          <w:lang w:val="en-US"/>
        </w:rPr>
        <w:t xml:space="preserve">decent </w:t>
      </w:r>
      <w:r>
        <w:rPr>
          <w:rFonts w:ascii="Times New Roman" w:hAnsi="Times New Roman" w:eastAsia="Calibri" w:cs="Times New Roman"/>
        </w:rPr>
        <w:t>results. Besides that, the summary of this paper's experiments is that by</w:t>
      </w:r>
      <w:r>
        <w:rPr>
          <w:rFonts w:ascii="Times New Roman" w:hAnsi="Times New Roman" w:eastAsia="Calibri" w:cs="Times New Roman"/>
          <w:lang w:eastAsia="zh-CN"/>
        </w:rPr>
        <w:t xml:space="preserve"> training on diverse datasets, the DCNN learns to handle various conditions and crowd densities, while PF helps in refining </w:t>
      </w:r>
      <w:r>
        <w:rPr>
          <w:rFonts w:ascii="Times New Roman" w:hAnsi="Times New Roman" w:eastAsia="Calibri" w:cs="Times New Roman"/>
          <w:lang w:val="en-US" w:eastAsia="zh-CN"/>
        </w:rPr>
        <w:t>detection</w:t>
      </w:r>
      <w:r>
        <w:rPr>
          <w:rFonts w:ascii="Times New Roman" w:hAnsi="Times New Roman" w:eastAsia="Calibri" w:cs="Times New Roman"/>
          <w:lang w:eastAsia="zh-CN"/>
        </w:rPr>
        <w:t>. Through the combined approach, the researchers managed to overcome the issue of occlusions and maintaining constant tracking of the pedestrians. This combination improves the accuracy and reliability of auto-annotation, as the model can generalize better across different scenarios. The trained model can then be used to annotate new video frames frames by having a high accuracy in detecting and tracking people, as well as providing ground truths that are reliable for further training and evaluation. This methodology demonstrates that leveraging multiple datasets and integrating sophisticated tracking mechanisms can significantly enhance the performance of auto-annotation systems.</w:t>
      </w:r>
    </w:p>
    <w:p w14:paraId="3C87FE4B">
      <w:pPr>
        <w:spacing w:line="360" w:lineRule="auto"/>
        <w:ind w:right="-20"/>
        <w:jc w:val="both"/>
        <w:rPr>
          <w:rFonts w:ascii="Times New Roman" w:hAnsi="Times New Roman" w:eastAsia="Calibri" w:cs="Times New Roman"/>
        </w:rPr>
      </w:pPr>
      <w:r>
        <w:rPr>
          <w:rFonts w:ascii="Times New Roman" w:hAnsi="Times New Roman" w:eastAsia="Calibri" w:cs="Times New Roman"/>
        </w:rPr>
        <w:t xml:space="preserve">PS5 also has an interesting approach to the annotation of their models. The researchers created their own generator to generate the annotations. Their generator takes four steps to work that are data synthesis, diversity, </w:t>
      </w:r>
      <w:r>
        <w:rPr>
          <w:rFonts w:ascii="Times New Roman" w:hAnsi="Times New Roman" w:eastAsia="Calibri" w:cs="Times New Roman"/>
          <w:lang w:val="en-US"/>
        </w:rPr>
        <w:t>environment</w:t>
      </w:r>
      <w:r>
        <w:rPr>
          <w:rFonts w:ascii="Times New Roman" w:hAnsi="Times New Roman" w:eastAsia="Calibri" w:cs="Times New Roman"/>
        </w:rPr>
        <w:t xml:space="preserve"> simulation, and annotations. The first step that is data synthesis is where the generator creates synthetic crowd scenes by simulating both various crowd behaviours and movement patterns. Then diversity is introduced to the data in terms of variability which includes</w:t>
      </w:r>
      <w:r>
        <w:rPr>
          <w:rFonts w:hint="default" w:ascii="Times New Roman" w:hAnsi="Times New Roman" w:eastAsia="Calibri" w:cs="Times New Roman"/>
          <w:lang w:val="en-US"/>
        </w:rPr>
        <w:t xml:space="preserve"> </w:t>
      </w:r>
      <w:r>
        <w:rPr>
          <w:rFonts w:ascii="Times New Roman" w:hAnsi="Times New Roman" w:eastAsia="Calibri" w:cs="Times New Roman"/>
        </w:rPr>
        <w:t xml:space="preserve">crowd density, group dispersion, and individual trajectories to mimic reality. Then, it is time to simulate the environment as the generator includes different kinds of </w:t>
      </w:r>
      <w:r>
        <w:rPr>
          <w:rFonts w:ascii="Times New Roman" w:hAnsi="Times New Roman" w:eastAsia="Calibri" w:cs="Times New Roman"/>
          <w:lang w:val="en-US"/>
        </w:rPr>
        <w:t>environmental</w:t>
      </w:r>
      <w:r>
        <w:rPr>
          <w:rFonts w:ascii="Times New Roman" w:hAnsi="Times New Roman" w:eastAsia="Calibri" w:cs="Times New Roman"/>
        </w:rPr>
        <w:t xml:space="preserve"> settings. This settings include urban and rural landscapes. The purpose of these settings is to ensure robustness of the tracking algorithms. Finally, each synthetic scenario is annotated with ground truth data. This will provide a benchmark for training and evaluation.  By combining this primary study with the others, it is highly possible to create an accurate annotation generator for future researchers in this field so that they can reduce the labour on annotating and can focus more on other areas to improve the quality of tracking people in dense crowds.</w:t>
      </w:r>
    </w:p>
    <w:p w14:paraId="6C60411E">
      <w:pPr>
        <w:spacing w:line="360" w:lineRule="auto"/>
        <w:ind w:right="-20"/>
        <w:jc w:val="both"/>
        <w:rPr>
          <w:rFonts w:ascii="Times New Roman" w:hAnsi="Times New Roman" w:eastAsia="Calibri" w:cs="Times New Roman"/>
          <w:color w:val="000000" w:themeColor="text1"/>
          <w14:textFill>
            <w14:solidFill>
              <w14:schemeClr w14:val="tx1"/>
            </w14:solidFill>
          </w14:textFill>
        </w:rPr>
      </w:pPr>
    </w:p>
    <w:p w14:paraId="340AA81E">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RQ3: How accurate is the detection and tracking of people in a dense crowd</w:t>
      </w:r>
    </w:p>
    <w:p w14:paraId="19BDD61A">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 xml:space="preserve">All the primary studies that involve a dense crowd show a high accuracy in detection and tracking of people in it such as PS1 that shows a high accuracy as they had very low MAE through using Cross-Modal Transfer Learning (CMTL) and Convolutional Neural Network for Counting and Density Map Estimation (CSRNet) with </w:t>
      </w:r>
      <w:r>
        <w:rPr>
          <w:rFonts w:ascii="Times New Roman" w:hAnsi="Times New Roman" w:eastAsia="Calibri" w:cs="Times New Roman"/>
          <w:color w:val="000000" w:themeColor="text1"/>
          <w:lang w:val="en-US"/>
          <w14:textFill>
            <w14:solidFill>
              <w14:schemeClr w14:val="tx1"/>
            </w14:solidFill>
          </w14:textFill>
        </w:rPr>
        <w:t>real</w:t>
      </w:r>
      <w:r>
        <w:rPr>
          <w:rFonts w:ascii="Times New Roman" w:hAnsi="Times New Roman" w:eastAsia="Calibri" w:cs="Times New Roman"/>
          <w:color w:val="000000" w:themeColor="text1"/>
          <w14:textFill>
            <w14:solidFill>
              <w14:schemeClr w14:val="tx1"/>
            </w14:solidFill>
          </w14:textFill>
        </w:rPr>
        <w:t xml:space="preserve"> world and syntactic dataset. They had an accuracy of 88.06, 17.0, and 300.2 MAE for Shanghai Tech Part A, Part B, and UCF-50 datasets respectively through CMTL.. Most of the high accuracy tests come from testing different architectures such as YOLO and GCN. However, there are primary studies that managed to further improve accuracy with the help of re-identification to reduce the rate of false positives. PS1, 2, 3, 6, and 7 are studies that involve dense crowds but don't have re-identification. These studies don't mention their false positives as well. Their accuracy measurement comes from different sources such as Mean Absolute Error (MAE) for PS1 and training accuracy via the amount of training datasets used with different epochs for PS2. For the research that both utilises and explains their use of re-identification, they are included as primary studies that respect RQ3. These primary studies include PS4, 9, and 11. In the primary studies that respect RQ3, it is shown that most of the research uses a tracking algorithm called Deep Association Metric (DeepSORT). DeepSORT uses a simple person Re-ID model architecture, making it possible to easily re-identify a person from a dense crowd. DeepSORT can be used to reduce false positives according to a paper called "False positive elimination in object detection method for videos" as it helps to re-identify the person in the scene. Hence, that person will not be able to increase the crowd count when re-identified. PS9 explains further about DeepSORT such as how it employs Kalman filtering and Hungarian matching to ensure </w:t>
      </w:r>
      <w:r>
        <w:rPr>
          <w:rFonts w:ascii="Times New Roman" w:hAnsi="Times New Roman" w:eastAsia="Calibri" w:cs="Times New Roman"/>
          <w:color w:val="000000" w:themeColor="text1"/>
          <w:lang w:val="en-US"/>
          <w14:textFill>
            <w14:solidFill>
              <w14:schemeClr w14:val="tx1"/>
            </w14:solidFill>
          </w14:textFill>
        </w:rPr>
        <w:t>consistent</w:t>
      </w:r>
      <w:r>
        <w:rPr>
          <w:rFonts w:ascii="Times New Roman" w:hAnsi="Times New Roman" w:eastAsia="Calibri" w:cs="Times New Roman"/>
          <w:color w:val="000000" w:themeColor="text1"/>
          <w14:textFill>
            <w14:solidFill>
              <w14:schemeClr w14:val="tx1"/>
            </w14:solidFill>
          </w14:textFill>
        </w:rPr>
        <w:t xml:space="preserve"> object tracking across frames. It also explained how DeepSORT </w:t>
      </w:r>
      <w:r>
        <w:rPr>
          <w:rFonts w:ascii="Times New Roman" w:hAnsi="Times New Roman" w:eastAsia="Calibri" w:cs="Times New Roman"/>
          <w:color w:val="000000" w:themeColor="text1"/>
          <w:lang w:val="en-US"/>
          <w14:textFill>
            <w14:solidFill>
              <w14:schemeClr w14:val="tx1"/>
            </w14:solidFill>
          </w14:textFill>
        </w:rPr>
        <w:t>produces</w:t>
      </w:r>
      <w:r>
        <w:rPr>
          <w:rFonts w:ascii="Times New Roman" w:hAnsi="Times New Roman" w:eastAsia="Calibri" w:cs="Times New Roman"/>
          <w:color w:val="000000" w:themeColor="text1"/>
          <w14:textFill>
            <w14:solidFill>
              <w14:schemeClr w14:val="tx1"/>
            </w14:solidFill>
          </w14:textFill>
        </w:rPr>
        <w:t xml:space="preserve"> tracked objects with corresponding IDs. This helps to reduce false positives as since every object, in the case of the research, humans, have their own IDs, they cannot be identified again as a new person. Instead, they will be re-identified by their original ID. The other PS such as 5, 6, 12, and 13 that doesn't delve much into re-identification still uses DeepSORT as its primary algorithm for re-identification. Hence, not only is it open-sourced but also widely used and trusted. From the public studies and research, what seemed to be a difficult task in re-identifying a person in the high-density crowd becomes an easier approach with the help of DeepSORT.</w:t>
      </w:r>
    </w:p>
    <w:p w14:paraId="399B3F3E">
      <w:pPr>
        <w:spacing w:line="360" w:lineRule="auto"/>
        <w:jc w:val="both"/>
        <w:rPr>
          <w:rFonts w:ascii="Times New Roman" w:hAnsi="Times New Roman" w:eastAsia="Calibri" w:cs="Times New Roman"/>
          <w:b/>
          <w:color w:val="000000" w:themeColor="text1"/>
          <w14:textFill>
            <w14:solidFill>
              <w14:schemeClr w14:val="tx1"/>
            </w14:solidFill>
          </w14:textFill>
        </w:rPr>
      </w:pPr>
      <w:r>
        <w:rPr>
          <w:rFonts w:ascii="Times New Roman" w:hAnsi="Times New Roman" w:eastAsia="Calibri" w:cs="Times New Roman"/>
          <w:b/>
          <w:color w:val="000000" w:themeColor="text1"/>
          <w14:textFill>
            <w14:solidFill>
              <w14:schemeClr w14:val="tx1"/>
            </w14:solidFill>
          </w14:textFill>
        </w:rPr>
        <w:t>4. Limitation</w:t>
      </w:r>
    </w:p>
    <w:p w14:paraId="70688866">
      <w:pPr>
        <w:spacing w:line="360" w:lineRule="auto"/>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The SLR about the tracking and detection of people through a deep learning approach is conducted based on 13 primary studies between 2019 to 2024. However, there is a possibility that the result of the SLR is affected by a few factors. These factors are the coverage of the search strategy and quality assessment inaccuracy. These factors have been discussed and explained further in this section.</w:t>
      </w:r>
    </w:p>
    <w:p w14:paraId="6E6C64C9">
      <w:pPr>
        <w:spacing w:line="360" w:lineRule="auto"/>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The coverage of the search strategy influences the number of papers gotten across different online databases. The keywords used need were related to the current research such as topology and dense crowd. The Boolean expression used can also influence the number of papers retrieved from the databases. While using the AND Boolean expression, that keyword must be available in the topic.</w:t>
      </w:r>
    </w:p>
    <w:p w14:paraId="719D010E">
      <w:pPr>
        <w:spacing w:line="360" w:lineRule="auto"/>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The filtering of the papers also affects the number of papers gotten. This is due to how EndNote files and papers gotten from Scopus don't give abstracts, influencing the step where the papers without abstract. Due to them not getting the abstract from the beginning, these papers were not removed.</w:t>
      </w:r>
    </w:p>
    <w:p w14:paraId="3E7F990D">
      <w:pPr>
        <w:spacing w:line="360" w:lineRule="auto"/>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Publish or Perish and Zotero were used to retrieve the data. However, Publish or Perish mixes up the data in different column headers as the SLR retrieves data from different databases. Publish or Perish also causes some of the papers dates to be wrong and having the wrong DOI. Hence, it was needed to manually check some of the papers that were screened to make sure that they can be counted as a primary study.</w:t>
      </w:r>
    </w:p>
    <w:p w14:paraId="54F3F2DC">
      <w:pPr>
        <w:spacing w:line="360" w:lineRule="auto"/>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The quality assessment might also affect the SLR. This is due to how the final exclusion of the papers before the current study gets the primary studies relies on the quality for the papers. If the papers do not meet the quality score set during the section, the paper will be excluded. There are only 5 research questions that are closely related to the current study that the quality score is based on. The strictness of the quality set and the number of research questions will influence the final number of primary studies. Since there are not many papers that use topological localisation, the research that incorporated any kind of topological method was counted.</w:t>
      </w:r>
    </w:p>
    <w:p w14:paraId="419B4317">
      <w:pPr>
        <w:spacing w:line="360" w:lineRule="auto"/>
        <w:jc w:val="both"/>
        <w:rPr>
          <w:rFonts w:ascii="Times New Roman" w:hAnsi="Times New Roman" w:eastAsia="Calibri" w:cs="Times New Roman"/>
          <w:color w:val="000000" w:themeColor="text1"/>
          <w14:textFill>
            <w14:solidFill>
              <w14:schemeClr w14:val="tx1"/>
            </w14:solidFill>
          </w14:textFill>
        </w:rPr>
      </w:pPr>
    </w:p>
    <w:p w14:paraId="39CE0035">
      <w:pPr>
        <w:spacing w:line="360" w:lineRule="auto"/>
        <w:jc w:val="both"/>
        <w:rPr>
          <w:rFonts w:ascii="Times New Roman" w:hAnsi="Times New Roman" w:eastAsia="Calibri" w:cs="Times New Roman"/>
          <w:b/>
          <w:color w:val="000000" w:themeColor="text1"/>
          <w14:textFill>
            <w14:solidFill>
              <w14:schemeClr w14:val="tx1"/>
            </w14:solidFill>
          </w14:textFill>
        </w:rPr>
      </w:pPr>
      <w:r>
        <w:rPr>
          <w:rFonts w:ascii="Times New Roman" w:hAnsi="Times New Roman" w:eastAsia="Calibri" w:cs="Times New Roman"/>
          <w:b/>
          <w:color w:val="000000" w:themeColor="text1"/>
          <w14:textFill>
            <w14:solidFill>
              <w14:schemeClr w14:val="tx1"/>
            </w14:solidFill>
          </w14:textFill>
        </w:rPr>
        <w:t>5. Conclusion</w:t>
      </w:r>
    </w:p>
    <w:p w14:paraId="68C48C8F">
      <w:pPr>
        <w:spacing w:line="360" w:lineRule="auto"/>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 xml:space="preserve">Detection and tracking of people in a dense crowd is essential research as there have been many accidents that have happened due to bad crowd management. To further the current study that is to track and detect people in a dense crowd through a deep learning approach, a SLR must be carried out to understand the methods and architectures used for tracking and detection of people in a crowd by similar studies. Even when we have the data for tracking the people in a dense crowd, we will need to manually annotate the people to be detected. Hence, the research also needed to cover on how to auto annotate the targets in our dataset. Research questions were formulated for the current study to be solved by the primary studies of the SLR. 1889 articles were originally obtained when five online repositories were searched using specific keywords. The number of articles was filtered down to 13 primary studies published from 2019 to 2024. The filtering includes exclusion of papers that are not related to the topic, not English, and doesn’t achieve the target of the quality score set. The primary studies are then used to answer the three research questions where each primary study is researched more to see which research question is most suitable to fill in the gap. Finally, the limitations of the studies were researched and the future directions for researchers who are keen on this area of research were discussed. The aim of this paper is to serve as a guide for research in this area of study through the help of a systematic review of the methods and architectures of detection and tracking of people in a dense crowd and improve the productivity of research in terms of annotating the targets for </w:t>
      </w:r>
      <w:r>
        <w:rPr>
          <w:rFonts w:ascii="Times New Roman" w:hAnsi="Times New Roman" w:eastAsia="Calibri" w:cs="Times New Roman"/>
          <w:color w:val="000000" w:themeColor="text1"/>
          <w:lang w:val="en-US"/>
          <w14:textFill>
            <w14:solidFill>
              <w14:schemeClr w14:val="tx1"/>
            </w14:solidFill>
          </w14:textFill>
        </w:rPr>
        <w:t>labeling</w:t>
      </w:r>
      <w:r>
        <w:rPr>
          <w:rFonts w:ascii="Times New Roman" w:hAnsi="Times New Roman" w:eastAsia="Calibri" w:cs="Times New Roman"/>
          <w:color w:val="000000" w:themeColor="text1"/>
          <w14:textFill>
            <w14:solidFill>
              <w14:schemeClr w14:val="tx1"/>
            </w14:solidFill>
          </w14:textFill>
        </w:rPr>
        <w:t>.</w:t>
      </w:r>
    </w:p>
    <w:p w14:paraId="1304F148">
      <w:pPr>
        <w:spacing w:line="360" w:lineRule="auto"/>
        <w:jc w:val="both"/>
        <w:rPr>
          <w:rFonts w:ascii="Times New Roman" w:hAnsi="Times New Roman" w:eastAsia="Calibri" w:cs="Times New Roman"/>
          <w:color w:val="000000" w:themeColor="text1"/>
          <w14:textFill>
            <w14:solidFill>
              <w14:schemeClr w14:val="tx1"/>
            </w14:solidFill>
          </w14:textFill>
        </w:rPr>
      </w:pPr>
    </w:p>
    <w:p w14:paraId="791D1D0B">
      <w:pPr>
        <w:spacing w:line="360" w:lineRule="auto"/>
        <w:jc w:val="both"/>
        <w:rPr>
          <w:rFonts w:ascii="Times New Roman" w:hAnsi="Times New Roman" w:eastAsia="Calibri" w:cs="Times New Roman"/>
          <w:b/>
          <w:color w:val="000000" w:themeColor="text1"/>
          <w14:textFill>
            <w14:solidFill>
              <w14:schemeClr w14:val="tx1"/>
            </w14:solidFill>
          </w14:textFill>
        </w:rPr>
      </w:pPr>
      <w:r>
        <w:rPr>
          <w:rFonts w:ascii="Times New Roman" w:hAnsi="Times New Roman" w:eastAsia="Calibri" w:cs="Times New Roman"/>
          <w:b/>
          <w:color w:val="000000" w:themeColor="text1"/>
          <w14:textFill>
            <w14:solidFill>
              <w14:schemeClr w14:val="tx1"/>
            </w14:solidFill>
          </w14:textFill>
        </w:rPr>
        <w:t>6. Reference</w:t>
      </w:r>
    </w:p>
    <w:p w14:paraId="03C7F151">
      <w:pPr>
        <w:pStyle w:val="40"/>
        <w:numPr>
          <w:ilvl w:val="0"/>
          <w:numId w:val="2"/>
        </w:numPr>
        <w:spacing w:after="0" w:line="360" w:lineRule="auto"/>
        <w:rPr>
          <w:rFonts w:ascii="Times New Roman" w:hAnsi="Times New Roman" w:eastAsia="Times New Roman" w:cs="Times New Roman"/>
          <w:lang w:val="en-MY" w:eastAsia="en-MY"/>
        </w:rPr>
      </w:pPr>
      <w:r>
        <w:rPr>
          <w:rFonts w:ascii="Times New Roman" w:hAnsi="Times New Roman" w:cs="Times New Roman"/>
        </w:rPr>
        <w:t>Li J. A systematic literature review on feature selection for machine learning-based attack classification for IoT security. Int J Sensor Networks. 2023;X(Y4):000-000.</w:t>
      </w:r>
    </w:p>
    <w:p w14:paraId="108F24A2">
      <w:pPr>
        <w:pStyle w:val="40"/>
        <w:numPr>
          <w:ilvl w:val="0"/>
          <w:numId w:val="2"/>
        </w:numPr>
        <w:spacing w:line="360" w:lineRule="auto"/>
        <w:rPr>
          <w:rFonts w:ascii="Times New Roman" w:hAnsi="Times New Roman" w:cs="Times New Roman"/>
        </w:rPr>
      </w:pPr>
      <w:r>
        <w:rPr>
          <w:rFonts w:ascii="Times New Roman" w:hAnsi="Times New Roman" w:cs="Times New Roman"/>
        </w:rPr>
        <w:t xml:space="preserve">Amosa TI, Sebastian P, Izhar LI, Ibrahim O, Ayinla LS, Bahashwan AA, et al. Multi-camera multi-object tracking: A review of current trends and future advances. Neurocomputing. 2023;552:126558. </w:t>
      </w:r>
      <w:r>
        <w:fldChar w:fldCharType="begin"/>
      </w:r>
      <w:r>
        <w:instrText xml:space="preserve"> HYPERLINK "https://doi.org/10.1016/j.neucom.2023.126558" \t "_new" </w:instrText>
      </w:r>
      <w:r>
        <w:fldChar w:fldCharType="separate"/>
      </w:r>
      <w:r>
        <w:rPr>
          <w:rStyle w:val="16"/>
          <w:rFonts w:ascii="Times New Roman" w:hAnsi="Times New Roman" w:cs="Times New Roman"/>
        </w:rPr>
        <w:t>https://doi.org/10.1016/j.neucom.2023.126558</w:t>
      </w:r>
      <w:r>
        <w:rPr>
          <w:rStyle w:val="16"/>
          <w:rFonts w:ascii="Times New Roman" w:hAnsi="Times New Roman" w:cs="Times New Roman"/>
        </w:rPr>
        <w:fldChar w:fldCharType="end"/>
      </w:r>
    </w:p>
    <w:p w14:paraId="104726C3">
      <w:pPr>
        <w:pStyle w:val="40"/>
        <w:numPr>
          <w:ilvl w:val="0"/>
          <w:numId w:val="2"/>
        </w:numPr>
        <w:spacing w:line="360" w:lineRule="auto"/>
        <w:rPr>
          <w:rFonts w:ascii="Times New Roman" w:hAnsi="Times New Roman" w:cs="Times New Roman"/>
        </w:rPr>
      </w:pPr>
      <w:r>
        <w:rPr>
          <w:rFonts w:ascii="Times New Roman" w:hAnsi="Times New Roman" w:cs="Times New Roman"/>
        </w:rPr>
        <w:t xml:space="preserve">Athilakshmi R, Sainagakrishna PS, Chowdary Kota SS, Teja MC, Venkatesh T, Prasad VJ. Enhancing real-time human tracking using YOLONAS-DeepSort fusion models. 2023 7th International Conference on Electronics, Communication and Aerospace Technology (ICECA). 2023;1118-25. </w:t>
      </w:r>
      <w:r>
        <w:fldChar w:fldCharType="begin"/>
      </w:r>
      <w:r>
        <w:instrText xml:space="preserve"> HYPERLINK "https://doi.org/10.1109/ICECA58529.2023.10394864" \t "_new" </w:instrText>
      </w:r>
      <w:r>
        <w:fldChar w:fldCharType="separate"/>
      </w:r>
      <w:r>
        <w:rPr>
          <w:rStyle w:val="16"/>
          <w:rFonts w:ascii="Times New Roman" w:hAnsi="Times New Roman" w:cs="Times New Roman"/>
        </w:rPr>
        <w:t>https://doi.org/10.1109/ICECA58529.2023.10394864</w:t>
      </w:r>
      <w:r>
        <w:rPr>
          <w:rStyle w:val="16"/>
          <w:rFonts w:ascii="Times New Roman" w:hAnsi="Times New Roman" w:cs="Times New Roman"/>
        </w:rPr>
        <w:fldChar w:fldCharType="end"/>
      </w:r>
    </w:p>
    <w:p w14:paraId="6B0CD067">
      <w:pPr>
        <w:pStyle w:val="40"/>
        <w:numPr>
          <w:ilvl w:val="0"/>
          <w:numId w:val="2"/>
        </w:numPr>
        <w:spacing w:line="360" w:lineRule="auto"/>
        <w:rPr>
          <w:rFonts w:ascii="Times New Roman" w:hAnsi="Times New Roman" w:cs="Times New Roman"/>
        </w:rPr>
      </w:pPr>
      <w:r>
        <w:rPr>
          <w:rFonts w:ascii="Times New Roman" w:hAnsi="Times New Roman" w:cs="Times New Roman"/>
        </w:rPr>
        <w:t xml:space="preserve">Deb T, Rahmun M, Bijoy SA, Raha MH, Khan MA. UUCT - HyMP: Towards tracking dispersed crowd groups from UAVs. 2021 International Joint Conference on Neural Networks (IJCNN). 2021;1-8. </w:t>
      </w:r>
      <w:r>
        <w:fldChar w:fldCharType="begin"/>
      </w:r>
      <w:r>
        <w:instrText xml:space="preserve"> HYPERLINK "https://doi.org/10.1109/IJCNN52387.2021.9533600" \t "_new" </w:instrText>
      </w:r>
      <w:r>
        <w:fldChar w:fldCharType="separate"/>
      </w:r>
      <w:r>
        <w:rPr>
          <w:rStyle w:val="16"/>
          <w:rFonts w:ascii="Times New Roman" w:hAnsi="Times New Roman" w:cs="Times New Roman"/>
        </w:rPr>
        <w:t>https://doi.org/10.1109/IJCNN52387.2021.9533600</w:t>
      </w:r>
      <w:r>
        <w:rPr>
          <w:rStyle w:val="16"/>
          <w:rFonts w:ascii="Times New Roman" w:hAnsi="Times New Roman" w:cs="Times New Roman"/>
        </w:rPr>
        <w:fldChar w:fldCharType="end"/>
      </w:r>
    </w:p>
    <w:p w14:paraId="0899AE39">
      <w:pPr>
        <w:pStyle w:val="40"/>
        <w:numPr>
          <w:ilvl w:val="0"/>
          <w:numId w:val="2"/>
        </w:numPr>
        <w:spacing w:line="360" w:lineRule="auto"/>
        <w:rPr>
          <w:rFonts w:ascii="Times New Roman" w:hAnsi="Times New Roman" w:cs="Times New Roman"/>
        </w:rPr>
      </w:pPr>
      <w:r>
        <w:rPr>
          <w:rFonts w:ascii="Times New Roman" w:hAnsi="Times New Roman" w:cs="Times New Roman"/>
        </w:rPr>
        <w:t xml:space="preserve">Franchi G, Aldea E, Dubuisson S, Bloch I. Tracking hundreds of people in densely crowded scenes with particle filtering supervising deep convolutional neural networks. 2020 IEEE International Conference on Image Processing (ICIP). 2020;2071-75. </w:t>
      </w:r>
      <w:r>
        <w:fldChar w:fldCharType="begin"/>
      </w:r>
      <w:r>
        <w:instrText xml:space="preserve"> HYPERLINK "https://doi.org/10.1109/ICIP40778.2020.9190953" \t "_new" </w:instrText>
      </w:r>
      <w:r>
        <w:fldChar w:fldCharType="separate"/>
      </w:r>
      <w:r>
        <w:rPr>
          <w:rStyle w:val="16"/>
          <w:rFonts w:ascii="Times New Roman" w:hAnsi="Times New Roman" w:cs="Times New Roman"/>
        </w:rPr>
        <w:t>https://doi.org/10.1109/ICIP40778.2020.9190953</w:t>
      </w:r>
      <w:r>
        <w:rPr>
          <w:rStyle w:val="16"/>
          <w:rFonts w:ascii="Times New Roman" w:hAnsi="Times New Roman" w:cs="Times New Roman"/>
        </w:rPr>
        <w:fldChar w:fldCharType="end"/>
      </w:r>
    </w:p>
    <w:p w14:paraId="34CC6DAF">
      <w:pPr>
        <w:pStyle w:val="40"/>
        <w:numPr>
          <w:ilvl w:val="0"/>
          <w:numId w:val="2"/>
        </w:numPr>
        <w:spacing w:line="360" w:lineRule="auto"/>
        <w:rPr>
          <w:rFonts w:ascii="Times New Roman" w:hAnsi="Times New Roman" w:cs="Times New Roman"/>
        </w:rPr>
      </w:pPr>
      <w:r>
        <w:rPr>
          <w:rFonts w:ascii="Times New Roman" w:hAnsi="Times New Roman" w:cs="Times New Roman"/>
        </w:rPr>
        <w:t xml:space="preserve">Khadka AR, Oghaz MM, Matta W, Cosentino M, Remagnino P, Argyriou V. Learning how to analyse crowd behaviour using synthetic data. CASA ’19: Computer Animation and Social Agents. 2019;11-14. </w:t>
      </w:r>
      <w:r>
        <w:fldChar w:fldCharType="begin"/>
      </w:r>
      <w:r>
        <w:instrText xml:space="preserve"> HYPERLINK "https://doi.org/10.1145/3328756.3328773" \t "_new" </w:instrText>
      </w:r>
      <w:r>
        <w:fldChar w:fldCharType="separate"/>
      </w:r>
      <w:r>
        <w:rPr>
          <w:rStyle w:val="16"/>
          <w:rFonts w:ascii="Times New Roman" w:hAnsi="Times New Roman" w:cs="Times New Roman"/>
        </w:rPr>
        <w:t>https://doi.org/10.1145/3328756.3328773</w:t>
      </w:r>
      <w:r>
        <w:rPr>
          <w:rStyle w:val="16"/>
          <w:rFonts w:ascii="Times New Roman" w:hAnsi="Times New Roman" w:cs="Times New Roman"/>
        </w:rPr>
        <w:fldChar w:fldCharType="end"/>
      </w:r>
    </w:p>
    <w:p w14:paraId="28751EA0">
      <w:pPr>
        <w:pStyle w:val="40"/>
        <w:numPr>
          <w:ilvl w:val="0"/>
          <w:numId w:val="2"/>
        </w:numPr>
        <w:spacing w:line="360" w:lineRule="auto"/>
        <w:rPr>
          <w:rFonts w:ascii="Times New Roman" w:hAnsi="Times New Roman" w:cs="Times New Roman"/>
        </w:rPr>
      </w:pPr>
      <w:r>
        <w:rPr>
          <w:rFonts w:ascii="Times New Roman" w:hAnsi="Times New Roman" w:cs="Times New Roman"/>
        </w:rPr>
        <w:t xml:space="preserve">Li X, Yang Y, Xu Y, Wang C, Li L. Crowd abnormal behavior detection combining movement and emotion descriptors. ICNSER2020: The 2nd International Conference on Industrial Control Network and System Engineering Research. 2020;106-10. </w:t>
      </w:r>
      <w:r>
        <w:fldChar w:fldCharType="begin"/>
      </w:r>
      <w:r>
        <w:instrText xml:space="preserve"> HYPERLINK "https://doi.org/10.1145/3411016.3411166" \t "_new" </w:instrText>
      </w:r>
      <w:r>
        <w:fldChar w:fldCharType="separate"/>
      </w:r>
      <w:r>
        <w:rPr>
          <w:rStyle w:val="16"/>
          <w:rFonts w:ascii="Times New Roman" w:hAnsi="Times New Roman" w:cs="Times New Roman"/>
        </w:rPr>
        <w:t>https://doi.org/10.1145/3411016.3411166</w:t>
      </w:r>
      <w:r>
        <w:rPr>
          <w:rStyle w:val="16"/>
          <w:rFonts w:ascii="Times New Roman" w:hAnsi="Times New Roman" w:cs="Times New Roman"/>
        </w:rPr>
        <w:fldChar w:fldCharType="end"/>
      </w:r>
    </w:p>
    <w:p w14:paraId="6B2C527A">
      <w:pPr>
        <w:pStyle w:val="40"/>
        <w:numPr>
          <w:ilvl w:val="0"/>
          <w:numId w:val="2"/>
        </w:numPr>
        <w:spacing w:line="360" w:lineRule="auto"/>
        <w:rPr>
          <w:rFonts w:ascii="Times New Roman" w:hAnsi="Times New Roman" w:cs="Times New Roman"/>
        </w:rPr>
      </w:pPr>
      <w:r>
        <w:rPr>
          <w:rFonts w:ascii="Times New Roman" w:hAnsi="Times New Roman" w:cs="Times New Roman"/>
        </w:rPr>
        <w:t xml:space="preserve">Liu D, Wang Z, Meng X. Fast intensive crowd counting model of Internet of Things based on multi-scale attention mechanism. IET Image Process. 2022;ipr2.12686. </w:t>
      </w:r>
      <w:r>
        <w:fldChar w:fldCharType="begin"/>
      </w:r>
      <w:r>
        <w:instrText xml:space="preserve"> HYPERLINK "https://doi.org/10.1049/ipr2.12686" \t "_new" </w:instrText>
      </w:r>
      <w:r>
        <w:fldChar w:fldCharType="separate"/>
      </w:r>
      <w:r>
        <w:rPr>
          <w:rStyle w:val="16"/>
          <w:rFonts w:ascii="Times New Roman" w:hAnsi="Times New Roman" w:cs="Times New Roman"/>
        </w:rPr>
        <w:t>https://doi.org/10.1049/ipr2.12686</w:t>
      </w:r>
      <w:r>
        <w:rPr>
          <w:rStyle w:val="16"/>
          <w:rFonts w:ascii="Times New Roman" w:hAnsi="Times New Roman" w:cs="Times New Roman"/>
        </w:rPr>
        <w:fldChar w:fldCharType="end"/>
      </w:r>
    </w:p>
    <w:p w14:paraId="50FC02BD">
      <w:pPr>
        <w:pStyle w:val="40"/>
        <w:numPr>
          <w:ilvl w:val="0"/>
          <w:numId w:val="2"/>
        </w:numPr>
        <w:spacing w:line="360" w:lineRule="auto"/>
        <w:rPr>
          <w:rFonts w:ascii="Times New Roman" w:hAnsi="Times New Roman" w:cs="Times New Roman"/>
        </w:rPr>
      </w:pPr>
      <w:r>
        <w:rPr>
          <w:rFonts w:ascii="Times New Roman" w:hAnsi="Times New Roman" w:cs="Times New Roman"/>
        </w:rPr>
        <w:t xml:space="preserve">Wang X, Gao C, Xin M, Zhang S, Zhang M. Topology and channel affinity reinforced global attention for person re-identification. Int J Intell Syst. 2021;36(9):5136-60. </w:t>
      </w:r>
      <w:r>
        <w:fldChar w:fldCharType="begin"/>
      </w:r>
      <w:r>
        <w:instrText xml:space="preserve"> HYPERLINK "https://doi.org/10.1002/int.22506" \t "_new" </w:instrText>
      </w:r>
      <w:r>
        <w:fldChar w:fldCharType="separate"/>
      </w:r>
      <w:r>
        <w:rPr>
          <w:rStyle w:val="16"/>
          <w:rFonts w:ascii="Times New Roman" w:hAnsi="Times New Roman" w:cs="Times New Roman"/>
        </w:rPr>
        <w:t>https://doi.org/10.1002/int.22506</w:t>
      </w:r>
      <w:r>
        <w:rPr>
          <w:rStyle w:val="16"/>
          <w:rFonts w:ascii="Times New Roman" w:hAnsi="Times New Roman" w:cs="Times New Roman"/>
        </w:rPr>
        <w:fldChar w:fldCharType="end"/>
      </w:r>
    </w:p>
    <w:p w14:paraId="75E0E1A2">
      <w:pPr>
        <w:pStyle w:val="40"/>
        <w:numPr>
          <w:ilvl w:val="0"/>
          <w:numId w:val="2"/>
        </w:numPr>
        <w:spacing w:line="360" w:lineRule="auto"/>
        <w:rPr>
          <w:rFonts w:ascii="Times New Roman" w:hAnsi="Times New Roman" w:cs="Times New Roman"/>
        </w:rPr>
      </w:pPr>
      <w:r>
        <w:rPr>
          <w:rFonts w:ascii="Times New Roman" w:hAnsi="Times New Roman" w:cs="Times New Roman"/>
        </w:rPr>
        <w:t xml:space="preserve">Wong V, Law K. Fusion of CCTV video and spatial information for automated crowd congestion monitoring in public urban spaces. Algorithms. 2023;16(3):154. </w:t>
      </w:r>
      <w:r>
        <w:fldChar w:fldCharType="begin"/>
      </w:r>
      <w:r>
        <w:instrText xml:space="preserve"> HYPERLINK "https://doi.org/10.3390/a16030154" \t "_new" </w:instrText>
      </w:r>
      <w:r>
        <w:fldChar w:fldCharType="separate"/>
      </w:r>
      <w:r>
        <w:rPr>
          <w:rStyle w:val="16"/>
          <w:rFonts w:ascii="Times New Roman" w:hAnsi="Times New Roman" w:cs="Times New Roman"/>
        </w:rPr>
        <w:t>https://doi.org/10.3390/a16030154</w:t>
      </w:r>
      <w:r>
        <w:rPr>
          <w:rStyle w:val="16"/>
          <w:rFonts w:ascii="Times New Roman" w:hAnsi="Times New Roman" w:cs="Times New Roman"/>
        </w:rPr>
        <w:fldChar w:fldCharType="end"/>
      </w:r>
    </w:p>
    <w:p w14:paraId="69FF5E0E">
      <w:pPr>
        <w:pStyle w:val="40"/>
        <w:numPr>
          <w:ilvl w:val="0"/>
          <w:numId w:val="2"/>
        </w:numPr>
        <w:spacing w:line="360" w:lineRule="auto"/>
        <w:rPr>
          <w:rFonts w:ascii="Times New Roman" w:hAnsi="Times New Roman" w:cs="Times New Roman"/>
        </w:rPr>
      </w:pPr>
      <w:r>
        <w:rPr>
          <w:rFonts w:ascii="Times New Roman" w:hAnsi="Times New Roman" w:cs="Times New Roman"/>
        </w:rPr>
        <w:t xml:space="preserve">Xiang S, You G, Guan M, Chen H, Yan B, Liu T, et al. Less is more: Learning from synthetic data with fine-grained attributes for person re-identification. arXiv. 2021. </w:t>
      </w:r>
      <w:r>
        <w:fldChar w:fldCharType="begin"/>
      </w:r>
      <w:r>
        <w:instrText xml:space="preserve"> HYPERLINK "https://doi.org/10.48550/ARXIV.2109.10498" \t "_new" </w:instrText>
      </w:r>
      <w:r>
        <w:fldChar w:fldCharType="separate"/>
      </w:r>
      <w:r>
        <w:rPr>
          <w:rStyle w:val="16"/>
          <w:rFonts w:ascii="Times New Roman" w:hAnsi="Times New Roman" w:cs="Times New Roman"/>
        </w:rPr>
        <w:t>https://doi.org/10.48550/ARXIV.2109.10498</w:t>
      </w:r>
      <w:r>
        <w:rPr>
          <w:rStyle w:val="16"/>
          <w:rFonts w:ascii="Times New Roman" w:hAnsi="Times New Roman" w:cs="Times New Roman"/>
        </w:rPr>
        <w:fldChar w:fldCharType="end"/>
      </w:r>
    </w:p>
    <w:p w14:paraId="056AD4BA">
      <w:pPr>
        <w:pStyle w:val="40"/>
        <w:numPr>
          <w:ilvl w:val="0"/>
          <w:numId w:val="2"/>
        </w:numPr>
        <w:spacing w:line="360" w:lineRule="auto"/>
        <w:rPr>
          <w:rFonts w:ascii="Times New Roman" w:hAnsi="Times New Roman" w:cs="Times New Roman"/>
        </w:rPr>
      </w:pPr>
      <w:r>
        <w:rPr>
          <w:rFonts w:ascii="Times New Roman" w:hAnsi="Times New Roman" w:cs="Times New Roman"/>
        </w:rPr>
        <w:t xml:space="preserve">Yeh KH, Hsu IC, Chou YZ, Chen GY, Tsai YS. An aerial crowd-flow analyzing system for drone under YOLOv5 and StrongSort. 2022 International Automatic Control Conference (CACS). 2022;1-6. </w:t>
      </w:r>
      <w:r>
        <w:fldChar w:fldCharType="begin"/>
      </w:r>
      <w:r>
        <w:instrText xml:space="preserve"> HYPERLINK "https://doi.org/10.1109/CACS55319.2022.9969785" \t "_new" </w:instrText>
      </w:r>
      <w:r>
        <w:fldChar w:fldCharType="separate"/>
      </w:r>
      <w:r>
        <w:rPr>
          <w:rStyle w:val="16"/>
          <w:rFonts w:ascii="Times New Roman" w:hAnsi="Times New Roman" w:cs="Times New Roman"/>
        </w:rPr>
        <w:t>https://doi.org/10.1109/CACS55319.2022.9969785</w:t>
      </w:r>
      <w:r>
        <w:rPr>
          <w:rStyle w:val="16"/>
          <w:rFonts w:ascii="Times New Roman" w:hAnsi="Times New Roman" w:cs="Times New Roman"/>
        </w:rPr>
        <w:fldChar w:fldCharType="end"/>
      </w:r>
    </w:p>
    <w:p w14:paraId="5DBFA9BD">
      <w:pPr>
        <w:pStyle w:val="40"/>
        <w:numPr>
          <w:ilvl w:val="0"/>
          <w:numId w:val="2"/>
        </w:numPr>
        <w:spacing w:line="360" w:lineRule="auto"/>
        <w:rPr>
          <w:rFonts w:ascii="Times New Roman" w:hAnsi="Times New Roman" w:cs="Times New Roman"/>
        </w:rPr>
      </w:pPr>
      <w:r>
        <w:rPr>
          <w:rFonts w:ascii="Times New Roman" w:hAnsi="Times New Roman" w:cs="Times New Roman"/>
        </w:rPr>
        <w:t xml:space="preserve">Zhang Y, Chen H, Bao W, Lai Z, Zhang Z, Yuan D. Handling heavy occlusion in dense crowd tracking by focusing on the heads. arXiv. 2023. </w:t>
      </w:r>
      <w:r>
        <w:fldChar w:fldCharType="begin"/>
      </w:r>
      <w:r>
        <w:instrText xml:space="preserve"> HYPERLINK "https://doi.org/10.48550/ARXIV.2304.07705" \t "_new" </w:instrText>
      </w:r>
      <w:r>
        <w:fldChar w:fldCharType="separate"/>
      </w:r>
      <w:r>
        <w:rPr>
          <w:rStyle w:val="16"/>
          <w:rFonts w:ascii="Times New Roman" w:hAnsi="Times New Roman" w:cs="Times New Roman"/>
        </w:rPr>
        <w:t>https://doi.org/10.48550/ARXIV.2304.07705</w:t>
      </w:r>
      <w:r>
        <w:rPr>
          <w:rStyle w:val="16"/>
          <w:rFonts w:ascii="Times New Roman" w:hAnsi="Times New Roman" w:cs="Times New Roman"/>
        </w:rPr>
        <w:fldChar w:fldCharType="end"/>
      </w:r>
    </w:p>
    <w:p w14:paraId="14955B63">
      <w:pPr>
        <w:pStyle w:val="40"/>
        <w:numPr>
          <w:ilvl w:val="0"/>
          <w:numId w:val="2"/>
        </w:numPr>
        <w:spacing w:after="0" w:line="360" w:lineRule="auto"/>
        <w:jc w:val="both"/>
        <w:rPr>
          <w:rStyle w:val="16"/>
          <w:rFonts w:ascii="Times New Roman" w:hAnsi="Times New Roman" w:eastAsia="Calibri" w:cs="Times New Roman"/>
        </w:rPr>
        <w:sectPr>
          <w:type w:val="continuous"/>
          <w:pgSz w:w="12240" w:h="15840"/>
          <w:pgMar w:top="1440" w:right="1440" w:bottom="1440" w:left="1440" w:header="720" w:footer="720" w:gutter="0"/>
          <w:cols w:space="720" w:num="2"/>
          <w:docGrid w:linePitch="360" w:charSpace="0"/>
        </w:sectPr>
      </w:pPr>
      <w:r>
        <w:rPr>
          <w:rFonts w:ascii="Times New Roman" w:hAnsi="Times New Roman" w:cs="Times New Roman"/>
        </w:rPr>
        <w:t xml:space="preserve">Dubey SK, Satyanarayana JV, Krishna Mohan C. False positive elimination in object detection methods for videos. Proc SPIE 13072, Sixteenth International Conference on Machine Vision (ICMV 2023), 130720J (2024 April 3). </w:t>
      </w:r>
      <w:r>
        <w:fldChar w:fldCharType="begin"/>
      </w:r>
      <w:r>
        <w:instrText xml:space="preserve"> HYPERLINK "https://doi.org/10.1117/12.3023362" \t "_new" </w:instrText>
      </w:r>
      <w:r>
        <w:fldChar w:fldCharType="separate"/>
      </w:r>
      <w:r>
        <w:rPr>
          <w:rStyle w:val="16"/>
          <w:rFonts w:ascii="Times New Roman" w:hAnsi="Times New Roman" w:cs="Times New Roman"/>
        </w:rPr>
        <w:t>https://doi.org/10.1117/12.3023362</w:t>
      </w:r>
      <w:r>
        <w:rPr>
          <w:rStyle w:val="16"/>
          <w:rFonts w:ascii="Times New Roman" w:hAnsi="Times New Roman" w:cs="Times New Roman"/>
        </w:rPr>
        <w:fldChar w:fldCharType="end"/>
      </w:r>
    </w:p>
    <w:p w14:paraId="3DBF6FBD">
      <w:pPr>
        <w:spacing w:line="360" w:lineRule="auto"/>
        <w:jc w:val="both"/>
        <w:rPr>
          <w:rFonts w:ascii="Times New Roman" w:hAnsi="Times New Roman" w:cs="Times New Roman"/>
        </w:rPr>
      </w:pPr>
    </w:p>
    <w:sectPr>
      <w:type w:val="continuous"/>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ptos">
    <w:altName w:val="Arial"/>
    <w:panose1 w:val="00000000000000000000"/>
    <w:charset w:val="00"/>
    <w:family w:val="swiss"/>
    <w:pitch w:val="default"/>
    <w:sig w:usb0="00000000" w:usb1="00000000" w:usb2="00000000" w:usb3="00000000" w:csb0="0000019F" w:csb1="00000000"/>
  </w:font>
  <w:font w:name="Aptos Display">
    <w:altName w:val="Arial"/>
    <w:panose1 w:val="00000000000000000000"/>
    <w:charset w:val="00"/>
    <w:family w:val="swiss"/>
    <w:pitch w:val="default"/>
    <w:sig w:usb0="00000000" w:usb1="00000000" w:usb2="00000000" w:usb3="00000000" w:csb0="0000019F" w:csb1="00000000"/>
  </w:font>
  <w:font w:name="Helvetica Neue">
    <w:altName w:val="Corbel"/>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Times New Roman Bold">
    <w:altName w:val="Times New Roman"/>
    <w:panose1 w:val="02020803070505020304"/>
    <w:charset w:val="00"/>
    <w:family w:val="auto"/>
    <w:pitch w:val="default"/>
    <w:sig w:usb0="00000000" w:usb1="00000000" w:usb2="00000000" w:usb3="00000000" w:csb0="00000000" w:csb1="00000000"/>
  </w:font>
  <w:font w:name="Times New Roman Regular">
    <w:altName w:val="Times New Roman"/>
    <w:panose1 w:val="00000000000000000000"/>
    <w:charset w:val="00"/>
    <w:family w:val="auto"/>
    <w:pitch w:val="default"/>
    <w:sig w:usb0="00000000" w:usb1="00000000" w:usb2="00000000" w:usb3="00000000" w:csb0="00000000" w:csb1="00000000"/>
  </w:font>
  <w:font w:name="Corbel">
    <w:panose1 w:val="020B0503020204020204"/>
    <w:charset w:val="00"/>
    <w:family w:val="auto"/>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CD1CDF">
    <w:pPr>
      <w:pStyle w:val="14"/>
    </w:pPr>
    <w:r>
      <w:rPr>
        <w:lang w:val="en-MY" w:eastAsia="en-MY"/>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4D959AA">
                          <w:pPr>
                            <w:pStyle w:val="14"/>
                          </w:pPr>
                          <w:r>
                            <w:fldChar w:fldCharType="begin"/>
                          </w:r>
                          <w:r>
                            <w:instrText xml:space="preserve"> PAGE  \* MERGEFORMAT </w:instrText>
                          </w:r>
                          <w:r>
                            <w:fldChar w:fldCharType="separate"/>
                          </w:r>
                          <w:r>
                            <w:t>17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iuUhIbAgAAVAQAAA4AAABkcnMvZTJvRG9jLnhtbK1UTYvbMBC9F/of&#10;hO6N80GXEOIs6YaUQugu7JaeFVmODfpCmsROf32f/JEt2x720Is80oze6L2Z8fq+NZpdVIi1szmf&#10;TaacKStdUdtTzn+87D8tOYskbCG0syrnVxX5/ebjh3XjV2ruKqcLFRhAbFw1PucVkV9lWZSVMiJO&#10;nFcWztIFIwjbcMqKIBqgG53Np9O7rHGh8MFJFSNOd72TD4jhPYCuLGupdk6ejbLUowalBYFSrGof&#10;+aZ7bVkqSY9lGRUxnXMwpW5FEtjHtGabtVidgvBVLYcniPc84Q0nI2qLpDeonSDBzqH+C8rUMrjo&#10;SppIZ7KeSKcIWMymb7R5roRXHRdIHf1N9Pj/YOX3y1NgdZHzBWdWGBT8RbXEvriWLZI6jY8rBD17&#10;hFGLY/TMeB5xmEi3ZTDpCzoMfmh7vWmbwGS6tJwvl1O4JHzjBvjZ63UfIn1VzrBk5DygeJ2m4nKI&#10;1IeOISmbdfta666A2rIm53eLz9Puws0DcG2RI5HoH5ssao/twOzoiiuIBdc3RvRyXyP5QUR6EgGd&#10;gAdjVugRS6kdkrjB4qxy4de/zlM8CgQvZw06K+cWg8SZ/mZROADSaITROI6GPZsHh1adYQa97Exc&#10;CKRHswzO/MQAbVMOuISVyJRzGs0H6rsbAyjVdtsFodW8oIN99jJBJ/Gi354JAna6JlF6JQat0Gxd&#10;ZYbBSN38576Lev0Zb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IiuUhIbAgAAVAQAAA4A&#10;AAAAAAAAAQAgAAAAHwEAAGRycy9lMm9Eb2MueG1sUEsFBgAAAAAGAAYAWQEAAKwFAAAAAA==&#10;">
              <v:fill on="f" focussize="0,0"/>
              <v:stroke on="f" weight="0.5pt"/>
              <v:imagedata o:title=""/>
              <o:lock v:ext="edit" aspectratio="f"/>
              <v:textbox inset="0mm,0mm,0mm,0mm" style="mso-fit-shape-to-text:t;">
                <w:txbxContent>
                  <w:p w14:paraId="34D959AA">
                    <w:pPr>
                      <w:pStyle w:val="14"/>
                    </w:pPr>
                    <w:r>
                      <w:fldChar w:fldCharType="begin"/>
                    </w:r>
                    <w:r>
                      <w:instrText xml:space="preserve"> PAGE  \* MERGEFORMAT </w:instrText>
                    </w:r>
                    <w:r>
                      <w:fldChar w:fldCharType="separate"/>
                    </w:r>
                    <w:r>
                      <w:t>17</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47A5CD">
    <w:pPr>
      <w:pStyle w:val="2"/>
      <w:jc w:val="both"/>
      <w:rPr>
        <w:rFonts w:hint="eastAsia" w:ascii="Times New Roman Regular" w:hAnsi="Times New Roman Regular" w:cs="Times New Roman Regular"/>
        <w:sz w:val="18"/>
        <w:szCs w:val="18"/>
      </w:rPr>
    </w:pPr>
    <w:r>
      <w:rPr>
        <w:rFonts w:ascii="Times New Roman Regular" w:hAnsi="Times New Roman Regular" w:eastAsia="Arial Unicode MS" w:cs="Times New Roman Regular"/>
        <w:color w:val="auto"/>
        <w:sz w:val="18"/>
        <w:szCs w:val="18"/>
      </w:rPr>
      <w:t>Detection and Tracking of People in a Dense Crowd through Deep Learning Approach - Systematic Literature Review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AC2B3C"/>
    <w:multiLevelType w:val="multilevel"/>
    <w:tmpl w:val="20AC2B3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DFFA7E4"/>
    <w:multiLevelType w:val="singleLevel"/>
    <w:tmpl w:val="2DFFA7E4"/>
    <w:lvl w:ilvl="0" w:tentative="0">
      <w:start w:val="1"/>
      <w:numFmt w:val="decimal"/>
      <w:suff w:val="space"/>
      <w:lvlText w:val="%1."/>
      <w:lvlJc w:val="left"/>
      <w:rPr>
        <w:rFonts w:hint="default" w:ascii="Times New Roman Bold" w:hAnsi="Times New Roman Bold" w:cs="Times New Roman Bold"/>
        <w:b/>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89D7AD"/>
    <w:rsid w:val="00016AB4"/>
    <w:rsid w:val="00017DD1"/>
    <w:rsid w:val="000622CC"/>
    <w:rsid w:val="00065582"/>
    <w:rsid w:val="000E4DD0"/>
    <w:rsid w:val="00226FFF"/>
    <w:rsid w:val="0024211C"/>
    <w:rsid w:val="00246A8F"/>
    <w:rsid w:val="00450036"/>
    <w:rsid w:val="004828F3"/>
    <w:rsid w:val="00487475"/>
    <w:rsid w:val="005257CC"/>
    <w:rsid w:val="005C5835"/>
    <w:rsid w:val="0061883D"/>
    <w:rsid w:val="00637AF0"/>
    <w:rsid w:val="006D39AA"/>
    <w:rsid w:val="0076C9D1"/>
    <w:rsid w:val="007E77C8"/>
    <w:rsid w:val="00A12ECB"/>
    <w:rsid w:val="00B12536"/>
    <w:rsid w:val="00C92B18"/>
    <w:rsid w:val="00CBC056"/>
    <w:rsid w:val="00D22B50"/>
    <w:rsid w:val="00DDDCCB"/>
    <w:rsid w:val="00DEA99A"/>
    <w:rsid w:val="00DF680B"/>
    <w:rsid w:val="00E80CC2"/>
    <w:rsid w:val="0102AD37"/>
    <w:rsid w:val="0114625E"/>
    <w:rsid w:val="013A6A8A"/>
    <w:rsid w:val="0149D48E"/>
    <w:rsid w:val="019431FE"/>
    <w:rsid w:val="01ACD903"/>
    <w:rsid w:val="01ADBFC1"/>
    <w:rsid w:val="01F0E58E"/>
    <w:rsid w:val="01FA20B8"/>
    <w:rsid w:val="0232CA4A"/>
    <w:rsid w:val="0247C6CB"/>
    <w:rsid w:val="02602F37"/>
    <w:rsid w:val="02609D65"/>
    <w:rsid w:val="02638D2B"/>
    <w:rsid w:val="0284D184"/>
    <w:rsid w:val="028A1B23"/>
    <w:rsid w:val="0298B6C9"/>
    <w:rsid w:val="02AC9C35"/>
    <w:rsid w:val="02E6A6FF"/>
    <w:rsid w:val="02F3C5E7"/>
    <w:rsid w:val="02F455FF"/>
    <w:rsid w:val="02FC9F98"/>
    <w:rsid w:val="03254748"/>
    <w:rsid w:val="033BC9E6"/>
    <w:rsid w:val="033D2A77"/>
    <w:rsid w:val="035FFB0D"/>
    <w:rsid w:val="0360288A"/>
    <w:rsid w:val="0382D769"/>
    <w:rsid w:val="03D39BF2"/>
    <w:rsid w:val="03E8AA7B"/>
    <w:rsid w:val="04094965"/>
    <w:rsid w:val="04238E14"/>
    <w:rsid w:val="043B91FF"/>
    <w:rsid w:val="044578EB"/>
    <w:rsid w:val="046A4619"/>
    <w:rsid w:val="0470D505"/>
    <w:rsid w:val="04924EDD"/>
    <w:rsid w:val="049A55CC"/>
    <w:rsid w:val="049D5086"/>
    <w:rsid w:val="04AD8EE0"/>
    <w:rsid w:val="04D15D25"/>
    <w:rsid w:val="04DF82F8"/>
    <w:rsid w:val="0508C546"/>
    <w:rsid w:val="05162CCB"/>
    <w:rsid w:val="05577B23"/>
    <w:rsid w:val="05593112"/>
    <w:rsid w:val="059B6178"/>
    <w:rsid w:val="05A72582"/>
    <w:rsid w:val="05BEF48F"/>
    <w:rsid w:val="05E526FA"/>
    <w:rsid w:val="0600F6BE"/>
    <w:rsid w:val="06241EB6"/>
    <w:rsid w:val="062EA6C1"/>
    <w:rsid w:val="0651E6E4"/>
    <w:rsid w:val="065C34F8"/>
    <w:rsid w:val="067223FE"/>
    <w:rsid w:val="06937EA5"/>
    <w:rsid w:val="06D51705"/>
    <w:rsid w:val="06E924B2"/>
    <w:rsid w:val="06EDB53C"/>
    <w:rsid w:val="071D5445"/>
    <w:rsid w:val="071F5B72"/>
    <w:rsid w:val="074074BD"/>
    <w:rsid w:val="075BF91F"/>
    <w:rsid w:val="077FF056"/>
    <w:rsid w:val="079581B5"/>
    <w:rsid w:val="079815A2"/>
    <w:rsid w:val="07C2A067"/>
    <w:rsid w:val="07FD2493"/>
    <w:rsid w:val="082082F2"/>
    <w:rsid w:val="08731AA4"/>
    <w:rsid w:val="088F221E"/>
    <w:rsid w:val="08909E26"/>
    <w:rsid w:val="08965F23"/>
    <w:rsid w:val="08C019E7"/>
    <w:rsid w:val="08D88C8C"/>
    <w:rsid w:val="08E461A6"/>
    <w:rsid w:val="0941F70A"/>
    <w:rsid w:val="09497402"/>
    <w:rsid w:val="0979137E"/>
    <w:rsid w:val="0986294F"/>
    <w:rsid w:val="09CA93E4"/>
    <w:rsid w:val="09F38284"/>
    <w:rsid w:val="0A06DCDE"/>
    <w:rsid w:val="0A351BCF"/>
    <w:rsid w:val="0A56FC34"/>
    <w:rsid w:val="0A63E098"/>
    <w:rsid w:val="0A6BBB8F"/>
    <w:rsid w:val="0A7E3639"/>
    <w:rsid w:val="0AC13130"/>
    <w:rsid w:val="0AC51B38"/>
    <w:rsid w:val="0B117464"/>
    <w:rsid w:val="0B6A0A6C"/>
    <w:rsid w:val="0B6E187F"/>
    <w:rsid w:val="0B96C5B2"/>
    <w:rsid w:val="0BA5072E"/>
    <w:rsid w:val="0BB6C08A"/>
    <w:rsid w:val="0BD4C5B8"/>
    <w:rsid w:val="0C1FBC89"/>
    <w:rsid w:val="0C223C74"/>
    <w:rsid w:val="0C54BB1F"/>
    <w:rsid w:val="0C6FAC42"/>
    <w:rsid w:val="0C854BB2"/>
    <w:rsid w:val="0C909365"/>
    <w:rsid w:val="0CA12D24"/>
    <w:rsid w:val="0CA738C1"/>
    <w:rsid w:val="0CA9C521"/>
    <w:rsid w:val="0CAA76D1"/>
    <w:rsid w:val="0CB14146"/>
    <w:rsid w:val="0CD095B6"/>
    <w:rsid w:val="0CD310ED"/>
    <w:rsid w:val="0CD95D2E"/>
    <w:rsid w:val="0CEF7BA4"/>
    <w:rsid w:val="0CFA4544"/>
    <w:rsid w:val="0D1C4F77"/>
    <w:rsid w:val="0D53DE09"/>
    <w:rsid w:val="0D5446A1"/>
    <w:rsid w:val="0D64C6CB"/>
    <w:rsid w:val="0D7CDC2E"/>
    <w:rsid w:val="0DB8A398"/>
    <w:rsid w:val="0DCFFB42"/>
    <w:rsid w:val="0DE2E244"/>
    <w:rsid w:val="0E036B7F"/>
    <w:rsid w:val="0E2E3D24"/>
    <w:rsid w:val="0E47BE7F"/>
    <w:rsid w:val="0E52FBB2"/>
    <w:rsid w:val="0E7B37F2"/>
    <w:rsid w:val="0E89D7AD"/>
    <w:rsid w:val="0EB47B9E"/>
    <w:rsid w:val="0EB98547"/>
    <w:rsid w:val="0F05974D"/>
    <w:rsid w:val="0F0CACBC"/>
    <w:rsid w:val="0F1C377C"/>
    <w:rsid w:val="0F40EF80"/>
    <w:rsid w:val="0FC1D091"/>
    <w:rsid w:val="100310F7"/>
    <w:rsid w:val="101420D5"/>
    <w:rsid w:val="10ACAEC3"/>
    <w:rsid w:val="10ADD8AF"/>
    <w:rsid w:val="10B58A98"/>
    <w:rsid w:val="10BB0307"/>
    <w:rsid w:val="1117CAB9"/>
    <w:rsid w:val="11211142"/>
    <w:rsid w:val="11251CD3"/>
    <w:rsid w:val="1144B059"/>
    <w:rsid w:val="11621E13"/>
    <w:rsid w:val="1166B355"/>
    <w:rsid w:val="11732614"/>
    <w:rsid w:val="118CC3E9"/>
    <w:rsid w:val="119549D9"/>
    <w:rsid w:val="119A5CDB"/>
    <w:rsid w:val="11D4866A"/>
    <w:rsid w:val="11EFCB2F"/>
    <w:rsid w:val="11FB79E0"/>
    <w:rsid w:val="12125F93"/>
    <w:rsid w:val="1246FF8F"/>
    <w:rsid w:val="126F5D33"/>
    <w:rsid w:val="1296517E"/>
    <w:rsid w:val="12A6CBE0"/>
    <w:rsid w:val="12AFA383"/>
    <w:rsid w:val="12B348AA"/>
    <w:rsid w:val="12D07CA0"/>
    <w:rsid w:val="12E3B1C6"/>
    <w:rsid w:val="130F9885"/>
    <w:rsid w:val="1322695B"/>
    <w:rsid w:val="13396360"/>
    <w:rsid w:val="133FD73A"/>
    <w:rsid w:val="139876C6"/>
    <w:rsid w:val="13999627"/>
    <w:rsid w:val="13E63695"/>
    <w:rsid w:val="13FABE23"/>
    <w:rsid w:val="140BAA2A"/>
    <w:rsid w:val="1430FDF7"/>
    <w:rsid w:val="1446B43B"/>
    <w:rsid w:val="149BD579"/>
    <w:rsid w:val="150290BA"/>
    <w:rsid w:val="151CDD46"/>
    <w:rsid w:val="152ABF19"/>
    <w:rsid w:val="1544D064"/>
    <w:rsid w:val="1555B506"/>
    <w:rsid w:val="15AB2E78"/>
    <w:rsid w:val="15ABFB49"/>
    <w:rsid w:val="15B8EAF6"/>
    <w:rsid w:val="160C568D"/>
    <w:rsid w:val="16101975"/>
    <w:rsid w:val="162F2F29"/>
    <w:rsid w:val="1654270B"/>
    <w:rsid w:val="165B296C"/>
    <w:rsid w:val="16926A7A"/>
    <w:rsid w:val="1694B2EA"/>
    <w:rsid w:val="16CE413A"/>
    <w:rsid w:val="16D85D0A"/>
    <w:rsid w:val="172EDE62"/>
    <w:rsid w:val="17306E73"/>
    <w:rsid w:val="1747CBAA"/>
    <w:rsid w:val="17489142"/>
    <w:rsid w:val="1774779B"/>
    <w:rsid w:val="1786528F"/>
    <w:rsid w:val="17B97EE1"/>
    <w:rsid w:val="17FC3395"/>
    <w:rsid w:val="1805C6BC"/>
    <w:rsid w:val="181A7CB2"/>
    <w:rsid w:val="184BFF20"/>
    <w:rsid w:val="1855EE7E"/>
    <w:rsid w:val="18711930"/>
    <w:rsid w:val="18742D6B"/>
    <w:rsid w:val="189A480E"/>
    <w:rsid w:val="18A81444"/>
    <w:rsid w:val="18F162BA"/>
    <w:rsid w:val="18FA3581"/>
    <w:rsid w:val="19019684"/>
    <w:rsid w:val="193F8A64"/>
    <w:rsid w:val="19524782"/>
    <w:rsid w:val="19587C62"/>
    <w:rsid w:val="1969AF66"/>
    <w:rsid w:val="197FE1CF"/>
    <w:rsid w:val="19B28D7D"/>
    <w:rsid w:val="19B638C3"/>
    <w:rsid w:val="19BFBD87"/>
    <w:rsid w:val="19DE808C"/>
    <w:rsid w:val="1A108616"/>
    <w:rsid w:val="1A19E500"/>
    <w:rsid w:val="1A1C8F76"/>
    <w:rsid w:val="1A2C53DA"/>
    <w:rsid w:val="1A617C5A"/>
    <w:rsid w:val="1A6B9DF9"/>
    <w:rsid w:val="1AC24E62"/>
    <w:rsid w:val="1AD3E0D8"/>
    <w:rsid w:val="1AF9B363"/>
    <w:rsid w:val="1AFD9EE1"/>
    <w:rsid w:val="1B27982E"/>
    <w:rsid w:val="1B3EC37B"/>
    <w:rsid w:val="1B47C737"/>
    <w:rsid w:val="1B58D258"/>
    <w:rsid w:val="1B832412"/>
    <w:rsid w:val="1BA4F809"/>
    <w:rsid w:val="1BABCE2D"/>
    <w:rsid w:val="1BD7722C"/>
    <w:rsid w:val="1BF53959"/>
    <w:rsid w:val="1BF74649"/>
    <w:rsid w:val="1C0042C6"/>
    <w:rsid w:val="1C0D162C"/>
    <w:rsid w:val="1C181F01"/>
    <w:rsid w:val="1C1C0CCB"/>
    <w:rsid w:val="1C1C17C7"/>
    <w:rsid w:val="1C280EB6"/>
    <w:rsid w:val="1C3EAC12"/>
    <w:rsid w:val="1CBB6ADE"/>
    <w:rsid w:val="1CCBF381"/>
    <w:rsid w:val="1CE2AB5C"/>
    <w:rsid w:val="1CF0C078"/>
    <w:rsid w:val="1D12FED0"/>
    <w:rsid w:val="1D35D0FE"/>
    <w:rsid w:val="1D8A1FB6"/>
    <w:rsid w:val="1DE4A320"/>
    <w:rsid w:val="1DE5E3B1"/>
    <w:rsid w:val="1DF08033"/>
    <w:rsid w:val="1DF9B0EE"/>
    <w:rsid w:val="1E465524"/>
    <w:rsid w:val="1E4DEA7A"/>
    <w:rsid w:val="1E663B51"/>
    <w:rsid w:val="1E790E68"/>
    <w:rsid w:val="1E8D7632"/>
    <w:rsid w:val="1EAA8F33"/>
    <w:rsid w:val="1EB31CDB"/>
    <w:rsid w:val="1EBE2575"/>
    <w:rsid w:val="1ECE3F66"/>
    <w:rsid w:val="1EFC7296"/>
    <w:rsid w:val="1F0565CB"/>
    <w:rsid w:val="1F23590B"/>
    <w:rsid w:val="1F645A05"/>
    <w:rsid w:val="1F6671AE"/>
    <w:rsid w:val="1F7D6BE9"/>
    <w:rsid w:val="1F8F8D23"/>
    <w:rsid w:val="1F9756FE"/>
    <w:rsid w:val="2003D8D8"/>
    <w:rsid w:val="202647C8"/>
    <w:rsid w:val="20361ED7"/>
    <w:rsid w:val="20537B29"/>
    <w:rsid w:val="20585D21"/>
    <w:rsid w:val="206B1A53"/>
    <w:rsid w:val="206D943F"/>
    <w:rsid w:val="20EEDC2A"/>
    <w:rsid w:val="20F00EC1"/>
    <w:rsid w:val="20F7E193"/>
    <w:rsid w:val="210D9DD8"/>
    <w:rsid w:val="2131E928"/>
    <w:rsid w:val="216AA17E"/>
    <w:rsid w:val="216C813C"/>
    <w:rsid w:val="216F4382"/>
    <w:rsid w:val="21CB8928"/>
    <w:rsid w:val="21D6CD7A"/>
    <w:rsid w:val="2206436F"/>
    <w:rsid w:val="221A3425"/>
    <w:rsid w:val="222BC120"/>
    <w:rsid w:val="223EC732"/>
    <w:rsid w:val="225D73B0"/>
    <w:rsid w:val="226986C2"/>
    <w:rsid w:val="226D996C"/>
    <w:rsid w:val="22716A89"/>
    <w:rsid w:val="2278FF46"/>
    <w:rsid w:val="227C5312"/>
    <w:rsid w:val="22B10985"/>
    <w:rsid w:val="22B194D1"/>
    <w:rsid w:val="22CE9362"/>
    <w:rsid w:val="2304FE78"/>
    <w:rsid w:val="232BBB17"/>
    <w:rsid w:val="23490199"/>
    <w:rsid w:val="2383027A"/>
    <w:rsid w:val="23C292A0"/>
    <w:rsid w:val="24169C1A"/>
    <w:rsid w:val="242FBE8A"/>
    <w:rsid w:val="24574CEB"/>
    <w:rsid w:val="2468A3F6"/>
    <w:rsid w:val="249F6D91"/>
    <w:rsid w:val="24AB9279"/>
    <w:rsid w:val="24EAC2BF"/>
    <w:rsid w:val="24FC8E47"/>
    <w:rsid w:val="2504B6BC"/>
    <w:rsid w:val="2525070B"/>
    <w:rsid w:val="255DD899"/>
    <w:rsid w:val="25895E04"/>
    <w:rsid w:val="25904500"/>
    <w:rsid w:val="2591C923"/>
    <w:rsid w:val="25A07260"/>
    <w:rsid w:val="25B25AE6"/>
    <w:rsid w:val="25BB1F7F"/>
    <w:rsid w:val="25E58E58"/>
    <w:rsid w:val="25E85821"/>
    <w:rsid w:val="26067219"/>
    <w:rsid w:val="261146BC"/>
    <w:rsid w:val="26312A0F"/>
    <w:rsid w:val="26425247"/>
    <w:rsid w:val="26556B47"/>
    <w:rsid w:val="268CA1DA"/>
    <w:rsid w:val="2691037D"/>
    <w:rsid w:val="26AE12D4"/>
    <w:rsid w:val="26B111A4"/>
    <w:rsid w:val="26BC0011"/>
    <w:rsid w:val="26C094B4"/>
    <w:rsid w:val="26CC916A"/>
    <w:rsid w:val="26DA25F4"/>
    <w:rsid w:val="26E3B02A"/>
    <w:rsid w:val="27546CA3"/>
    <w:rsid w:val="27560247"/>
    <w:rsid w:val="2759E749"/>
    <w:rsid w:val="27736529"/>
    <w:rsid w:val="27EC7B51"/>
    <w:rsid w:val="27F4DFDB"/>
    <w:rsid w:val="27F90272"/>
    <w:rsid w:val="2818E344"/>
    <w:rsid w:val="289765DB"/>
    <w:rsid w:val="28A820D1"/>
    <w:rsid w:val="28B2A01A"/>
    <w:rsid w:val="28BAD8D0"/>
    <w:rsid w:val="28C108F4"/>
    <w:rsid w:val="28C661A6"/>
    <w:rsid w:val="28E0B5CC"/>
    <w:rsid w:val="2901465C"/>
    <w:rsid w:val="2930B521"/>
    <w:rsid w:val="29416AD6"/>
    <w:rsid w:val="297B1790"/>
    <w:rsid w:val="297DAD7D"/>
    <w:rsid w:val="29899B8B"/>
    <w:rsid w:val="29A0E98A"/>
    <w:rsid w:val="29AD5EFA"/>
    <w:rsid w:val="29E5DD5C"/>
    <w:rsid w:val="29EA40FC"/>
    <w:rsid w:val="29FF02BD"/>
    <w:rsid w:val="2A01717D"/>
    <w:rsid w:val="2A1E6019"/>
    <w:rsid w:val="2A23D703"/>
    <w:rsid w:val="2A761575"/>
    <w:rsid w:val="2A7C862D"/>
    <w:rsid w:val="2A88B0D0"/>
    <w:rsid w:val="2A8A8477"/>
    <w:rsid w:val="2AAA1438"/>
    <w:rsid w:val="2AB45016"/>
    <w:rsid w:val="2AB96939"/>
    <w:rsid w:val="2AC12911"/>
    <w:rsid w:val="2ACD08CB"/>
    <w:rsid w:val="2AE8271E"/>
    <w:rsid w:val="2AEE7FC6"/>
    <w:rsid w:val="2AEEEE9C"/>
    <w:rsid w:val="2B0FB40D"/>
    <w:rsid w:val="2B1C57C8"/>
    <w:rsid w:val="2B36AC02"/>
    <w:rsid w:val="2BC30822"/>
    <w:rsid w:val="2BC39102"/>
    <w:rsid w:val="2BC7A71B"/>
    <w:rsid w:val="2BF09570"/>
    <w:rsid w:val="2BF4A1DA"/>
    <w:rsid w:val="2C0B35DF"/>
    <w:rsid w:val="2C41A504"/>
    <w:rsid w:val="2C6F9336"/>
    <w:rsid w:val="2C9A9019"/>
    <w:rsid w:val="2C9EF01A"/>
    <w:rsid w:val="2CAB846E"/>
    <w:rsid w:val="2CD95EA9"/>
    <w:rsid w:val="2CDB5D59"/>
    <w:rsid w:val="2D2F6A72"/>
    <w:rsid w:val="2D34CBFC"/>
    <w:rsid w:val="2D4C595F"/>
    <w:rsid w:val="2D4D493F"/>
    <w:rsid w:val="2D542535"/>
    <w:rsid w:val="2DA5E853"/>
    <w:rsid w:val="2DB426EF"/>
    <w:rsid w:val="2DDD7565"/>
    <w:rsid w:val="2DE43D14"/>
    <w:rsid w:val="2DF6963B"/>
    <w:rsid w:val="2E037D3B"/>
    <w:rsid w:val="2E17B1C0"/>
    <w:rsid w:val="2E248721"/>
    <w:rsid w:val="2E58D1BC"/>
    <w:rsid w:val="2E7E20D6"/>
    <w:rsid w:val="2E8C8152"/>
    <w:rsid w:val="2ECB18D2"/>
    <w:rsid w:val="2EF91B34"/>
    <w:rsid w:val="2F4BD8CE"/>
    <w:rsid w:val="2F5C9D25"/>
    <w:rsid w:val="2F812871"/>
    <w:rsid w:val="2F8C1B64"/>
    <w:rsid w:val="2F9159A4"/>
    <w:rsid w:val="2FBE0F83"/>
    <w:rsid w:val="2FC7F3BD"/>
    <w:rsid w:val="2FCCB610"/>
    <w:rsid w:val="2FE6089C"/>
    <w:rsid w:val="2FE87CC8"/>
    <w:rsid w:val="2FF5E707"/>
    <w:rsid w:val="300943DE"/>
    <w:rsid w:val="300A77C6"/>
    <w:rsid w:val="30117D56"/>
    <w:rsid w:val="302E98A3"/>
    <w:rsid w:val="303F0DBC"/>
    <w:rsid w:val="30422DAF"/>
    <w:rsid w:val="30451BE4"/>
    <w:rsid w:val="307D323D"/>
    <w:rsid w:val="30D2DB79"/>
    <w:rsid w:val="30D2F7A7"/>
    <w:rsid w:val="311B5B86"/>
    <w:rsid w:val="312839D8"/>
    <w:rsid w:val="313698CF"/>
    <w:rsid w:val="313B40F2"/>
    <w:rsid w:val="3167AF22"/>
    <w:rsid w:val="317840F7"/>
    <w:rsid w:val="31897936"/>
    <w:rsid w:val="31AD5517"/>
    <w:rsid w:val="31D52519"/>
    <w:rsid w:val="31E3142F"/>
    <w:rsid w:val="31E3DA86"/>
    <w:rsid w:val="31E44701"/>
    <w:rsid w:val="320CB8FB"/>
    <w:rsid w:val="32301F3A"/>
    <w:rsid w:val="32365E7A"/>
    <w:rsid w:val="323A5C32"/>
    <w:rsid w:val="324E28C1"/>
    <w:rsid w:val="3255F0E1"/>
    <w:rsid w:val="327D46AC"/>
    <w:rsid w:val="3280704A"/>
    <w:rsid w:val="32879812"/>
    <w:rsid w:val="32A13F05"/>
    <w:rsid w:val="32B51A19"/>
    <w:rsid w:val="32CB9E2A"/>
    <w:rsid w:val="32DD3434"/>
    <w:rsid w:val="32E31916"/>
    <w:rsid w:val="330BCE11"/>
    <w:rsid w:val="33361595"/>
    <w:rsid w:val="33AB944C"/>
    <w:rsid w:val="33C02364"/>
    <w:rsid w:val="33CA954F"/>
    <w:rsid w:val="33D3DEBE"/>
    <w:rsid w:val="33F192DB"/>
    <w:rsid w:val="33F28545"/>
    <w:rsid w:val="33F40BFA"/>
    <w:rsid w:val="340F74FA"/>
    <w:rsid w:val="34158EA8"/>
    <w:rsid w:val="34259E00"/>
    <w:rsid w:val="342E6DA1"/>
    <w:rsid w:val="3436D1CE"/>
    <w:rsid w:val="34461E12"/>
    <w:rsid w:val="345D7021"/>
    <w:rsid w:val="34BB0B22"/>
    <w:rsid w:val="34D67680"/>
    <w:rsid w:val="34ECB15A"/>
    <w:rsid w:val="34EE534D"/>
    <w:rsid w:val="351CA0EE"/>
    <w:rsid w:val="3552ECC0"/>
    <w:rsid w:val="35639B47"/>
    <w:rsid w:val="35674403"/>
    <w:rsid w:val="357694B4"/>
    <w:rsid w:val="35A9DEA5"/>
    <w:rsid w:val="35E1BCED"/>
    <w:rsid w:val="35E4BB0F"/>
    <w:rsid w:val="35FA9F2F"/>
    <w:rsid w:val="363F1B8B"/>
    <w:rsid w:val="3650A002"/>
    <w:rsid w:val="36808B2C"/>
    <w:rsid w:val="3689EDA1"/>
    <w:rsid w:val="36964113"/>
    <w:rsid w:val="369A0C28"/>
    <w:rsid w:val="36A87E8B"/>
    <w:rsid w:val="36AC6EC3"/>
    <w:rsid w:val="36DD010D"/>
    <w:rsid w:val="36FD3499"/>
    <w:rsid w:val="37072848"/>
    <w:rsid w:val="3719A6CA"/>
    <w:rsid w:val="372177F5"/>
    <w:rsid w:val="3729F0E4"/>
    <w:rsid w:val="373244C7"/>
    <w:rsid w:val="37471B17"/>
    <w:rsid w:val="3760A785"/>
    <w:rsid w:val="37AC572C"/>
    <w:rsid w:val="37AD9765"/>
    <w:rsid w:val="381C0978"/>
    <w:rsid w:val="38308823"/>
    <w:rsid w:val="3835740A"/>
    <w:rsid w:val="383E1128"/>
    <w:rsid w:val="38547AC2"/>
    <w:rsid w:val="38A86285"/>
    <w:rsid w:val="391ED0EA"/>
    <w:rsid w:val="393099E8"/>
    <w:rsid w:val="3936A7F0"/>
    <w:rsid w:val="393F646C"/>
    <w:rsid w:val="396B1641"/>
    <w:rsid w:val="397F37FE"/>
    <w:rsid w:val="399EBABE"/>
    <w:rsid w:val="39E6936E"/>
    <w:rsid w:val="3A240F79"/>
    <w:rsid w:val="3A382120"/>
    <w:rsid w:val="3A47DFF4"/>
    <w:rsid w:val="3A51DA88"/>
    <w:rsid w:val="3A596FBF"/>
    <w:rsid w:val="3A628765"/>
    <w:rsid w:val="3A64A72D"/>
    <w:rsid w:val="3A88EEED"/>
    <w:rsid w:val="3A9F6040"/>
    <w:rsid w:val="3AAA33E0"/>
    <w:rsid w:val="3AC29427"/>
    <w:rsid w:val="3AC3EEC7"/>
    <w:rsid w:val="3AF5690B"/>
    <w:rsid w:val="3B101A6D"/>
    <w:rsid w:val="3B16DFF6"/>
    <w:rsid w:val="3B19A42B"/>
    <w:rsid w:val="3B40284E"/>
    <w:rsid w:val="3B8CAFB6"/>
    <w:rsid w:val="3BEF1CF4"/>
    <w:rsid w:val="3C16B0D8"/>
    <w:rsid w:val="3C3CE41D"/>
    <w:rsid w:val="3C844777"/>
    <w:rsid w:val="3C9B1A03"/>
    <w:rsid w:val="3CF174C4"/>
    <w:rsid w:val="3CF2538D"/>
    <w:rsid w:val="3D04F68E"/>
    <w:rsid w:val="3D364050"/>
    <w:rsid w:val="3D5162EC"/>
    <w:rsid w:val="3D5C1776"/>
    <w:rsid w:val="3D8A17D5"/>
    <w:rsid w:val="3D8BF366"/>
    <w:rsid w:val="3D8E17CD"/>
    <w:rsid w:val="3D91F05C"/>
    <w:rsid w:val="3D982D53"/>
    <w:rsid w:val="3DC49BC7"/>
    <w:rsid w:val="3DE2C2EC"/>
    <w:rsid w:val="3DFA3E2D"/>
    <w:rsid w:val="3E0004F5"/>
    <w:rsid w:val="3E29B728"/>
    <w:rsid w:val="3E73982C"/>
    <w:rsid w:val="3E7C3518"/>
    <w:rsid w:val="3E816BFE"/>
    <w:rsid w:val="3E9C0A6E"/>
    <w:rsid w:val="3EA5F21F"/>
    <w:rsid w:val="3ED64E63"/>
    <w:rsid w:val="3EECBDD1"/>
    <w:rsid w:val="3EEF7647"/>
    <w:rsid w:val="3F1CC25A"/>
    <w:rsid w:val="3F37AB51"/>
    <w:rsid w:val="3F42E68B"/>
    <w:rsid w:val="3F447D4A"/>
    <w:rsid w:val="3F482C30"/>
    <w:rsid w:val="3F4E519A"/>
    <w:rsid w:val="3F523189"/>
    <w:rsid w:val="3F603C43"/>
    <w:rsid w:val="3F9BCED1"/>
    <w:rsid w:val="3FDD332A"/>
    <w:rsid w:val="401BA586"/>
    <w:rsid w:val="403316B6"/>
    <w:rsid w:val="406E77BF"/>
    <w:rsid w:val="40C89E95"/>
    <w:rsid w:val="40D8BD3C"/>
    <w:rsid w:val="40DBD91F"/>
    <w:rsid w:val="40E9FA14"/>
    <w:rsid w:val="40F7790B"/>
    <w:rsid w:val="41119C24"/>
    <w:rsid w:val="41362B8A"/>
    <w:rsid w:val="413E0AEF"/>
    <w:rsid w:val="414C03B4"/>
    <w:rsid w:val="418E0F00"/>
    <w:rsid w:val="418E574C"/>
    <w:rsid w:val="41958C4C"/>
    <w:rsid w:val="41A0CAC6"/>
    <w:rsid w:val="41CBAF1A"/>
    <w:rsid w:val="41E07378"/>
    <w:rsid w:val="41E7A046"/>
    <w:rsid w:val="41F53B42"/>
    <w:rsid w:val="422255B7"/>
    <w:rsid w:val="423B5222"/>
    <w:rsid w:val="42434EA4"/>
    <w:rsid w:val="42526E81"/>
    <w:rsid w:val="428D2FB4"/>
    <w:rsid w:val="42A776C0"/>
    <w:rsid w:val="42E5BC52"/>
    <w:rsid w:val="42EEC184"/>
    <w:rsid w:val="42FB5B26"/>
    <w:rsid w:val="432702F6"/>
    <w:rsid w:val="4327E2ED"/>
    <w:rsid w:val="434C295A"/>
    <w:rsid w:val="434DF93E"/>
    <w:rsid w:val="4355C5DD"/>
    <w:rsid w:val="436B646A"/>
    <w:rsid w:val="4395873A"/>
    <w:rsid w:val="43A09AE4"/>
    <w:rsid w:val="43FA071A"/>
    <w:rsid w:val="43FC2165"/>
    <w:rsid w:val="4403DE49"/>
    <w:rsid w:val="4430E3CB"/>
    <w:rsid w:val="44371FD7"/>
    <w:rsid w:val="4466431E"/>
    <w:rsid w:val="446F8D38"/>
    <w:rsid w:val="44A9376B"/>
    <w:rsid w:val="44AF4618"/>
    <w:rsid w:val="44BDAF8C"/>
    <w:rsid w:val="44E7409A"/>
    <w:rsid w:val="44E81F95"/>
    <w:rsid w:val="4541DB17"/>
    <w:rsid w:val="457AE82B"/>
    <w:rsid w:val="45868F42"/>
    <w:rsid w:val="45A0223E"/>
    <w:rsid w:val="45C47E52"/>
    <w:rsid w:val="45E424CF"/>
    <w:rsid w:val="4610A7D4"/>
    <w:rsid w:val="461AD478"/>
    <w:rsid w:val="467AEC4B"/>
    <w:rsid w:val="46ABEE19"/>
    <w:rsid w:val="46D7A2BD"/>
    <w:rsid w:val="47333D2D"/>
    <w:rsid w:val="47437B5C"/>
    <w:rsid w:val="474E6F6E"/>
    <w:rsid w:val="47546D43"/>
    <w:rsid w:val="475AEE53"/>
    <w:rsid w:val="4767E44E"/>
    <w:rsid w:val="4772FDFF"/>
    <w:rsid w:val="479C6B76"/>
    <w:rsid w:val="47A54B3D"/>
    <w:rsid w:val="47B49E53"/>
    <w:rsid w:val="47E3BD1B"/>
    <w:rsid w:val="47EAEE0C"/>
    <w:rsid w:val="480C4865"/>
    <w:rsid w:val="480E66F2"/>
    <w:rsid w:val="48466E7B"/>
    <w:rsid w:val="4877060C"/>
    <w:rsid w:val="489265C2"/>
    <w:rsid w:val="48C344E5"/>
    <w:rsid w:val="48D8495C"/>
    <w:rsid w:val="48FA6689"/>
    <w:rsid w:val="490ECE60"/>
    <w:rsid w:val="494E35A9"/>
    <w:rsid w:val="4966C916"/>
    <w:rsid w:val="49AEE58A"/>
    <w:rsid w:val="49C17DCB"/>
    <w:rsid w:val="49E797F6"/>
    <w:rsid w:val="4A013126"/>
    <w:rsid w:val="4A27E536"/>
    <w:rsid w:val="4A6836BD"/>
    <w:rsid w:val="4A799E4D"/>
    <w:rsid w:val="4AAE9B59"/>
    <w:rsid w:val="4ADA2F76"/>
    <w:rsid w:val="4AEB9AF3"/>
    <w:rsid w:val="4AFAD38C"/>
    <w:rsid w:val="4AFE757B"/>
    <w:rsid w:val="4B29B770"/>
    <w:rsid w:val="4B31EC5F"/>
    <w:rsid w:val="4B34F146"/>
    <w:rsid w:val="4B516FF0"/>
    <w:rsid w:val="4B6A984D"/>
    <w:rsid w:val="4B847295"/>
    <w:rsid w:val="4B9CD573"/>
    <w:rsid w:val="4B9E276B"/>
    <w:rsid w:val="4BB8D90C"/>
    <w:rsid w:val="4BFF163E"/>
    <w:rsid w:val="4C4F9201"/>
    <w:rsid w:val="4C73AF7B"/>
    <w:rsid w:val="4C7C28DE"/>
    <w:rsid w:val="4CB7CA83"/>
    <w:rsid w:val="4CC8CDA9"/>
    <w:rsid w:val="4CC9ECE9"/>
    <w:rsid w:val="4CCA3C44"/>
    <w:rsid w:val="4CD0C1A7"/>
    <w:rsid w:val="4CE8E2E6"/>
    <w:rsid w:val="4CF82A20"/>
    <w:rsid w:val="4D05CDD5"/>
    <w:rsid w:val="4D32F639"/>
    <w:rsid w:val="4D49B1EE"/>
    <w:rsid w:val="4D62736F"/>
    <w:rsid w:val="4D8BA908"/>
    <w:rsid w:val="4DAF7402"/>
    <w:rsid w:val="4DAFD12B"/>
    <w:rsid w:val="4DB0D707"/>
    <w:rsid w:val="4DB9248B"/>
    <w:rsid w:val="4DF6E3C1"/>
    <w:rsid w:val="4E7BF711"/>
    <w:rsid w:val="4EB4F6FD"/>
    <w:rsid w:val="4EBA9E61"/>
    <w:rsid w:val="4EE919FB"/>
    <w:rsid w:val="4F0B6A96"/>
    <w:rsid w:val="4F4DD397"/>
    <w:rsid w:val="4F53B1A5"/>
    <w:rsid w:val="4F97A562"/>
    <w:rsid w:val="4FA051D1"/>
    <w:rsid w:val="4FBC12B4"/>
    <w:rsid w:val="4FC040D9"/>
    <w:rsid w:val="4FCEB204"/>
    <w:rsid w:val="4FD166FF"/>
    <w:rsid w:val="5007FB61"/>
    <w:rsid w:val="5025CB61"/>
    <w:rsid w:val="50298BC4"/>
    <w:rsid w:val="5029B6B8"/>
    <w:rsid w:val="502CBECC"/>
    <w:rsid w:val="502DCC88"/>
    <w:rsid w:val="503E0970"/>
    <w:rsid w:val="50669B9A"/>
    <w:rsid w:val="5067C78A"/>
    <w:rsid w:val="50736949"/>
    <w:rsid w:val="507C408D"/>
    <w:rsid w:val="508D7BE3"/>
    <w:rsid w:val="50980EDF"/>
    <w:rsid w:val="50AF430E"/>
    <w:rsid w:val="50B6C3E3"/>
    <w:rsid w:val="50C8C0BF"/>
    <w:rsid w:val="51256B56"/>
    <w:rsid w:val="51281757"/>
    <w:rsid w:val="5132D04B"/>
    <w:rsid w:val="513A11C1"/>
    <w:rsid w:val="513BA878"/>
    <w:rsid w:val="5147604D"/>
    <w:rsid w:val="51AD3C19"/>
    <w:rsid w:val="51B14770"/>
    <w:rsid w:val="51C6BBE3"/>
    <w:rsid w:val="51DAE05B"/>
    <w:rsid w:val="51F1774A"/>
    <w:rsid w:val="5204EB1A"/>
    <w:rsid w:val="5233DF40"/>
    <w:rsid w:val="526D81A7"/>
    <w:rsid w:val="52B68711"/>
    <w:rsid w:val="52DBEF92"/>
    <w:rsid w:val="52E2F20F"/>
    <w:rsid w:val="52E5D0D9"/>
    <w:rsid w:val="52FB1019"/>
    <w:rsid w:val="5317F204"/>
    <w:rsid w:val="5354B288"/>
    <w:rsid w:val="53578E3C"/>
    <w:rsid w:val="537036E6"/>
    <w:rsid w:val="537DFC53"/>
    <w:rsid w:val="53EC52E9"/>
    <w:rsid w:val="541ED1C3"/>
    <w:rsid w:val="5428D3CC"/>
    <w:rsid w:val="542CE926"/>
    <w:rsid w:val="542D58F1"/>
    <w:rsid w:val="549F57F2"/>
    <w:rsid w:val="54C00660"/>
    <w:rsid w:val="54C9C3F8"/>
    <w:rsid w:val="550FDAFC"/>
    <w:rsid w:val="5526473D"/>
    <w:rsid w:val="554091A5"/>
    <w:rsid w:val="556CF33A"/>
    <w:rsid w:val="559E85EF"/>
    <w:rsid w:val="55A7DAA2"/>
    <w:rsid w:val="55B15792"/>
    <w:rsid w:val="55CBF9CC"/>
    <w:rsid w:val="561056B7"/>
    <w:rsid w:val="5615511B"/>
    <w:rsid w:val="563797DD"/>
    <w:rsid w:val="564D9CD1"/>
    <w:rsid w:val="565A8406"/>
    <w:rsid w:val="567FF676"/>
    <w:rsid w:val="5690101C"/>
    <w:rsid w:val="56B4E4EE"/>
    <w:rsid w:val="56C48CCB"/>
    <w:rsid w:val="56D56B16"/>
    <w:rsid w:val="56D7BCFB"/>
    <w:rsid w:val="56DEC35E"/>
    <w:rsid w:val="56EA80B4"/>
    <w:rsid w:val="56F324F7"/>
    <w:rsid w:val="570F102B"/>
    <w:rsid w:val="571B4AED"/>
    <w:rsid w:val="571B6958"/>
    <w:rsid w:val="579C1817"/>
    <w:rsid w:val="57B2EBDB"/>
    <w:rsid w:val="57B98EC0"/>
    <w:rsid w:val="57BF3461"/>
    <w:rsid w:val="582BAA85"/>
    <w:rsid w:val="5831DF4B"/>
    <w:rsid w:val="58465E0D"/>
    <w:rsid w:val="58465FB8"/>
    <w:rsid w:val="5846D0D1"/>
    <w:rsid w:val="588ECB88"/>
    <w:rsid w:val="58AAF436"/>
    <w:rsid w:val="58B4E759"/>
    <w:rsid w:val="58B4F8A0"/>
    <w:rsid w:val="58CF9BC3"/>
    <w:rsid w:val="58D01615"/>
    <w:rsid w:val="58D5E29E"/>
    <w:rsid w:val="58DD5E31"/>
    <w:rsid w:val="58DFEDEC"/>
    <w:rsid w:val="58EE0EE4"/>
    <w:rsid w:val="58F45DAF"/>
    <w:rsid w:val="59077B0C"/>
    <w:rsid w:val="592F9393"/>
    <w:rsid w:val="5988B890"/>
    <w:rsid w:val="598DB0C1"/>
    <w:rsid w:val="59CBC359"/>
    <w:rsid w:val="59CE97E2"/>
    <w:rsid w:val="59FC4DD7"/>
    <w:rsid w:val="5A007AE1"/>
    <w:rsid w:val="5A0201A6"/>
    <w:rsid w:val="5A252F48"/>
    <w:rsid w:val="5A4461E9"/>
    <w:rsid w:val="5A4BE2D5"/>
    <w:rsid w:val="5AA77B0D"/>
    <w:rsid w:val="5AF11DBB"/>
    <w:rsid w:val="5AF71582"/>
    <w:rsid w:val="5AFC9AB8"/>
    <w:rsid w:val="5B042BC7"/>
    <w:rsid w:val="5B17A697"/>
    <w:rsid w:val="5B185648"/>
    <w:rsid w:val="5B1EEB93"/>
    <w:rsid w:val="5B2BE601"/>
    <w:rsid w:val="5B493704"/>
    <w:rsid w:val="5B7D2525"/>
    <w:rsid w:val="5B81D967"/>
    <w:rsid w:val="5B8A5790"/>
    <w:rsid w:val="5BA0B5E2"/>
    <w:rsid w:val="5BC4CA98"/>
    <w:rsid w:val="5C0E58D7"/>
    <w:rsid w:val="5C3F1BCE"/>
    <w:rsid w:val="5C56B1D7"/>
    <w:rsid w:val="5C8A9A9D"/>
    <w:rsid w:val="5C8C4640"/>
    <w:rsid w:val="5CCEF140"/>
    <w:rsid w:val="5CFD13E2"/>
    <w:rsid w:val="5D39BE17"/>
    <w:rsid w:val="5D660C27"/>
    <w:rsid w:val="5D72460A"/>
    <w:rsid w:val="5D7722DD"/>
    <w:rsid w:val="5DA044C9"/>
    <w:rsid w:val="5DA3770B"/>
    <w:rsid w:val="5DAFB277"/>
    <w:rsid w:val="5DD077E8"/>
    <w:rsid w:val="5DDAEC2F"/>
    <w:rsid w:val="5DE52506"/>
    <w:rsid w:val="5E2EA4B9"/>
    <w:rsid w:val="5E8ABB10"/>
    <w:rsid w:val="5E9B0743"/>
    <w:rsid w:val="5EBD91C1"/>
    <w:rsid w:val="5F25E21F"/>
    <w:rsid w:val="5F68039B"/>
    <w:rsid w:val="5F69D3B7"/>
    <w:rsid w:val="5FC4A42C"/>
    <w:rsid w:val="5FC88357"/>
    <w:rsid w:val="5FCD82F7"/>
    <w:rsid w:val="5FD2D578"/>
    <w:rsid w:val="5FDC88DF"/>
    <w:rsid w:val="5FEE68CF"/>
    <w:rsid w:val="5FF6E2A2"/>
    <w:rsid w:val="600AD4D3"/>
    <w:rsid w:val="60195F67"/>
    <w:rsid w:val="603DC8B4"/>
    <w:rsid w:val="6045312A"/>
    <w:rsid w:val="6047ECF3"/>
    <w:rsid w:val="604C7CC7"/>
    <w:rsid w:val="60546652"/>
    <w:rsid w:val="6078C5FD"/>
    <w:rsid w:val="607B54D5"/>
    <w:rsid w:val="607DB76E"/>
    <w:rsid w:val="609B5D2C"/>
    <w:rsid w:val="60AC5096"/>
    <w:rsid w:val="60B9B4DB"/>
    <w:rsid w:val="60C9B918"/>
    <w:rsid w:val="60DF4650"/>
    <w:rsid w:val="60F83443"/>
    <w:rsid w:val="610FD5CA"/>
    <w:rsid w:val="6117D8EE"/>
    <w:rsid w:val="613670D0"/>
    <w:rsid w:val="615B55C7"/>
    <w:rsid w:val="6189A699"/>
    <w:rsid w:val="6190C638"/>
    <w:rsid w:val="61F069C2"/>
    <w:rsid w:val="61F875CA"/>
    <w:rsid w:val="62245F11"/>
    <w:rsid w:val="6239687A"/>
    <w:rsid w:val="6244CB72"/>
    <w:rsid w:val="624548FE"/>
    <w:rsid w:val="62A0657E"/>
    <w:rsid w:val="62A5F5BB"/>
    <w:rsid w:val="62E94F7D"/>
    <w:rsid w:val="632EF0EB"/>
    <w:rsid w:val="63312C6F"/>
    <w:rsid w:val="633FA7EE"/>
    <w:rsid w:val="635448D2"/>
    <w:rsid w:val="6386A854"/>
    <w:rsid w:val="63A66F06"/>
    <w:rsid w:val="63CB318B"/>
    <w:rsid w:val="63DA2B8B"/>
    <w:rsid w:val="6402C3CA"/>
    <w:rsid w:val="64081770"/>
    <w:rsid w:val="640F669D"/>
    <w:rsid w:val="641A859E"/>
    <w:rsid w:val="64410FE0"/>
    <w:rsid w:val="647AAB53"/>
    <w:rsid w:val="647F8D46"/>
    <w:rsid w:val="648DE2C4"/>
    <w:rsid w:val="64C1302D"/>
    <w:rsid w:val="64D35315"/>
    <w:rsid w:val="64DA91F3"/>
    <w:rsid w:val="64DD8302"/>
    <w:rsid w:val="64E0A64E"/>
    <w:rsid w:val="65138B47"/>
    <w:rsid w:val="65224188"/>
    <w:rsid w:val="65294424"/>
    <w:rsid w:val="652EB340"/>
    <w:rsid w:val="6548DA83"/>
    <w:rsid w:val="6560E4BD"/>
    <w:rsid w:val="6564AEE6"/>
    <w:rsid w:val="659325C3"/>
    <w:rsid w:val="65B87819"/>
    <w:rsid w:val="65F59ABC"/>
    <w:rsid w:val="661F9088"/>
    <w:rsid w:val="6636CFC8"/>
    <w:rsid w:val="667BD42B"/>
    <w:rsid w:val="6692C1EB"/>
    <w:rsid w:val="66A44111"/>
    <w:rsid w:val="66BE11E9"/>
    <w:rsid w:val="6726356C"/>
    <w:rsid w:val="675DDA53"/>
    <w:rsid w:val="677D445B"/>
    <w:rsid w:val="67898AB1"/>
    <w:rsid w:val="67BC182A"/>
    <w:rsid w:val="67C52260"/>
    <w:rsid w:val="67F3CD60"/>
    <w:rsid w:val="6804D3F9"/>
    <w:rsid w:val="680E91AF"/>
    <w:rsid w:val="6832A8C6"/>
    <w:rsid w:val="6840BEF3"/>
    <w:rsid w:val="687B0008"/>
    <w:rsid w:val="68807B45"/>
    <w:rsid w:val="6883EE04"/>
    <w:rsid w:val="6887A4CA"/>
    <w:rsid w:val="68C11EB8"/>
    <w:rsid w:val="68E1A041"/>
    <w:rsid w:val="68F2879D"/>
    <w:rsid w:val="6957E88B"/>
    <w:rsid w:val="6959B9F3"/>
    <w:rsid w:val="6961DA54"/>
    <w:rsid w:val="697A19E2"/>
    <w:rsid w:val="6999AE9F"/>
    <w:rsid w:val="69CE2CC1"/>
    <w:rsid w:val="69D1EE87"/>
    <w:rsid w:val="69E7F8CE"/>
    <w:rsid w:val="69EC6323"/>
    <w:rsid w:val="69FA2FE4"/>
    <w:rsid w:val="6A0B838D"/>
    <w:rsid w:val="6A1C4BA6"/>
    <w:rsid w:val="6A2D8AF3"/>
    <w:rsid w:val="6A2FC659"/>
    <w:rsid w:val="6A31A8DE"/>
    <w:rsid w:val="6A4DBFDC"/>
    <w:rsid w:val="6A738962"/>
    <w:rsid w:val="6A776889"/>
    <w:rsid w:val="6A790E70"/>
    <w:rsid w:val="6A94E1C9"/>
    <w:rsid w:val="6AD34410"/>
    <w:rsid w:val="6AF13775"/>
    <w:rsid w:val="6B4978A0"/>
    <w:rsid w:val="6B5D5BD1"/>
    <w:rsid w:val="6BA2F34A"/>
    <w:rsid w:val="6BC30FB7"/>
    <w:rsid w:val="6BD1CCC0"/>
    <w:rsid w:val="6C5CD81B"/>
    <w:rsid w:val="6D03507D"/>
    <w:rsid w:val="6D21756B"/>
    <w:rsid w:val="6D4CE811"/>
    <w:rsid w:val="6D74F356"/>
    <w:rsid w:val="6D9CC04C"/>
    <w:rsid w:val="6DA23434"/>
    <w:rsid w:val="6DA280A6"/>
    <w:rsid w:val="6DCAF471"/>
    <w:rsid w:val="6DE4B877"/>
    <w:rsid w:val="6E066D1E"/>
    <w:rsid w:val="6E13DD4B"/>
    <w:rsid w:val="6E433330"/>
    <w:rsid w:val="6E56BEF6"/>
    <w:rsid w:val="6E5F1F54"/>
    <w:rsid w:val="6E675047"/>
    <w:rsid w:val="6E9D9234"/>
    <w:rsid w:val="6ED22276"/>
    <w:rsid w:val="6ED969DB"/>
    <w:rsid w:val="6F0C8322"/>
    <w:rsid w:val="6F10FC51"/>
    <w:rsid w:val="6F1600F1"/>
    <w:rsid w:val="6F3AF402"/>
    <w:rsid w:val="6F416FF7"/>
    <w:rsid w:val="6F5DBD87"/>
    <w:rsid w:val="6F5DC47F"/>
    <w:rsid w:val="6F68D68B"/>
    <w:rsid w:val="6F7E3AB5"/>
    <w:rsid w:val="6F9A495B"/>
    <w:rsid w:val="6F9FE0D7"/>
    <w:rsid w:val="6FA1A6FC"/>
    <w:rsid w:val="6FAA21C3"/>
    <w:rsid w:val="6FAD7CE3"/>
    <w:rsid w:val="6FB099EF"/>
    <w:rsid w:val="6FEECB6C"/>
    <w:rsid w:val="6FF31AEB"/>
    <w:rsid w:val="702100F3"/>
    <w:rsid w:val="703176AA"/>
    <w:rsid w:val="704C1880"/>
    <w:rsid w:val="70784417"/>
    <w:rsid w:val="708D2676"/>
    <w:rsid w:val="70CEA64A"/>
    <w:rsid w:val="7102A43F"/>
    <w:rsid w:val="71874C79"/>
    <w:rsid w:val="71B0C89F"/>
    <w:rsid w:val="71B12165"/>
    <w:rsid w:val="71C17223"/>
    <w:rsid w:val="71C348B6"/>
    <w:rsid w:val="71DB919A"/>
    <w:rsid w:val="71E6E034"/>
    <w:rsid w:val="71E88BF7"/>
    <w:rsid w:val="71ED5E10"/>
    <w:rsid w:val="71EF4654"/>
    <w:rsid w:val="71F4FAC2"/>
    <w:rsid w:val="721B31F5"/>
    <w:rsid w:val="72310A00"/>
    <w:rsid w:val="723C1441"/>
    <w:rsid w:val="72466F8B"/>
    <w:rsid w:val="724C3C3D"/>
    <w:rsid w:val="7274E854"/>
    <w:rsid w:val="729FF92B"/>
    <w:rsid w:val="72AFD50B"/>
    <w:rsid w:val="72D8771E"/>
    <w:rsid w:val="7311A60A"/>
    <w:rsid w:val="731AABA1"/>
    <w:rsid w:val="7340E736"/>
    <w:rsid w:val="736436D3"/>
    <w:rsid w:val="73A27FBA"/>
    <w:rsid w:val="73A4F42D"/>
    <w:rsid w:val="73A9C8CB"/>
    <w:rsid w:val="73C64ADE"/>
    <w:rsid w:val="73C98984"/>
    <w:rsid w:val="740EC9D8"/>
    <w:rsid w:val="74272781"/>
    <w:rsid w:val="7435F186"/>
    <w:rsid w:val="7439DAE5"/>
    <w:rsid w:val="744EAC91"/>
    <w:rsid w:val="7450F808"/>
    <w:rsid w:val="747B8A0A"/>
    <w:rsid w:val="748F7387"/>
    <w:rsid w:val="749A3E6C"/>
    <w:rsid w:val="749E972C"/>
    <w:rsid w:val="74B93808"/>
    <w:rsid w:val="74C23C8F"/>
    <w:rsid w:val="74DCB797"/>
    <w:rsid w:val="74F46FDC"/>
    <w:rsid w:val="751D59DC"/>
    <w:rsid w:val="751F08E8"/>
    <w:rsid w:val="756491C9"/>
    <w:rsid w:val="758FCF0B"/>
    <w:rsid w:val="75E06A39"/>
    <w:rsid w:val="75ED6223"/>
    <w:rsid w:val="760CC0BD"/>
    <w:rsid w:val="76247BDD"/>
    <w:rsid w:val="76360ECD"/>
    <w:rsid w:val="764F59EF"/>
    <w:rsid w:val="76ACCEFD"/>
    <w:rsid w:val="76BB53D8"/>
    <w:rsid w:val="76CEC285"/>
    <w:rsid w:val="76DC4828"/>
    <w:rsid w:val="7704B51D"/>
    <w:rsid w:val="770AF850"/>
    <w:rsid w:val="772589B1"/>
    <w:rsid w:val="778D7DF8"/>
    <w:rsid w:val="77B3F4F4"/>
    <w:rsid w:val="77B84F35"/>
    <w:rsid w:val="77C87CAD"/>
    <w:rsid w:val="77D1137D"/>
    <w:rsid w:val="78145112"/>
    <w:rsid w:val="781BA68C"/>
    <w:rsid w:val="78238238"/>
    <w:rsid w:val="782B19BD"/>
    <w:rsid w:val="784A9DF6"/>
    <w:rsid w:val="7855F7E2"/>
    <w:rsid w:val="785E719F"/>
    <w:rsid w:val="786595DB"/>
    <w:rsid w:val="7879CEB8"/>
    <w:rsid w:val="787E44EB"/>
    <w:rsid w:val="788C0396"/>
    <w:rsid w:val="789670B4"/>
    <w:rsid w:val="78ACEE2E"/>
    <w:rsid w:val="78FC3655"/>
    <w:rsid w:val="790C2CCA"/>
    <w:rsid w:val="79341985"/>
    <w:rsid w:val="7936DBF9"/>
    <w:rsid w:val="795EA612"/>
    <w:rsid w:val="797320AF"/>
    <w:rsid w:val="79923DFD"/>
    <w:rsid w:val="79965A73"/>
    <w:rsid w:val="799BF986"/>
    <w:rsid w:val="79B3EEF2"/>
    <w:rsid w:val="79BEF8AD"/>
    <w:rsid w:val="79DB6135"/>
    <w:rsid w:val="79E71B14"/>
    <w:rsid w:val="79F3945A"/>
    <w:rsid w:val="7A04B356"/>
    <w:rsid w:val="7A48BE8F"/>
    <w:rsid w:val="7A6403AF"/>
    <w:rsid w:val="7A75CE3B"/>
    <w:rsid w:val="7A7C6925"/>
    <w:rsid w:val="7A8FCB4A"/>
    <w:rsid w:val="7A91437A"/>
    <w:rsid w:val="7AB1000D"/>
    <w:rsid w:val="7ABDD487"/>
    <w:rsid w:val="7ABEA854"/>
    <w:rsid w:val="7AC05497"/>
    <w:rsid w:val="7AF1C101"/>
    <w:rsid w:val="7B17B10E"/>
    <w:rsid w:val="7B216C99"/>
    <w:rsid w:val="7B29BDB7"/>
    <w:rsid w:val="7BA63941"/>
    <w:rsid w:val="7BAF98A0"/>
    <w:rsid w:val="7BD951DE"/>
    <w:rsid w:val="7BEAAA82"/>
    <w:rsid w:val="7BEBFE38"/>
    <w:rsid w:val="7BEE72D4"/>
    <w:rsid w:val="7C2B07BE"/>
    <w:rsid w:val="7C3771B8"/>
    <w:rsid w:val="7C427914"/>
    <w:rsid w:val="7C469ADF"/>
    <w:rsid w:val="7C7BCBCA"/>
    <w:rsid w:val="7C7DE8F6"/>
    <w:rsid w:val="7C84272D"/>
    <w:rsid w:val="7C9224B1"/>
    <w:rsid w:val="7CA85BD1"/>
    <w:rsid w:val="7CB4EB6B"/>
    <w:rsid w:val="7CCE116A"/>
    <w:rsid w:val="7D1F9394"/>
    <w:rsid w:val="7D2FD353"/>
    <w:rsid w:val="7D523A3F"/>
    <w:rsid w:val="7D5450DB"/>
    <w:rsid w:val="7D7CD508"/>
    <w:rsid w:val="7D84899C"/>
    <w:rsid w:val="7D8E62FE"/>
    <w:rsid w:val="7DE8FE6A"/>
    <w:rsid w:val="7E1B9724"/>
    <w:rsid w:val="7E236EA2"/>
    <w:rsid w:val="7E2B03D5"/>
    <w:rsid w:val="7E383E9D"/>
    <w:rsid w:val="7E3ABFEE"/>
    <w:rsid w:val="7E3B1537"/>
    <w:rsid w:val="7E480765"/>
    <w:rsid w:val="7E9BE483"/>
    <w:rsid w:val="7EA2CE39"/>
    <w:rsid w:val="7EACA5EC"/>
    <w:rsid w:val="7EDE9A97"/>
    <w:rsid w:val="7EEF1517"/>
    <w:rsid w:val="7EFAF80E"/>
    <w:rsid w:val="7F0BD63A"/>
    <w:rsid w:val="7F2C6E87"/>
    <w:rsid w:val="7F78E7B4"/>
    <w:rsid w:val="7F7E031E"/>
    <w:rsid w:val="7F87E292"/>
    <w:rsid w:val="7FCC58A0"/>
    <w:rsid w:val="7FDB9743"/>
    <w:rsid w:val="7FDCA1F8"/>
    <w:rsid w:val="7FE3D7C6"/>
    <w:rsid w:val="7FE71D19"/>
    <w:rsid w:val="7FFF88F3"/>
    <w:rsid w:val="A71DE30A"/>
    <w:rsid w:val="B9FFAB8C"/>
    <w:rsid w:val="E7FFEA1B"/>
    <w:rsid w:val="FCFFA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EastAsia" w:cstheme="minorBidi"/>
      <w:sz w:val="24"/>
      <w:szCs w:val="24"/>
      <w:lang w:val="en-US" w:eastAsia="ja-JP" w:bidi="ar-SA"/>
    </w:rPr>
  </w:style>
  <w:style w:type="paragraph" w:styleId="2">
    <w:name w:val="heading 1"/>
    <w:basedOn w:val="1"/>
    <w:next w:val="1"/>
    <w:link w:val="21"/>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2"/>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3"/>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4"/>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5"/>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6"/>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7"/>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llowedHyperlink"/>
    <w:basedOn w:val="11"/>
    <w:semiHidden/>
    <w:unhideWhenUsed/>
    <w:qFormat/>
    <w:uiPriority w:val="99"/>
    <w:rPr>
      <w:color w:val="96607D" w:themeColor="followedHyperlink"/>
      <w:u w:val="single"/>
      <w14:textFill>
        <w14:solidFill>
          <w14:schemeClr w14:val="folHlink"/>
        </w14:solidFill>
      </w14:textFill>
    </w:rPr>
  </w:style>
  <w:style w:type="paragraph" w:styleId="14">
    <w:name w:val="footer"/>
    <w:basedOn w:val="1"/>
    <w:semiHidden/>
    <w:unhideWhenUsed/>
    <w:qFormat/>
    <w:uiPriority w:val="99"/>
    <w:pPr>
      <w:tabs>
        <w:tab w:val="center" w:pos="4153"/>
        <w:tab w:val="right" w:pos="8306"/>
      </w:tabs>
      <w:snapToGrid w:val="0"/>
    </w:pPr>
    <w:rPr>
      <w:sz w:val="18"/>
      <w:szCs w:val="18"/>
    </w:rPr>
  </w:style>
  <w:style w:type="paragraph" w:styleId="15">
    <w:name w:val="header"/>
    <w:basedOn w:val="1"/>
    <w:semiHidden/>
    <w:unhideWhenUsed/>
    <w:qFormat/>
    <w:uiPriority w:val="99"/>
    <w:pPr>
      <w:tabs>
        <w:tab w:val="center" w:pos="4153"/>
        <w:tab w:val="right" w:pos="8306"/>
      </w:tabs>
      <w:snapToGrid w:val="0"/>
    </w:pPr>
    <w:rPr>
      <w:sz w:val="18"/>
      <w:szCs w:val="18"/>
    </w:rPr>
  </w:style>
  <w:style w:type="character" w:styleId="16">
    <w:name w:val="Hyperlink"/>
    <w:basedOn w:val="11"/>
    <w:unhideWhenUsed/>
    <w:qFormat/>
    <w:uiPriority w:val="99"/>
    <w:rPr>
      <w:color w:val="467886" w:themeColor="hyperlink"/>
      <w:u w:val="single"/>
      <w14:textFill>
        <w14:solidFill>
          <w14:schemeClr w14:val="hlink"/>
        </w14:solidFill>
      </w14:textFill>
    </w:rPr>
  </w:style>
  <w:style w:type="paragraph" w:styleId="17">
    <w:name w:val="Normal (Web)"/>
    <w:basedOn w:val="1"/>
    <w:semiHidden/>
    <w:unhideWhenUsed/>
    <w:qFormat/>
    <w:uiPriority w:val="99"/>
  </w:style>
  <w:style w:type="paragraph" w:styleId="18">
    <w:name w:val="Subtitle"/>
    <w:basedOn w:val="1"/>
    <w:next w:val="1"/>
    <w:link w:val="3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9">
    <w:name w:val="Table Grid"/>
    <w:basedOn w:val="12"/>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20">
    <w:name w:val="Title"/>
    <w:basedOn w:val="1"/>
    <w:next w:val="1"/>
    <w:link w:val="30"/>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1">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2">
    <w:name w:val="Heading 2 Char"/>
    <w:basedOn w:val="11"/>
    <w:link w:val="3"/>
    <w:qFormat/>
    <w:uiPriority w:val="9"/>
    <w:rPr>
      <w:rFonts w:asciiTheme="majorHAnsi" w:hAnsiTheme="majorHAnsi" w:eastAsiaTheme="majorEastAsia" w:cstheme="majorBidi"/>
      <w:color w:val="104862" w:themeColor="accent1" w:themeShade="BF"/>
      <w:sz w:val="32"/>
      <w:szCs w:val="32"/>
    </w:rPr>
  </w:style>
  <w:style w:type="character" w:customStyle="1" w:styleId="23">
    <w:name w:val="Heading 3 Char"/>
    <w:basedOn w:val="11"/>
    <w:link w:val="4"/>
    <w:qFormat/>
    <w:uiPriority w:val="9"/>
    <w:rPr>
      <w:rFonts w:eastAsiaTheme="majorEastAsia" w:cstheme="majorBidi"/>
      <w:color w:val="104862" w:themeColor="accent1" w:themeShade="BF"/>
      <w:sz w:val="28"/>
      <w:szCs w:val="28"/>
    </w:rPr>
  </w:style>
  <w:style w:type="character" w:customStyle="1" w:styleId="24">
    <w:name w:val="Heading 4 Char"/>
    <w:basedOn w:val="11"/>
    <w:link w:val="5"/>
    <w:qFormat/>
    <w:uiPriority w:val="9"/>
    <w:rPr>
      <w:rFonts w:eastAsiaTheme="majorEastAsia" w:cstheme="majorBidi"/>
      <w:i/>
      <w:iCs/>
      <w:color w:val="104862" w:themeColor="accent1" w:themeShade="BF"/>
    </w:rPr>
  </w:style>
  <w:style w:type="character" w:customStyle="1" w:styleId="25">
    <w:name w:val="Heading 5 Char"/>
    <w:basedOn w:val="11"/>
    <w:link w:val="6"/>
    <w:qFormat/>
    <w:uiPriority w:val="9"/>
    <w:rPr>
      <w:rFonts w:eastAsiaTheme="majorEastAsia" w:cstheme="majorBidi"/>
      <w:color w:val="104862" w:themeColor="accent1" w:themeShade="BF"/>
    </w:rPr>
  </w:style>
  <w:style w:type="character" w:customStyle="1" w:styleId="26">
    <w:name w:val="Heading 6 Char"/>
    <w:basedOn w:val="11"/>
    <w:link w:val="7"/>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7 Char"/>
    <w:basedOn w:val="11"/>
    <w:link w:val="8"/>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1"/>
    <w:link w:val="9"/>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Heading 9 Char"/>
    <w:basedOn w:val="11"/>
    <w:link w:val="10"/>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1"/>
    <w:link w:val="20"/>
    <w:qFormat/>
    <w:uiPriority w:val="10"/>
    <w:rPr>
      <w:rFonts w:asciiTheme="majorHAnsi" w:hAnsiTheme="majorHAnsi" w:eastAsiaTheme="majorEastAsia" w:cstheme="majorBidi"/>
      <w:spacing w:val="-10"/>
      <w:kern w:val="28"/>
      <w:sz w:val="56"/>
      <w:szCs w:val="56"/>
    </w:rPr>
  </w:style>
  <w:style w:type="character" w:customStyle="1" w:styleId="31">
    <w:name w:val="Subtitle Char"/>
    <w:basedOn w:val="11"/>
    <w:link w:val="1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32">
    <w:name w:val="Intense Emphasis1"/>
    <w:basedOn w:val="11"/>
    <w:qFormat/>
    <w:uiPriority w:val="21"/>
    <w:rPr>
      <w:i/>
      <w:iCs/>
      <w:color w:val="104862" w:themeColor="accent1" w:themeShade="BF"/>
    </w:rPr>
  </w:style>
  <w:style w:type="character" w:customStyle="1" w:styleId="33">
    <w:name w:val="Quote Char"/>
    <w:basedOn w:val="11"/>
    <w:link w:val="34"/>
    <w:qFormat/>
    <w:uiPriority w:val="29"/>
    <w:rPr>
      <w:i/>
      <w:iCs/>
      <w:color w:val="404040" w:themeColor="text1" w:themeTint="BF"/>
      <w14:textFill>
        <w14:solidFill>
          <w14:schemeClr w14:val="tx1">
            <w14:lumMod w14:val="75000"/>
            <w14:lumOff w14:val="25000"/>
          </w14:schemeClr>
        </w14:solidFill>
      </w14:textFill>
    </w:rPr>
  </w:style>
  <w:style w:type="paragraph" w:styleId="34">
    <w:name w:val="Quote"/>
    <w:basedOn w:val="1"/>
    <w:next w:val="1"/>
    <w:link w:val="3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Intense Quote Char"/>
    <w:basedOn w:val="11"/>
    <w:link w:val="36"/>
    <w:qFormat/>
    <w:uiPriority w:val="30"/>
    <w:rPr>
      <w:i/>
      <w:iCs/>
      <w:color w:val="104862" w:themeColor="accent1" w:themeShade="BF"/>
    </w:rPr>
  </w:style>
  <w:style w:type="paragraph" w:styleId="36">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7">
    <w:name w:val="Intense Reference1"/>
    <w:basedOn w:val="11"/>
    <w:qFormat/>
    <w:uiPriority w:val="32"/>
    <w:rPr>
      <w:b/>
      <w:bCs/>
      <w:smallCaps/>
      <w:color w:val="104862" w:themeColor="accent1" w:themeShade="BF"/>
      <w:spacing w:val="5"/>
    </w:rPr>
  </w:style>
  <w:style w:type="paragraph" w:customStyle="1" w:styleId="38">
    <w:name w:val="p1"/>
    <w:qFormat/>
    <w:uiPriority w:val="0"/>
    <w:rPr>
      <w:rFonts w:ascii="Helvetica Neue" w:hAnsi="Helvetica Neue" w:eastAsia="Helvetica Neue" w:cs="Times New Roman"/>
      <w:color w:val="FFFFFF"/>
      <w:sz w:val="26"/>
      <w:szCs w:val="26"/>
      <w:lang w:val="en-US" w:eastAsia="zh-CN" w:bidi="ar-SA"/>
    </w:rPr>
  </w:style>
  <w:style w:type="character" w:customStyle="1" w:styleId="39">
    <w:name w:val="s1"/>
    <w:qFormat/>
    <w:uiPriority w:val="0"/>
    <w:rPr>
      <w:color w:val="2892FF"/>
    </w:rPr>
  </w:style>
  <w:style w:type="paragraph" w:styleId="40">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oleObject" Target="embeddings/oleObject1.bin"/><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6013</Words>
  <Characters>34277</Characters>
  <Lines>285</Lines>
  <Paragraphs>80</Paragraphs>
  <TotalTime>0</TotalTime>
  <ScaleCrop>false</ScaleCrop>
  <LinksUpToDate>false</LinksUpToDate>
  <CharactersWithSpaces>40210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2024-09-19T07:13:00Z</dcterms:created>
  <dc:creator>MUHAMMAD FIRDAUS BIN BADAURAUDINE</dc:creator>
  <cp:lastModifiedBy>Kroom</cp:lastModifiedBy>
  <dcterms:modified xsi:type="dcterms:W3CDTF">2024-11-08T07:16:15Z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0x0101004FCB19AFA2EF8640A4141AAF4BC99DD5</vt:lpwstr>
  </property>
  <property fmtid="{D5CDD505-2E9C-101B-9397-08002B2CF9AE}" pid="3" name="MediaServiceImageTags">
    <vt:lpwstr/>
  </property>
  <property fmtid="{D5CDD505-2E9C-101B-9397-08002B2CF9AE}" pid="4" name="KSOProductBuildVer">
    <vt:lpwstr>1033-12.2.0.18607</vt:lpwstr>
  </property>
  <property fmtid="{D5CDD505-2E9C-101B-9397-08002B2CF9AE}" pid="5" name="ICV">
    <vt:lpwstr>C62A782C3FBF424788A40FEDEB752065_13</vt:lpwstr>
  </property>
</Properties>
</file>