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41B" w:rsidRDefault="009063DD" w:rsidP="0062741B">
      <w:pPr>
        <w:spacing w:after="0" w:line="240" w:lineRule="auto"/>
        <w:jc w:val="both"/>
        <w:rPr>
          <w:rFonts w:ascii="Times New Roman" w:eastAsia="Calibri" w:hAnsi="Times New Roman" w:cs="Times New Roman"/>
          <w:b/>
          <w:sz w:val="34"/>
          <w:szCs w:val="34"/>
        </w:rPr>
      </w:pPr>
      <w:r w:rsidRPr="009063DD">
        <w:rPr>
          <w:rFonts w:ascii="Times New Roman" w:eastAsia="Calibri" w:hAnsi="Times New Roman" w:cs="Times New Roman"/>
          <w:b/>
          <w:sz w:val="34"/>
          <w:szCs w:val="34"/>
        </w:rPr>
        <w:t>Fulfillment of Elderly Nutrition Based on Daily Protein, Carbohydrate, Fat, and Calcium Needs</w:t>
      </w:r>
    </w:p>
    <w:p w:rsidR="00AC2F20" w:rsidRDefault="00AC2F20" w:rsidP="0062741B">
      <w:pPr>
        <w:spacing w:after="0" w:line="240" w:lineRule="auto"/>
        <w:jc w:val="both"/>
        <w:rPr>
          <w:rFonts w:ascii="Times New Roman" w:eastAsia="Calibri" w:hAnsi="Times New Roman" w:cs="Times New Roman"/>
          <w:b/>
          <w:sz w:val="34"/>
          <w:szCs w:val="34"/>
        </w:rPr>
      </w:pPr>
    </w:p>
    <w:p w:rsidR="0062741B" w:rsidRDefault="0062741B" w:rsidP="0062741B">
      <w:pPr>
        <w:spacing w:after="0" w:line="240" w:lineRule="auto"/>
        <w:ind w:left="1418"/>
        <w:jc w:val="both"/>
        <w:rPr>
          <w:rFonts w:ascii="Times New Roman" w:hAnsi="Times New Roman"/>
          <w:b/>
        </w:rPr>
      </w:pPr>
      <w:bookmarkStart w:id="0" w:name="_GoBack"/>
      <w:bookmarkEnd w:id="0"/>
      <w:r>
        <w:rPr>
          <w:rFonts w:ascii="Times New Roman" w:hAnsi="Times New Roman"/>
          <w:b/>
        </w:rPr>
        <w:t>I D Andari, J Nisa</w:t>
      </w:r>
    </w:p>
    <w:p w:rsidR="0062741B" w:rsidRPr="00CB2CF7" w:rsidRDefault="0062741B" w:rsidP="0062741B">
      <w:pPr>
        <w:spacing w:after="0" w:line="240" w:lineRule="auto"/>
        <w:ind w:left="1418"/>
        <w:jc w:val="both"/>
        <w:rPr>
          <w:rFonts w:ascii="Times New Roman" w:hAnsi="Times New Roman"/>
          <w:b/>
          <w:bCs/>
          <w:sz w:val="24"/>
          <w:szCs w:val="24"/>
        </w:rPr>
      </w:pPr>
      <w:r>
        <w:rPr>
          <w:rFonts w:ascii="Times New Roman" w:hAnsi="Times New Roman"/>
          <w:color w:val="000000"/>
        </w:rPr>
        <w:t>Midwifery Diploma Program</w:t>
      </w:r>
      <w:r w:rsidRPr="00A67AF5">
        <w:rPr>
          <w:rFonts w:ascii="Times New Roman" w:hAnsi="Times New Roman"/>
          <w:color w:val="000000"/>
        </w:rPr>
        <w:t xml:space="preserve"> </w:t>
      </w:r>
      <w:r>
        <w:rPr>
          <w:rFonts w:ascii="Times New Roman" w:hAnsi="Times New Roman"/>
          <w:color w:val="000000"/>
        </w:rPr>
        <w:t>Politechnic</w:t>
      </w:r>
      <w:r w:rsidRPr="00A67AF5">
        <w:rPr>
          <w:rFonts w:ascii="Times New Roman" w:hAnsi="Times New Roman"/>
          <w:color w:val="000000"/>
        </w:rPr>
        <w:t xml:space="preserve"> Harapan Bersama, 9</w:t>
      </w:r>
      <w:r w:rsidRPr="007D3EF3">
        <w:rPr>
          <w:rFonts w:ascii="Times New Roman" w:hAnsi="Times New Roman"/>
          <w:color w:val="000000"/>
          <w:vertAlign w:val="superscript"/>
        </w:rPr>
        <w:t>th</w:t>
      </w:r>
      <w:r w:rsidRPr="00A67AF5">
        <w:rPr>
          <w:rFonts w:ascii="Times New Roman" w:hAnsi="Times New Roman"/>
          <w:color w:val="000000"/>
        </w:rPr>
        <w:t xml:space="preserve"> Mataram Street, </w:t>
      </w:r>
      <w:r>
        <w:rPr>
          <w:rFonts w:ascii="Times New Roman" w:hAnsi="Times New Roman"/>
          <w:color w:val="000000"/>
        </w:rPr>
        <w:t xml:space="preserve">Pesurungan Lor, </w:t>
      </w:r>
      <w:r w:rsidRPr="00A67AF5">
        <w:rPr>
          <w:rFonts w:ascii="Times New Roman" w:hAnsi="Times New Roman"/>
          <w:color w:val="000000"/>
        </w:rPr>
        <w:t>Tegal City, Indonesia</w:t>
      </w:r>
    </w:p>
    <w:p w:rsidR="0062741B" w:rsidRDefault="0062741B" w:rsidP="0062741B">
      <w:pPr>
        <w:pStyle w:val="Addresses"/>
        <w:spacing w:after="0"/>
      </w:pPr>
    </w:p>
    <w:p w:rsidR="0062741B" w:rsidRPr="0062741B" w:rsidRDefault="0062741B" w:rsidP="0062741B">
      <w:pPr>
        <w:pStyle w:val="Addresses"/>
      </w:pPr>
      <w:r>
        <w:t xml:space="preserve">Corresponding author: </w:t>
      </w:r>
      <w:hyperlink r:id="rId6" w:history="1">
        <w:r w:rsidRPr="009D5DF3">
          <w:rPr>
            <w:rStyle w:val="Hyperlink"/>
          </w:rPr>
          <w:t>nisa.jn20@gmail.com</w:t>
        </w:r>
      </w:hyperlink>
    </w:p>
    <w:p w:rsidR="00D2712D" w:rsidRDefault="00D2712D" w:rsidP="00D2712D">
      <w:pPr>
        <w:jc w:val="center"/>
      </w:pPr>
    </w:p>
    <w:p w:rsidR="009063DD" w:rsidRDefault="009063DD" w:rsidP="009063DD">
      <w:pPr>
        <w:spacing w:after="0" w:line="240" w:lineRule="auto"/>
        <w:ind w:left="1418"/>
        <w:jc w:val="both"/>
        <w:rPr>
          <w:rFonts w:ascii="Times New Roman" w:hAnsi="Times New Roman"/>
          <w:color w:val="000000"/>
          <w:sz w:val="20"/>
          <w:szCs w:val="20"/>
        </w:rPr>
      </w:pPr>
      <w:r w:rsidRPr="009063DD">
        <w:rPr>
          <w:rFonts w:ascii="Times New Roman" w:hAnsi="Times New Roman"/>
          <w:b/>
          <w:color w:val="000000"/>
          <w:sz w:val="20"/>
          <w:szCs w:val="20"/>
        </w:rPr>
        <w:t>Abstract</w:t>
      </w:r>
      <w:r w:rsidRPr="009063DD">
        <w:rPr>
          <w:rFonts w:ascii="Times New Roman" w:hAnsi="Times New Roman"/>
          <w:color w:val="000000"/>
          <w:sz w:val="20"/>
          <w:szCs w:val="20"/>
        </w:rPr>
        <w:t xml:space="preserve"> The fulfillment of nutritional needs in the elderly generally decreases, several factors contribute to a decrease in food intake and nutritional fulfillment in older adults, including sensory changes, illness, use of drugs, and psychological factors such as depression. The purpose of this study was to identify a description of the nutritional fulfillment of the elderly based on daily protein, carbohydrate, fat, and calcium requirements. This research method is a quantitative study with a cross-sectional design. The population is the elderly in the village of Pagongan, with a sampling technique using accidental sampling and collecting data using questionnaires and interviews. The data obtained were analyzed univariately. The results obtained were that 66.7% of the respondents were female, 75% did not work, 83.3% consumed less protein, 79.2% consumed less fat, 79.2% consumed fewer carbohydrates, and 66.7% consumed less calcium. Fulfillment of elderly nutrition based on protein, fat, carbohydrate, and calcium needs is lacking. It is necessary to provide health education related to elderly nutrition to the family/companion.</w:t>
      </w:r>
    </w:p>
    <w:p w:rsidR="009063DD" w:rsidRPr="009063DD" w:rsidRDefault="009063DD" w:rsidP="009063DD">
      <w:pPr>
        <w:spacing w:after="0" w:line="240" w:lineRule="auto"/>
        <w:ind w:left="1418"/>
        <w:jc w:val="both"/>
        <w:rPr>
          <w:rFonts w:ascii="Times New Roman" w:hAnsi="Times New Roman"/>
          <w:color w:val="000000"/>
          <w:sz w:val="20"/>
          <w:szCs w:val="20"/>
        </w:rPr>
      </w:pPr>
    </w:p>
    <w:p w:rsidR="00A01EE7" w:rsidRDefault="009063DD" w:rsidP="009063DD">
      <w:pPr>
        <w:spacing w:after="0" w:line="240" w:lineRule="auto"/>
        <w:ind w:left="1418"/>
        <w:jc w:val="both"/>
        <w:rPr>
          <w:rFonts w:ascii="Times New Roman" w:hAnsi="Times New Roman"/>
          <w:color w:val="000000"/>
          <w:sz w:val="20"/>
          <w:szCs w:val="20"/>
        </w:rPr>
      </w:pPr>
      <w:r w:rsidRPr="009063DD">
        <w:rPr>
          <w:rFonts w:ascii="Times New Roman" w:hAnsi="Times New Roman"/>
          <w:b/>
          <w:color w:val="000000"/>
          <w:sz w:val="20"/>
          <w:szCs w:val="20"/>
        </w:rPr>
        <w:t>Keywords</w:t>
      </w:r>
      <w:r w:rsidRPr="009063DD">
        <w:rPr>
          <w:rFonts w:ascii="Times New Roman" w:hAnsi="Times New Roman"/>
          <w:color w:val="000000"/>
          <w:sz w:val="20"/>
          <w:szCs w:val="20"/>
        </w:rPr>
        <w:t>: elderly, nutrition, protein, fat, carbohydrate, and calcium</w:t>
      </w:r>
    </w:p>
    <w:p w:rsidR="009063DD" w:rsidRDefault="009063DD" w:rsidP="009063DD">
      <w:pPr>
        <w:spacing w:after="0" w:line="240" w:lineRule="auto"/>
        <w:ind w:left="1418"/>
        <w:jc w:val="both"/>
        <w:rPr>
          <w:rFonts w:ascii="Times New Roman" w:hAnsi="Times New Roman"/>
          <w:color w:val="000000"/>
          <w:sz w:val="20"/>
          <w:szCs w:val="20"/>
        </w:rPr>
      </w:pPr>
    </w:p>
    <w:p w:rsidR="00336C94" w:rsidRPr="009063DD" w:rsidRDefault="00336C94" w:rsidP="009063DD">
      <w:pPr>
        <w:spacing w:after="0" w:line="240" w:lineRule="auto"/>
        <w:ind w:left="1418"/>
        <w:jc w:val="both"/>
        <w:rPr>
          <w:rFonts w:ascii="Times New Roman" w:hAnsi="Times New Roman"/>
          <w:color w:val="000000"/>
          <w:sz w:val="20"/>
          <w:szCs w:val="20"/>
        </w:rPr>
      </w:pPr>
    </w:p>
    <w:p w:rsidR="00D2712D" w:rsidRPr="009A1C52" w:rsidRDefault="0062741B" w:rsidP="009A1C52">
      <w:pPr>
        <w:pStyle w:val="ListParagraph"/>
        <w:numPr>
          <w:ilvl w:val="0"/>
          <w:numId w:val="9"/>
        </w:numPr>
        <w:spacing w:after="0" w:line="240" w:lineRule="auto"/>
        <w:ind w:left="284" w:hanging="284"/>
        <w:rPr>
          <w:rFonts w:ascii="Times New Roman" w:hAnsi="Times New Roman" w:cs="Times New Roman"/>
        </w:rPr>
      </w:pPr>
      <w:r w:rsidRPr="009A1C52">
        <w:rPr>
          <w:rFonts w:ascii="Times New Roman" w:eastAsia="Calibri" w:hAnsi="Times New Roman" w:cs="Times New Roman"/>
          <w:b/>
        </w:rPr>
        <w:t>Introductio</w:t>
      </w:r>
      <w:r w:rsidRPr="009A1C52">
        <w:rPr>
          <w:rFonts w:ascii="Times New Roman" w:hAnsi="Times New Roman" w:cs="Times New Roman"/>
          <w:b/>
        </w:rPr>
        <w:t>n</w:t>
      </w:r>
    </w:p>
    <w:p w:rsidR="00032CFF" w:rsidRPr="009063DD" w:rsidRDefault="009063DD" w:rsidP="009063DD">
      <w:pPr>
        <w:spacing w:after="0" w:line="240" w:lineRule="auto"/>
        <w:jc w:val="both"/>
        <w:rPr>
          <w:rFonts w:ascii="Times New Roman" w:hAnsi="Times New Roman" w:cs="Times New Roman"/>
          <w:color w:val="303030"/>
          <w:sz w:val="20"/>
          <w:szCs w:val="20"/>
          <w:shd w:val="clear" w:color="auto" w:fill="FFFFFF"/>
        </w:rPr>
      </w:pPr>
      <w:r w:rsidRPr="009063DD">
        <w:rPr>
          <w:rFonts w:ascii="Times New Roman" w:hAnsi="Times New Roman" w:cs="Times New Roman"/>
        </w:rPr>
        <w:t xml:space="preserve">WHO targets 2020 to 2030 as the decade of healthy old </w:t>
      </w:r>
      <w:proofErr w:type="gramStart"/>
      <w:r w:rsidRPr="009063DD">
        <w:rPr>
          <w:rFonts w:ascii="Times New Roman" w:hAnsi="Times New Roman" w:cs="Times New Roman"/>
        </w:rPr>
        <w:t>age.</w:t>
      </w:r>
      <w:proofErr w:type="gramEnd"/>
      <w:r w:rsidRPr="009063DD">
        <w:rPr>
          <w:rFonts w:ascii="Times New Roman" w:hAnsi="Times New Roman" w:cs="Times New Roman"/>
        </w:rPr>
        <w:t xml:space="preserve"> By 2020 the number of older people (over 60 years) will exceed the number of children under five years old, and globally the number of older people will increase from 1 billion in 2019 to 1.4 billion in 2030 (an increase of about 34%). By 2050, the proportion of older people is estimated to be one in five.</w:t>
      </w:r>
      <w:r w:rsidR="00032CFF" w:rsidRPr="009063DD">
        <w:rPr>
          <w:rFonts w:ascii="Times New Roman" w:hAnsi="Times New Roman" w:cs="Times New Roman"/>
        </w:rPr>
        <w:fldChar w:fldCharType="begin" w:fldLock="1"/>
      </w:r>
      <w:r w:rsidR="00032CFF" w:rsidRPr="009063DD">
        <w:rPr>
          <w:rFonts w:ascii="Times New Roman" w:hAnsi="Times New Roman" w:cs="Times New Roman"/>
        </w:rPr>
        <w:instrText>ADDIN CSL_CITATION {"citationItems":[{"id":"ITEM-1","itemData":{"DOI":"https://doi.org/10.3390/nu12092548","author":[{"dropping-particle":"","family":"Zanini, B., Simonetto, A., Zubani, M., Castellano, M., &amp; Gilioli","given":"G.","non-dropping-particle":"","parse-names":false,"suffix":""}],"container-title":"Nutrients","id":"ITEM-1","issue":"9","issued":{"date-parts":[["2020"]]},"page":"2548","title":"The Effects of Cow-Milk Protein Supplementation in Elderly Population: Systematic Review and Narrative Synthesis","type":"article-journal","volume":"12"},"uris":["http://www.mendeley.com/documents/?uuid=1209b415-2b16-47bb-86fc-29a77203aa61"]}],"mendeley":{"formattedCitation":"[1]","plainTextFormattedCitation":"[1]","previouslyFormattedCitation":"[1]"},"properties":{"noteIndex":0},"schema":"https://github.com/citation-style-language/schema/raw/master/csl-citation.json"}</w:instrText>
      </w:r>
      <w:r w:rsidR="00032CFF" w:rsidRPr="009063DD">
        <w:rPr>
          <w:rFonts w:ascii="Times New Roman" w:hAnsi="Times New Roman" w:cs="Times New Roman"/>
        </w:rPr>
        <w:fldChar w:fldCharType="separate"/>
      </w:r>
      <w:r w:rsidR="00032CFF" w:rsidRPr="009063DD">
        <w:rPr>
          <w:rFonts w:ascii="Times New Roman" w:hAnsi="Times New Roman" w:cs="Times New Roman"/>
          <w:noProof/>
        </w:rPr>
        <w:t>[1]</w:t>
      </w:r>
      <w:r w:rsidR="00032CFF" w:rsidRPr="009063DD">
        <w:rPr>
          <w:rFonts w:ascii="Times New Roman" w:hAnsi="Times New Roman" w:cs="Times New Roman"/>
        </w:rPr>
        <w:fldChar w:fldCharType="end"/>
      </w:r>
      <w:r w:rsidR="00790403" w:rsidRPr="009063DD">
        <w:rPr>
          <w:rFonts w:ascii="Times New Roman" w:hAnsi="Times New Roman" w:cs="Times New Roman"/>
        </w:rPr>
        <w:t xml:space="preserve"> </w:t>
      </w:r>
    </w:p>
    <w:p w:rsidR="00032CFF" w:rsidRPr="009A1C52" w:rsidRDefault="009063DD" w:rsidP="009A1C52">
      <w:pPr>
        <w:spacing w:after="0" w:line="240" w:lineRule="auto"/>
        <w:jc w:val="both"/>
        <w:rPr>
          <w:rFonts w:ascii="Times New Roman" w:hAnsi="Times New Roman" w:cs="Times New Roman"/>
        </w:rPr>
      </w:pPr>
      <w:r w:rsidRPr="009063DD">
        <w:rPr>
          <w:rFonts w:ascii="Times New Roman" w:hAnsi="Times New Roman" w:cs="Times New Roman"/>
        </w:rPr>
        <w:t>In 2017 the number of older people in Indonesia reached 23.66 million people (9.03%). The elderly population is predicted to increase by 27.08 million in 2020, 33.69 million in 2025, 40.95 million in 2030, and 48.19 million in 2035</w:t>
      </w:r>
      <w:r w:rsidR="0036764D" w:rsidRPr="009A1C52">
        <w:rPr>
          <w:rFonts w:ascii="Times New Roman" w:hAnsi="Times New Roman" w:cs="Times New Roman"/>
        </w:rPr>
        <w:t>.</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{"citationItems":[{"id":"ITEM-1","itemData":{"author":[{"dropping-particle":"","family":"Kementerian Kesehatan RI","given":"","non-dropping-particle":"","parse-names":false,"suffix":""}],"id":"ITEM-1","issued":{"date-parts":[["2017"]]},"title":"Analisis Lansia Di Indonesia","type":"report"},"uris":["http://www.mendeley.com/documents/?uuid=1f289e24-dd7d-466f-99bf-4c3baa82f363"]}],"mendeley":{"formattedCitation":"[2]","plainTextFormattedCitation":"[2]","previouslyFormattedCitation":"[2]"},"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[2]</w:t>
      </w:r>
      <w:r w:rsidR="00032CFF" w:rsidRPr="009A1C52">
        <w:rPr>
          <w:rFonts w:ascii="Times New Roman" w:hAnsi="Times New Roman" w:cs="Times New Roman"/>
        </w:rPr>
        <w:fldChar w:fldCharType="end"/>
      </w:r>
      <w:r w:rsidR="00032CFF" w:rsidRPr="009A1C52">
        <w:rPr>
          <w:rFonts w:ascii="Times New Roman" w:hAnsi="Times New Roman" w:cs="Times New Roman"/>
        </w:rPr>
        <w:t xml:space="preserve"> </w:t>
      </w:r>
      <w:r w:rsidR="0036764D" w:rsidRPr="009A1C52">
        <w:rPr>
          <w:rFonts w:ascii="Times New Roman" w:hAnsi="Times New Roman" w:cs="Times New Roman"/>
        </w:rPr>
        <w:t xml:space="preserve"> </w:t>
      </w:r>
      <w:r w:rsidRPr="009063DD">
        <w:rPr>
          <w:rFonts w:ascii="Times New Roman" w:hAnsi="Times New Roman" w:cs="Times New Roman"/>
        </w:rPr>
        <w:t>In Central Java alone, the number of older people in 2020 is 12.15%. This number has increased when compared to 2010, which was 10.34%.</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{"citationItems":[{"id":"ITEM-1","itemData":{"author":[{"dropping-particle":"","family":"Badan Pusat Statistik Provinsi Jawa Tengah","given":"","non-dropping-particle":"","parse-names":false,"suffix":""}],"container-title":"Berita Resmi Statistik","id":"ITEM-1","issued":{"date-parts":[["2021"]]},"page":"07/01/33 Th. XV","title":"Hasil Sensus Penduduk 2020 di Provinsi Jawa Tengah","type":"article-newspaper"},"uris":["http://www.mendeley.com/documents/?uuid=eeb3a809-4d4b-4020-9817-3acdba10ef71"]}],"mendeley":{"formattedCitation":"[3]","plainTextFormattedCitation":"[3]","previouslyFormattedCitation":"[3]"},"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[3]</w:t>
      </w:r>
      <w:r w:rsidR="00032CFF" w:rsidRPr="009A1C52">
        <w:rPr>
          <w:rFonts w:ascii="Times New Roman" w:hAnsi="Times New Roman" w:cs="Times New Roman"/>
        </w:rPr>
        <w:fldChar w:fldCharType="end"/>
      </w:r>
    </w:p>
    <w:p w:rsidR="00032CFF" w:rsidRPr="009A1C52" w:rsidRDefault="009063DD" w:rsidP="009A1C52">
      <w:pPr>
        <w:spacing w:after="0" w:line="240" w:lineRule="auto"/>
        <w:jc w:val="both"/>
        <w:rPr>
          <w:rFonts w:ascii="Times New Roman" w:hAnsi="Times New Roman" w:cs="Times New Roman"/>
        </w:rPr>
      </w:pPr>
      <w:r w:rsidRPr="009063DD">
        <w:rPr>
          <w:rFonts w:ascii="Times New Roman" w:hAnsi="Times New Roman" w:cs="Times New Roman"/>
        </w:rPr>
        <w:t xml:space="preserve">The aging process is a process of gradual loss of the ability of tissues to repair themselves or replace themselves and maintain their standard structure and function. The decline in the function of the body's organs can impact the decrease in body resistance so that the fulfillment of nutrition in the elderly needs to be maintained. </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{"citationItems":[{"id":"ITEM-1","itemData":{"author":[{"dropping-particle":"","family":"Bella Friska, Usraleli, Idayanti, Magdalena","given":"Sakhnan","non-dropping-particle":"","parse-names":false,"suffix":""}],"container-title":"Jurnal Proteksi Kesehatan","id":"ITEM-1","issue":"1","issued":{"date-parts":[["2020"]]},"page":"1-8","title":"The Relationship Of Family Support With The Quality Of Elderly Living In Sidomulyo Health Center Work Area In Pekanbaru Road","type":"article-journal","volume":"9"},"uris":["http://www.mendeley.com/documents/?uuid=4bcf045c-d10d-4554-9a1e-52b6052b052d"]}],"mendeley":{"formattedCitation":"[4]","plainTextFormattedCitation":"[4]","previouslyFormattedCitation":"[4]"},"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[4]</w:t>
      </w:r>
      <w:r w:rsidR="00032CFF" w:rsidRPr="009A1C52">
        <w:rPr>
          <w:rFonts w:ascii="Times New Roman" w:hAnsi="Times New Roman" w:cs="Times New Roman"/>
        </w:rPr>
        <w:fldChar w:fldCharType="end"/>
      </w:r>
    </w:p>
    <w:p w:rsidR="00BE2312" w:rsidRPr="009A1C52" w:rsidRDefault="009063DD" w:rsidP="009A1C52">
      <w:pPr>
        <w:spacing w:after="0" w:line="240" w:lineRule="auto"/>
        <w:jc w:val="both"/>
        <w:rPr>
          <w:rFonts w:ascii="Times New Roman" w:hAnsi="Times New Roman" w:cs="Times New Roman"/>
        </w:rPr>
      </w:pPr>
      <w:r w:rsidRPr="009063DD">
        <w:rPr>
          <w:rFonts w:ascii="Times New Roman" w:hAnsi="Times New Roman" w:cs="Times New Roman"/>
        </w:rPr>
        <w:t>Fulfillment of nutritional needs in the elderly generally decreases. Several factors contribute to a decrease in food intake and nutritional fulfillment in older adults, including sensory changes, illness, drug use, and psychological factors such as depression.</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{"citationItems":[{"id":"ITEM-1","itemData":{"DOI":"10.1159/000435862","author":[{"dropping-particle":"","family":"Borg S., Verlaan S, Mijnarends D.M., Schols J.M.G.A., de Groot L.C.P.G.M.","given":"Luiking Y.C.","non-dropping-particle":"ter","parse-names":false,"suffix":""}],"container-title":"Ann Nutr Metab","id":"ITEM-1","issued":{"date-parts":[["2015"]]},"page":"242-255","title":"Macronutrient Intake and Inadequacies of Community-Dwelling Older Adults, a Systematic Review.","type":"article-journal","volume":"66"},"uris":["http://www.mendeley.com/documents/?uuid=a4028a15-b8b2-4717-83cf-0675b4bed24a"]}],"mendeley":{"formattedCitation":"[5]","plainTextFormattedCitation":"[5]","previouslyFormattedCitation":"[5]"},"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[5]</w:t>
      </w:r>
      <w:r w:rsidR="00032CFF" w:rsidRPr="009A1C52">
        <w:rPr>
          <w:rFonts w:ascii="Times New Roman" w:hAnsi="Times New Roman" w:cs="Times New Roman"/>
        </w:rPr>
        <w:fldChar w:fldCharType="end"/>
      </w:r>
      <w:r w:rsidR="00032CFF" w:rsidRPr="009A1C52">
        <w:rPr>
          <w:rFonts w:ascii="Times New Roman" w:hAnsi="Times New Roman" w:cs="Times New Roman"/>
        </w:rPr>
        <w:t xml:space="preserve"> </w:t>
      </w:r>
      <w:r w:rsidRPr="009063DD">
        <w:rPr>
          <w:rFonts w:ascii="Times New Roman" w:hAnsi="Times New Roman" w:cs="Times New Roman"/>
        </w:rPr>
        <w:t>This study was conducted to identify a description of the nutritional fulfillment of the elderly based on the needs of protein, carbohydrates, fat, and calcium.</w:t>
      </w:r>
    </w:p>
    <w:p w:rsidR="0062741B" w:rsidRPr="009A1C52" w:rsidRDefault="0062741B" w:rsidP="009A1C52">
      <w:pPr>
        <w:spacing w:after="0" w:line="240" w:lineRule="auto"/>
        <w:rPr>
          <w:rFonts w:ascii="Times New Roman" w:hAnsi="Times New Roman" w:cs="Times New Roman"/>
          <w:b/>
        </w:rPr>
      </w:pPr>
    </w:p>
    <w:p w:rsidR="009A1C52" w:rsidRPr="0048424E" w:rsidRDefault="009A1C52" w:rsidP="009A1C52">
      <w:pPr>
        <w:pStyle w:val="ListParagraph"/>
        <w:numPr>
          <w:ilvl w:val="0"/>
          <w:numId w:val="9"/>
        </w:numPr>
        <w:spacing w:after="0" w:line="240" w:lineRule="auto"/>
        <w:ind w:left="284" w:hanging="284"/>
        <w:rPr>
          <w:rFonts w:ascii="Times New Roman" w:hAnsi="Times New Roman"/>
          <w:b/>
        </w:rPr>
      </w:pPr>
      <w:r w:rsidRPr="0048424E">
        <w:rPr>
          <w:rFonts w:ascii="Times New Roman" w:hAnsi="Times New Roman"/>
          <w:b/>
        </w:rPr>
        <w:t>Methods</w:t>
      </w:r>
    </w:p>
    <w:p w:rsidR="0062741B" w:rsidRDefault="004A6640" w:rsidP="004A6640">
      <w:pPr>
        <w:spacing w:after="0" w:line="240" w:lineRule="auto"/>
        <w:jc w:val="both"/>
        <w:rPr>
          <w:rFonts w:ascii="Times New Roman" w:hAnsi="Times New Roman" w:cs="Times New Roman"/>
        </w:rPr>
      </w:pPr>
      <w:r w:rsidRPr="004A6640">
        <w:rPr>
          <w:rFonts w:ascii="Times New Roman" w:hAnsi="Times New Roman" w:cs="Times New Roman"/>
        </w:rPr>
        <w:t>This study is a quantitative study with a cross-sectional design. The population in this study were the elderly who were in Pagongan Village. The sampling technique uses accidental sampling. The data in this study are primary data, including gender, occupation, protein requirement, fat requirement, carbohydrate requirement, and calcium requirement. Data were collected using questionnaires and interviews. The data obtained in this study were analyzed using univariate analysis.</w:t>
      </w:r>
    </w:p>
    <w:p w:rsidR="004A6640" w:rsidRPr="004A6640" w:rsidRDefault="004A6640" w:rsidP="004A6640">
      <w:pPr>
        <w:spacing w:after="0" w:line="240" w:lineRule="auto"/>
        <w:jc w:val="both"/>
        <w:rPr>
          <w:rFonts w:ascii="Times New Roman" w:hAnsi="Times New Roman" w:cs="Times New Roman"/>
        </w:rPr>
      </w:pPr>
    </w:p>
    <w:p w:rsidR="009A1C52" w:rsidRPr="0048424E" w:rsidRDefault="009A1C52" w:rsidP="009A1C52">
      <w:pPr>
        <w:pStyle w:val="ListParagraph"/>
        <w:numPr>
          <w:ilvl w:val="0"/>
          <w:numId w:val="9"/>
        </w:numPr>
        <w:spacing w:after="0" w:line="240" w:lineRule="auto"/>
        <w:ind w:left="284" w:hanging="284"/>
        <w:rPr>
          <w:rFonts w:ascii="Times New Roman" w:hAnsi="Times New Roman"/>
          <w:b/>
        </w:rPr>
      </w:pPr>
      <w:r w:rsidRPr="0048424E">
        <w:rPr>
          <w:rFonts w:ascii="Times New Roman" w:hAnsi="Times New Roman"/>
          <w:b/>
        </w:rPr>
        <w:t>Results and Discussion</w:t>
      </w:r>
    </w:p>
    <w:p w:rsidR="0062741B" w:rsidRDefault="004A6640" w:rsidP="0062741B">
      <w:pPr>
        <w:spacing w:after="0" w:line="240" w:lineRule="auto"/>
        <w:jc w:val="both"/>
        <w:rPr>
          <w:rFonts w:ascii="Times New Roman" w:hAnsi="Times New Roman" w:cs="Times New Roman"/>
        </w:rPr>
      </w:pPr>
      <w:r w:rsidRPr="004A6640">
        <w:rPr>
          <w:rFonts w:ascii="Times New Roman" w:hAnsi="Times New Roman" w:cs="Times New Roman"/>
        </w:rPr>
        <w:t>This study was conducted to describe the nutritional fulfillment of the elderly based on the needs of carbohydrates, fats, proteins, and calcium. The research results obtained are as follows:</w:t>
      </w:r>
    </w:p>
    <w:p w:rsidR="004A6640" w:rsidRDefault="004A6640" w:rsidP="0062741B">
      <w:pPr>
        <w:spacing w:after="0" w:line="240" w:lineRule="auto"/>
        <w:jc w:val="both"/>
      </w:pPr>
    </w:p>
    <w:p w:rsidR="004A6640" w:rsidRDefault="004A6640" w:rsidP="004A6640">
      <w:pPr>
        <w:spacing w:after="0" w:line="240" w:lineRule="auto"/>
        <w:jc w:val="center"/>
        <w:rPr>
          <w:rFonts w:ascii="Times New Roman" w:eastAsia="Calibri" w:hAnsi="Times New Roman" w:cs="Times New Roman"/>
          <w:sz w:val="20"/>
          <w:szCs w:val="20"/>
          <w:lang w:val="id-ID"/>
        </w:rPr>
      </w:pPr>
      <w:r w:rsidRPr="00017FAC">
        <w:rPr>
          <w:rFonts w:ascii="Times New Roman" w:eastAsia="Calibri" w:hAnsi="Times New Roman" w:cs="Times New Roman"/>
          <w:b/>
          <w:sz w:val="20"/>
          <w:szCs w:val="20"/>
          <w:lang w:val="id-ID"/>
        </w:rPr>
        <w:t>Table 1.</w:t>
      </w:r>
      <w:r w:rsidRPr="00017FAC">
        <w:rPr>
          <w:rFonts w:ascii="Times New Roman" w:eastAsia="Calibri" w:hAnsi="Times New Roman" w:cs="Times New Roman"/>
          <w:sz w:val="20"/>
          <w:szCs w:val="20"/>
          <w:lang w:val="id-ID"/>
        </w:rPr>
        <w:t xml:space="preserve"> Characteristics of respondents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4A6640" w:rsidRPr="009A1C52" w:rsidTr="005E5731">
        <w:tc>
          <w:tcPr>
            <w:tcW w:w="3116" w:type="dxa"/>
          </w:tcPr>
          <w:p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Variab</w:t>
            </w:r>
            <w:r>
              <w:rPr>
                <w:rFonts w:ascii="Times New Roman" w:hAnsi="Times New Roman" w:cs="Times New Roman"/>
                <w:b/>
                <w:sz w:val="20"/>
                <w:szCs w:val="20"/>
              </w:rPr>
              <w:t>le</w:t>
            </w:r>
          </w:p>
        </w:tc>
        <w:tc>
          <w:tcPr>
            <w:tcW w:w="3117" w:type="dxa"/>
          </w:tcPr>
          <w:p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F</w:t>
            </w:r>
          </w:p>
        </w:tc>
        <w:tc>
          <w:tcPr>
            <w:tcW w:w="3117" w:type="dxa"/>
          </w:tcPr>
          <w:p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w:t>
            </w:r>
          </w:p>
        </w:tc>
      </w:tr>
      <w:tr w:rsidR="004A6640" w:rsidRPr="009A1C52" w:rsidTr="005E5731">
        <w:tc>
          <w:tcPr>
            <w:tcW w:w="3116" w:type="dxa"/>
          </w:tcPr>
          <w:p w:rsidR="004A6640" w:rsidRPr="009A1C52" w:rsidRDefault="004A6640" w:rsidP="005E5731">
            <w:pPr>
              <w:rPr>
                <w:rFonts w:ascii="Times New Roman" w:hAnsi="Times New Roman" w:cs="Times New Roman"/>
                <w:b/>
                <w:sz w:val="20"/>
                <w:szCs w:val="20"/>
              </w:rPr>
            </w:pPr>
            <w:r>
              <w:rPr>
                <w:rFonts w:ascii="Times New Roman" w:hAnsi="Times New Roman" w:cs="Times New Roman"/>
                <w:b/>
                <w:sz w:val="20"/>
                <w:szCs w:val="20"/>
              </w:rPr>
              <w:t>Gender</w:t>
            </w:r>
          </w:p>
          <w:p w:rsidR="004A6640" w:rsidRPr="009A1C52" w:rsidRDefault="004A6640" w:rsidP="005E5731">
            <w:pPr>
              <w:pStyle w:val="ListParagraph"/>
              <w:numPr>
                <w:ilvl w:val="0"/>
                <w:numId w:val="1"/>
              </w:numPr>
              <w:ind w:left="313" w:hanging="284"/>
              <w:rPr>
                <w:rFonts w:ascii="Times New Roman" w:hAnsi="Times New Roman" w:cs="Times New Roman"/>
                <w:sz w:val="20"/>
                <w:szCs w:val="20"/>
              </w:rPr>
            </w:pPr>
            <w:r>
              <w:rPr>
                <w:rFonts w:ascii="Times New Roman" w:hAnsi="Times New Roman" w:cs="Times New Roman"/>
                <w:sz w:val="20"/>
                <w:szCs w:val="20"/>
              </w:rPr>
              <w:t>Male</w:t>
            </w:r>
          </w:p>
          <w:p w:rsidR="004A6640" w:rsidRPr="009A1C52" w:rsidRDefault="004A6640" w:rsidP="005E5731">
            <w:pPr>
              <w:pStyle w:val="ListParagraph"/>
              <w:numPr>
                <w:ilvl w:val="0"/>
                <w:numId w:val="1"/>
              </w:numPr>
              <w:ind w:left="313" w:hanging="284"/>
              <w:rPr>
                <w:rFonts w:ascii="Times New Roman" w:hAnsi="Times New Roman" w:cs="Times New Roman"/>
                <w:sz w:val="20"/>
                <w:szCs w:val="20"/>
              </w:rPr>
            </w:pPr>
            <w:r>
              <w:rPr>
                <w:rFonts w:ascii="Times New Roman" w:hAnsi="Times New Roman" w:cs="Times New Roman"/>
                <w:sz w:val="20"/>
                <w:szCs w:val="20"/>
              </w:rPr>
              <w:t>Female</w:t>
            </w:r>
          </w:p>
          <w:p w:rsidR="004A6640" w:rsidRPr="009A1C52" w:rsidRDefault="004A6640" w:rsidP="005E5731">
            <w:pPr>
              <w:rPr>
                <w:rFonts w:ascii="Times New Roman" w:hAnsi="Times New Roman" w:cs="Times New Roman"/>
                <w:b/>
                <w:sz w:val="20"/>
                <w:szCs w:val="20"/>
              </w:rPr>
            </w:pPr>
            <w:r>
              <w:rPr>
                <w:rFonts w:ascii="Times New Roman" w:hAnsi="Times New Roman" w:cs="Times New Roman"/>
                <w:b/>
                <w:sz w:val="20"/>
                <w:szCs w:val="20"/>
              </w:rPr>
              <w:t>Work</w:t>
            </w:r>
          </w:p>
          <w:p w:rsidR="004A6640" w:rsidRPr="009A1C52" w:rsidRDefault="004A6640" w:rsidP="005E5731">
            <w:pPr>
              <w:pStyle w:val="ListParagraph"/>
              <w:numPr>
                <w:ilvl w:val="0"/>
                <w:numId w:val="2"/>
              </w:numPr>
              <w:ind w:left="313" w:hanging="284"/>
              <w:rPr>
                <w:rFonts w:ascii="Times New Roman" w:hAnsi="Times New Roman" w:cs="Times New Roman"/>
                <w:sz w:val="20"/>
                <w:szCs w:val="20"/>
              </w:rPr>
            </w:pPr>
            <w:r>
              <w:rPr>
                <w:rFonts w:ascii="Times New Roman" w:hAnsi="Times New Roman" w:cs="Times New Roman"/>
                <w:sz w:val="20"/>
                <w:szCs w:val="20"/>
              </w:rPr>
              <w:t>Work</w:t>
            </w:r>
          </w:p>
          <w:p w:rsidR="004A6640" w:rsidRPr="009A1C52" w:rsidRDefault="004A6640" w:rsidP="005E5731">
            <w:pPr>
              <w:pStyle w:val="ListParagraph"/>
              <w:numPr>
                <w:ilvl w:val="0"/>
                <w:numId w:val="2"/>
              </w:numPr>
              <w:ind w:left="313" w:hanging="284"/>
              <w:rPr>
                <w:rFonts w:ascii="Times New Roman" w:hAnsi="Times New Roman" w:cs="Times New Roman"/>
                <w:sz w:val="20"/>
                <w:szCs w:val="20"/>
              </w:rPr>
            </w:pPr>
            <w:r>
              <w:rPr>
                <w:rFonts w:ascii="Times New Roman" w:hAnsi="Times New Roman" w:cs="Times New Roman"/>
                <w:sz w:val="20"/>
                <w:szCs w:val="20"/>
              </w:rPr>
              <w:t>Not work</w:t>
            </w:r>
          </w:p>
        </w:tc>
        <w:tc>
          <w:tcPr>
            <w:tcW w:w="3117" w:type="dxa"/>
          </w:tcPr>
          <w:p w:rsidR="004A6640" w:rsidRPr="009A1C52" w:rsidRDefault="004A6640" w:rsidP="005E5731">
            <w:pPr>
              <w:jc w:val="center"/>
              <w:rPr>
                <w:rFonts w:ascii="Times New Roman" w:hAnsi="Times New Roman" w:cs="Times New Roman"/>
                <w:sz w:val="20"/>
                <w:szCs w:val="20"/>
              </w:rPr>
            </w:pP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8</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16</w:t>
            </w:r>
          </w:p>
          <w:p w:rsidR="004A6640" w:rsidRPr="009A1C52" w:rsidRDefault="004A6640" w:rsidP="005E5731">
            <w:pPr>
              <w:jc w:val="center"/>
              <w:rPr>
                <w:rFonts w:ascii="Times New Roman" w:hAnsi="Times New Roman" w:cs="Times New Roman"/>
                <w:sz w:val="20"/>
                <w:szCs w:val="20"/>
              </w:rPr>
            </w:pP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6</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18</w:t>
            </w:r>
          </w:p>
        </w:tc>
        <w:tc>
          <w:tcPr>
            <w:tcW w:w="3117" w:type="dxa"/>
          </w:tcPr>
          <w:p w:rsidR="004A6640" w:rsidRPr="009A1C52" w:rsidRDefault="004A6640" w:rsidP="005E5731">
            <w:pPr>
              <w:jc w:val="center"/>
              <w:rPr>
                <w:rFonts w:ascii="Times New Roman" w:hAnsi="Times New Roman" w:cs="Times New Roman"/>
                <w:sz w:val="20"/>
                <w:szCs w:val="20"/>
              </w:rPr>
            </w:pP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33.3%</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66.7%</w:t>
            </w:r>
          </w:p>
          <w:p w:rsidR="004A6640" w:rsidRPr="009A1C52" w:rsidRDefault="004A6640" w:rsidP="005E5731">
            <w:pPr>
              <w:jc w:val="center"/>
              <w:rPr>
                <w:rFonts w:ascii="Times New Roman" w:hAnsi="Times New Roman" w:cs="Times New Roman"/>
                <w:sz w:val="20"/>
                <w:szCs w:val="20"/>
              </w:rPr>
            </w:pP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25%</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75%</w:t>
            </w:r>
          </w:p>
        </w:tc>
      </w:tr>
    </w:tbl>
    <w:p w:rsidR="005C5CE7" w:rsidRPr="009A1C52" w:rsidRDefault="005C5CE7">
      <w:pPr>
        <w:rPr>
          <w:rFonts w:ascii="Times New Roman" w:hAnsi="Times New Roman" w:cs="Times New Roman"/>
          <w:sz w:val="20"/>
          <w:szCs w:val="20"/>
        </w:rPr>
      </w:pPr>
    </w:p>
    <w:p w:rsidR="0062741B" w:rsidRDefault="004A6640" w:rsidP="0062741B">
      <w:pPr>
        <w:spacing w:after="0" w:line="240" w:lineRule="auto"/>
        <w:jc w:val="both"/>
        <w:rPr>
          <w:rFonts w:ascii="Times New Roman" w:hAnsi="Times New Roman" w:cs="Times New Roman"/>
        </w:rPr>
      </w:pPr>
      <w:r w:rsidRPr="004A6640">
        <w:rPr>
          <w:rFonts w:ascii="Times New Roman" w:hAnsi="Times New Roman" w:cs="Times New Roman"/>
        </w:rPr>
        <w:t>The majority of respondents in this study were elderly females, with 66.7%, and the majority did not work as much as 75%. While the description of the fulfillment of elderly nutrition based on the fulfillment of carbohydrate, fat, protein, and calcium needs can be seen in Table 2 below:</w:t>
      </w:r>
    </w:p>
    <w:p w:rsidR="004A6640" w:rsidRDefault="004A6640" w:rsidP="0062741B">
      <w:pPr>
        <w:spacing w:after="0" w:line="240" w:lineRule="auto"/>
        <w:jc w:val="both"/>
      </w:pPr>
    </w:p>
    <w:p w:rsidR="004A6640" w:rsidRDefault="004A6640" w:rsidP="004A6640">
      <w:pPr>
        <w:spacing w:after="0" w:line="240" w:lineRule="auto"/>
        <w:jc w:val="center"/>
        <w:rPr>
          <w:rFonts w:ascii="Times New Roman" w:eastAsia="Calibri" w:hAnsi="Times New Roman" w:cs="Times New Roman"/>
          <w:sz w:val="20"/>
          <w:szCs w:val="20"/>
          <w:lang w:val="id-ID"/>
        </w:rPr>
      </w:pPr>
      <w:r w:rsidRPr="00017FAC">
        <w:rPr>
          <w:rFonts w:ascii="Times New Roman" w:eastAsia="Calibri" w:hAnsi="Times New Roman" w:cs="Times New Roman"/>
          <w:b/>
          <w:sz w:val="20"/>
          <w:szCs w:val="20"/>
          <w:lang w:val="id-ID"/>
        </w:rPr>
        <w:t>Table 2.</w:t>
      </w:r>
      <w:r w:rsidRPr="00017FAC">
        <w:rPr>
          <w:rFonts w:ascii="Times New Roman" w:eastAsia="Calibri" w:hAnsi="Times New Roman" w:cs="Times New Roman"/>
          <w:sz w:val="20"/>
          <w:szCs w:val="20"/>
          <w:lang w:val="id-ID"/>
        </w:rPr>
        <w:t xml:space="preserve"> Overview of Fulfilling the Nutritional Needs of the Elderly</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6"/>
        <w:gridCol w:w="3117"/>
        <w:gridCol w:w="3117"/>
      </w:tblGrid>
      <w:tr w:rsidR="004A6640" w:rsidRPr="009A1C52" w:rsidTr="005E5731">
        <w:tc>
          <w:tcPr>
            <w:tcW w:w="3116" w:type="dxa"/>
          </w:tcPr>
          <w:p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Variab</w:t>
            </w:r>
            <w:r>
              <w:rPr>
                <w:rFonts w:ascii="Times New Roman" w:hAnsi="Times New Roman" w:cs="Times New Roman"/>
                <w:b/>
                <w:sz w:val="20"/>
                <w:szCs w:val="20"/>
              </w:rPr>
              <w:t>le</w:t>
            </w:r>
          </w:p>
        </w:tc>
        <w:tc>
          <w:tcPr>
            <w:tcW w:w="3117" w:type="dxa"/>
          </w:tcPr>
          <w:p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F</w:t>
            </w:r>
          </w:p>
        </w:tc>
        <w:tc>
          <w:tcPr>
            <w:tcW w:w="3117" w:type="dxa"/>
          </w:tcPr>
          <w:p w:rsidR="004A6640" w:rsidRPr="009A1C52" w:rsidRDefault="004A6640" w:rsidP="005E5731">
            <w:pPr>
              <w:jc w:val="center"/>
              <w:rPr>
                <w:rFonts w:ascii="Times New Roman" w:hAnsi="Times New Roman" w:cs="Times New Roman"/>
                <w:b/>
                <w:sz w:val="20"/>
                <w:szCs w:val="20"/>
              </w:rPr>
            </w:pPr>
            <w:r w:rsidRPr="009A1C52">
              <w:rPr>
                <w:rFonts w:ascii="Times New Roman" w:hAnsi="Times New Roman" w:cs="Times New Roman"/>
                <w:b/>
                <w:sz w:val="20"/>
                <w:szCs w:val="20"/>
              </w:rPr>
              <w:t>%</w:t>
            </w:r>
          </w:p>
        </w:tc>
      </w:tr>
      <w:tr w:rsidR="004A6640" w:rsidRPr="009A1C52" w:rsidTr="005E5731">
        <w:tc>
          <w:tcPr>
            <w:tcW w:w="3116" w:type="dxa"/>
          </w:tcPr>
          <w:p w:rsidR="004A6640" w:rsidRPr="009A1C52" w:rsidRDefault="004A6640" w:rsidP="005E5731">
            <w:pPr>
              <w:rPr>
                <w:rFonts w:ascii="Times New Roman" w:hAnsi="Times New Roman" w:cs="Times New Roman"/>
                <w:b/>
                <w:sz w:val="20"/>
                <w:szCs w:val="20"/>
              </w:rPr>
            </w:pPr>
            <w:r w:rsidRPr="009A1C52">
              <w:rPr>
                <w:rFonts w:ascii="Times New Roman" w:hAnsi="Times New Roman" w:cs="Times New Roman"/>
                <w:b/>
                <w:sz w:val="20"/>
                <w:szCs w:val="20"/>
              </w:rPr>
              <w:t>Protein</w:t>
            </w:r>
          </w:p>
          <w:p w:rsidR="004A6640" w:rsidRPr="0066791A" w:rsidRDefault="004A6640" w:rsidP="004A6640">
            <w:pPr>
              <w:pStyle w:val="ListParagraph"/>
              <w:numPr>
                <w:ilvl w:val="0"/>
                <w:numId w:val="7"/>
              </w:numPr>
              <w:ind w:left="318" w:hanging="284"/>
              <w:rPr>
                <w:rFonts w:ascii="Times New Roman" w:hAnsi="Times New Roman" w:cs="Times New Roman"/>
                <w:sz w:val="20"/>
                <w:szCs w:val="20"/>
              </w:rPr>
            </w:pPr>
            <w:r w:rsidRPr="0066791A">
              <w:rPr>
                <w:rFonts w:ascii="Times New Roman" w:hAnsi="Times New Roman" w:cs="Times New Roman"/>
                <w:sz w:val="20"/>
                <w:szCs w:val="20"/>
              </w:rPr>
              <w:t>Less</w:t>
            </w:r>
          </w:p>
          <w:p w:rsidR="004A6640" w:rsidRPr="0066791A" w:rsidRDefault="004A6640" w:rsidP="004A6640">
            <w:pPr>
              <w:pStyle w:val="ListParagraph"/>
              <w:numPr>
                <w:ilvl w:val="0"/>
                <w:numId w:val="7"/>
              </w:numPr>
              <w:ind w:left="318" w:hanging="284"/>
              <w:rPr>
                <w:rFonts w:ascii="Times New Roman" w:hAnsi="Times New Roman" w:cs="Times New Roman"/>
                <w:sz w:val="20"/>
                <w:szCs w:val="20"/>
              </w:rPr>
            </w:pPr>
            <w:r w:rsidRPr="0066791A">
              <w:rPr>
                <w:rFonts w:ascii="Times New Roman" w:hAnsi="Times New Roman" w:cs="Times New Roman"/>
                <w:sz w:val="20"/>
                <w:szCs w:val="20"/>
              </w:rPr>
              <w:t>As needed</w:t>
            </w:r>
          </w:p>
          <w:p w:rsidR="004A6640" w:rsidRPr="009A1C52" w:rsidRDefault="004A6640" w:rsidP="004A6640">
            <w:pPr>
              <w:pStyle w:val="ListParagraph"/>
              <w:numPr>
                <w:ilvl w:val="0"/>
                <w:numId w:val="7"/>
              </w:numPr>
              <w:ind w:left="318" w:hanging="284"/>
              <w:rPr>
                <w:rFonts w:ascii="Times New Roman" w:hAnsi="Times New Roman" w:cs="Times New Roman"/>
                <w:sz w:val="20"/>
                <w:szCs w:val="20"/>
              </w:rPr>
            </w:pPr>
            <w:r w:rsidRPr="0066791A">
              <w:rPr>
                <w:rFonts w:ascii="Times New Roman" w:hAnsi="Times New Roman" w:cs="Times New Roman"/>
                <w:sz w:val="20"/>
                <w:szCs w:val="20"/>
              </w:rPr>
              <w:t>More</w:t>
            </w:r>
          </w:p>
          <w:p w:rsidR="004A6640" w:rsidRPr="009A1C52" w:rsidRDefault="004A6640" w:rsidP="005E5731">
            <w:pPr>
              <w:rPr>
                <w:rFonts w:ascii="Times New Roman" w:hAnsi="Times New Roman" w:cs="Times New Roman"/>
                <w:b/>
                <w:sz w:val="20"/>
                <w:szCs w:val="20"/>
              </w:rPr>
            </w:pPr>
            <w:r>
              <w:rPr>
                <w:rFonts w:ascii="Times New Roman" w:hAnsi="Times New Roman" w:cs="Times New Roman"/>
                <w:b/>
                <w:sz w:val="20"/>
                <w:szCs w:val="20"/>
              </w:rPr>
              <w:t>Fat</w:t>
            </w:r>
          </w:p>
          <w:p w:rsidR="004A6640" w:rsidRPr="0066791A" w:rsidRDefault="004A6640" w:rsidP="004A6640">
            <w:pPr>
              <w:pStyle w:val="ListParagraph"/>
              <w:numPr>
                <w:ilvl w:val="0"/>
                <w:numId w:val="11"/>
              </w:numPr>
              <w:ind w:left="318" w:hanging="284"/>
              <w:rPr>
                <w:rFonts w:ascii="Times New Roman" w:hAnsi="Times New Roman" w:cs="Times New Roman"/>
                <w:sz w:val="20"/>
                <w:szCs w:val="20"/>
              </w:rPr>
            </w:pPr>
            <w:r w:rsidRPr="0066791A">
              <w:rPr>
                <w:rFonts w:ascii="Times New Roman" w:hAnsi="Times New Roman" w:cs="Times New Roman"/>
                <w:sz w:val="20"/>
                <w:szCs w:val="20"/>
              </w:rPr>
              <w:t>Less</w:t>
            </w:r>
          </w:p>
          <w:p w:rsidR="004A6640" w:rsidRPr="0066791A" w:rsidRDefault="004A6640" w:rsidP="004A6640">
            <w:pPr>
              <w:pStyle w:val="ListParagraph"/>
              <w:numPr>
                <w:ilvl w:val="0"/>
                <w:numId w:val="11"/>
              </w:numPr>
              <w:ind w:left="318" w:hanging="284"/>
              <w:rPr>
                <w:rFonts w:ascii="Times New Roman" w:hAnsi="Times New Roman" w:cs="Times New Roman"/>
                <w:sz w:val="20"/>
                <w:szCs w:val="20"/>
              </w:rPr>
            </w:pPr>
            <w:r w:rsidRPr="0066791A">
              <w:rPr>
                <w:rFonts w:ascii="Times New Roman" w:hAnsi="Times New Roman" w:cs="Times New Roman"/>
                <w:sz w:val="20"/>
                <w:szCs w:val="20"/>
              </w:rPr>
              <w:t>As needed</w:t>
            </w:r>
          </w:p>
          <w:p w:rsidR="004A6640" w:rsidRPr="009A1C52" w:rsidRDefault="004A6640" w:rsidP="004A6640">
            <w:pPr>
              <w:pStyle w:val="ListParagraph"/>
              <w:numPr>
                <w:ilvl w:val="0"/>
                <w:numId w:val="11"/>
              </w:numPr>
              <w:ind w:left="318" w:hanging="284"/>
              <w:rPr>
                <w:rFonts w:ascii="Times New Roman" w:hAnsi="Times New Roman" w:cs="Times New Roman"/>
                <w:b/>
                <w:sz w:val="20"/>
                <w:szCs w:val="20"/>
              </w:rPr>
            </w:pPr>
            <w:r w:rsidRPr="0066791A">
              <w:rPr>
                <w:rFonts w:ascii="Times New Roman" w:hAnsi="Times New Roman" w:cs="Times New Roman"/>
                <w:sz w:val="20"/>
                <w:szCs w:val="20"/>
              </w:rPr>
              <w:t>More</w:t>
            </w:r>
          </w:p>
          <w:p w:rsidR="004A6640" w:rsidRPr="009A1C52" w:rsidRDefault="004A6640" w:rsidP="005E5731">
            <w:pPr>
              <w:rPr>
                <w:rFonts w:ascii="Times New Roman" w:hAnsi="Times New Roman" w:cs="Times New Roman"/>
                <w:b/>
                <w:sz w:val="20"/>
                <w:szCs w:val="20"/>
              </w:rPr>
            </w:pPr>
            <w:r>
              <w:rPr>
                <w:rFonts w:ascii="Times New Roman" w:hAnsi="Times New Roman" w:cs="Times New Roman"/>
                <w:b/>
                <w:sz w:val="20"/>
                <w:szCs w:val="20"/>
              </w:rPr>
              <w:t>Carbohydrate</w:t>
            </w:r>
          </w:p>
          <w:p w:rsidR="004A6640" w:rsidRPr="0066791A" w:rsidRDefault="004A6640" w:rsidP="004A6640">
            <w:pPr>
              <w:pStyle w:val="ListParagraph"/>
              <w:numPr>
                <w:ilvl w:val="0"/>
                <w:numId w:val="12"/>
              </w:numPr>
              <w:ind w:left="318" w:hanging="284"/>
              <w:rPr>
                <w:rFonts w:ascii="Times New Roman" w:hAnsi="Times New Roman" w:cs="Times New Roman"/>
                <w:sz w:val="20"/>
                <w:szCs w:val="20"/>
              </w:rPr>
            </w:pPr>
            <w:r w:rsidRPr="0066791A">
              <w:rPr>
                <w:rFonts w:ascii="Times New Roman" w:hAnsi="Times New Roman" w:cs="Times New Roman"/>
                <w:sz w:val="20"/>
                <w:szCs w:val="20"/>
              </w:rPr>
              <w:t>Less</w:t>
            </w:r>
          </w:p>
          <w:p w:rsidR="004A6640" w:rsidRPr="0066791A" w:rsidRDefault="004A6640" w:rsidP="004A6640">
            <w:pPr>
              <w:pStyle w:val="ListParagraph"/>
              <w:numPr>
                <w:ilvl w:val="0"/>
                <w:numId w:val="12"/>
              </w:numPr>
              <w:ind w:left="318" w:hanging="284"/>
              <w:rPr>
                <w:rFonts w:ascii="Times New Roman" w:hAnsi="Times New Roman" w:cs="Times New Roman"/>
                <w:sz w:val="20"/>
                <w:szCs w:val="20"/>
              </w:rPr>
            </w:pPr>
            <w:r w:rsidRPr="0066791A">
              <w:rPr>
                <w:rFonts w:ascii="Times New Roman" w:hAnsi="Times New Roman" w:cs="Times New Roman"/>
                <w:sz w:val="20"/>
                <w:szCs w:val="20"/>
              </w:rPr>
              <w:t>As needed</w:t>
            </w:r>
          </w:p>
          <w:p w:rsidR="004A6640" w:rsidRPr="0066791A" w:rsidRDefault="004A6640" w:rsidP="004A6640">
            <w:pPr>
              <w:pStyle w:val="ListParagraph"/>
              <w:numPr>
                <w:ilvl w:val="0"/>
                <w:numId w:val="12"/>
              </w:numPr>
              <w:ind w:left="318" w:hanging="284"/>
              <w:rPr>
                <w:rFonts w:ascii="Times New Roman" w:hAnsi="Times New Roman" w:cs="Times New Roman"/>
                <w:b/>
                <w:sz w:val="20"/>
                <w:szCs w:val="20"/>
              </w:rPr>
            </w:pPr>
            <w:r w:rsidRPr="0066791A">
              <w:rPr>
                <w:rFonts w:ascii="Times New Roman" w:hAnsi="Times New Roman" w:cs="Times New Roman"/>
                <w:sz w:val="20"/>
                <w:szCs w:val="20"/>
              </w:rPr>
              <w:t>More</w:t>
            </w:r>
            <w:r w:rsidRPr="0066791A">
              <w:rPr>
                <w:rFonts w:ascii="Times New Roman" w:hAnsi="Times New Roman" w:cs="Times New Roman"/>
                <w:b/>
                <w:sz w:val="20"/>
                <w:szCs w:val="20"/>
              </w:rPr>
              <w:t xml:space="preserve"> </w:t>
            </w:r>
          </w:p>
          <w:p w:rsidR="004A6640" w:rsidRPr="009A1C52" w:rsidRDefault="004A6640" w:rsidP="005E5731">
            <w:pPr>
              <w:rPr>
                <w:rFonts w:ascii="Times New Roman" w:hAnsi="Times New Roman" w:cs="Times New Roman"/>
                <w:b/>
                <w:sz w:val="20"/>
                <w:szCs w:val="20"/>
              </w:rPr>
            </w:pPr>
            <w:r>
              <w:rPr>
                <w:rFonts w:ascii="Times New Roman" w:hAnsi="Times New Roman" w:cs="Times New Roman"/>
                <w:b/>
                <w:sz w:val="20"/>
                <w:szCs w:val="20"/>
              </w:rPr>
              <w:t>Calcium</w:t>
            </w:r>
          </w:p>
          <w:p w:rsidR="004A6640" w:rsidRPr="0066791A" w:rsidRDefault="004A6640" w:rsidP="004A6640">
            <w:pPr>
              <w:pStyle w:val="ListParagraph"/>
              <w:numPr>
                <w:ilvl w:val="0"/>
                <w:numId w:val="13"/>
              </w:numPr>
              <w:ind w:left="318" w:hanging="284"/>
              <w:rPr>
                <w:rFonts w:ascii="Times New Roman" w:hAnsi="Times New Roman" w:cs="Times New Roman"/>
                <w:sz w:val="20"/>
                <w:szCs w:val="20"/>
              </w:rPr>
            </w:pPr>
            <w:r w:rsidRPr="0066791A">
              <w:rPr>
                <w:rFonts w:ascii="Times New Roman" w:hAnsi="Times New Roman" w:cs="Times New Roman"/>
                <w:sz w:val="20"/>
                <w:szCs w:val="20"/>
              </w:rPr>
              <w:t>Less</w:t>
            </w:r>
          </w:p>
          <w:p w:rsidR="004A6640" w:rsidRPr="0066791A" w:rsidRDefault="004A6640" w:rsidP="004A6640">
            <w:pPr>
              <w:pStyle w:val="ListParagraph"/>
              <w:numPr>
                <w:ilvl w:val="0"/>
                <w:numId w:val="13"/>
              </w:numPr>
              <w:ind w:left="318" w:hanging="284"/>
              <w:rPr>
                <w:rFonts w:ascii="Times New Roman" w:hAnsi="Times New Roman" w:cs="Times New Roman"/>
                <w:sz w:val="20"/>
                <w:szCs w:val="20"/>
              </w:rPr>
            </w:pPr>
            <w:r w:rsidRPr="0066791A">
              <w:rPr>
                <w:rFonts w:ascii="Times New Roman" w:hAnsi="Times New Roman" w:cs="Times New Roman"/>
                <w:sz w:val="20"/>
                <w:szCs w:val="20"/>
              </w:rPr>
              <w:t>As needed</w:t>
            </w:r>
          </w:p>
          <w:p w:rsidR="004A6640" w:rsidRPr="009A1C52" w:rsidRDefault="004A6640" w:rsidP="004A6640">
            <w:pPr>
              <w:pStyle w:val="ListParagraph"/>
              <w:numPr>
                <w:ilvl w:val="0"/>
                <w:numId w:val="13"/>
              </w:numPr>
              <w:ind w:left="318" w:hanging="284"/>
              <w:rPr>
                <w:rFonts w:ascii="Times New Roman" w:hAnsi="Times New Roman" w:cs="Times New Roman"/>
                <w:sz w:val="20"/>
                <w:szCs w:val="20"/>
              </w:rPr>
            </w:pPr>
            <w:r w:rsidRPr="0066791A">
              <w:rPr>
                <w:rFonts w:ascii="Times New Roman" w:hAnsi="Times New Roman" w:cs="Times New Roman"/>
                <w:sz w:val="20"/>
                <w:szCs w:val="20"/>
              </w:rPr>
              <w:t>More</w:t>
            </w:r>
          </w:p>
        </w:tc>
        <w:tc>
          <w:tcPr>
            <w:tcW w:w="3117" w:type="dxa"/>
          </w:tcPr>
          <w:p w:rsidR="004A6640" w:rsidRPr="009A1C52" w:rsidRDefault="004A6640" w:rsidP="005E5731">
            <w:pPr>
              <w:rPr>
                <w:rFonts w:ascii="Times New Roman" w:hAnsi="Times New Roman" w:cs="Times New Roman"/>
                <w:sz w:val="20"/>
                <w:szCs w:val="20"/>
              </w:rPr>
            </w:pP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20</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0</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4</w:t>
            </w:r>
          </w:p>
          <w:p w:rsidR="004A6640" w:rsidRPr="009A1C52" w:rsidRDefault="004A6640" w:rsidP="005E5731">
            <w:pPr>
              <w:jc w:val="center"/>
              <w:rPr>
                <w:rFonts w:ascii="Times New Roman" w:hAnsi="Times New Roman" w:cs="Times New Roman"/>
                <w:sz w:val="20"/>
                <w:szCs w:val="20"/>
              </w:rPr>
            </w:pP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19</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0</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5</w:t>
            </w:r>
          </w:p>
          <w:p w:rsidR="004A6640" w:rsidRPr="009A1C52" w:rsidRDefault="004A6640" w:rsidP="005E5731">
            <w:pPr>
              <w:jc w:val="center"/>
              <w:rPr>
                <w:rFonts w:ascii="Times New Roman" w:hAnsi="Times New Roman" w:cs="Times New Roman"/>
                <w:sz w:val="20"/>
                <w:szCs w:val="20"/>
              </w:rPr>
            </w:pP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19</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0</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5</w:t>
            </w:r>
          </w:p>
          <w:p w:rsidR="004A6640" w:rsidRPr="009A1C52" w:rsidRDefault="004A6640" w:rsidP="005E5731">
            <w:pPr>
              <w:jc w:val="center"/>
              <w:rPr>
                <w:rFonts w:ascii="Times New Roman" w:hAnsi="Times New Roman" w:cs="Times New Roman"/>
                <w:sz w:val="20"/>
                <w:szCs w:val="20"/>
              </w:rPr>
            </w:pP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16</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0</w:t>
            </w:r>
          </w:p>
          <w:p w:rsidR="004A6640" w:rsidRPr="009A1C52" w:rsidRDefault="004A6640" w:rsidP="005E5731">
            <w:pPr>
              <w:jc w:val="center"/>
              <w:rPr>
                <w:rFonts w:ascii="Times New Roman" w:hAnsi="Times New Roman" w:cs="Times New Roman"/>
                <w:sz w:val="20"/>
                <w:szCs w:val="20"/>
              </w:rPr>
            </w:pPr>
            <w:r w:rsidRPr="009A1C52">
              <w:rPr>
                <w:rFonts w:ascii="Times New Roman" w:hAnsi="Times New Roman" w:cs="Times New Roman"/>
                <w:sz w:val="20"/>
                <w:szCs w:val="20"/>
              </w:rPr>
              <w:t>8</w:t>
            </w:r>
          </w:p>
        </w:tc>
        <w:tc>
          <w:tcPr>
            <w:tcW w:w="3117" w:type="dxa"/>
          </w:tcPr>
          <w:p w:rsidR="004A6640" w:rsidRPr="009A1C52" w:rsidRDefault="004A6640" w:rsidP="005E5731">
            <w:pPr>
              <w:rPr>
                <w:rFonts w:ascii="Times New Roman" w:hAnsi="Times New Roman" w:cs="Times New Roman"/>
                <w:sz w:val="20"/>
                <w:szCs w:val="20"/>
              </w:rPr>
            </w:pP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83.3%</w:t>
            </w: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0%</w:t>
            </w: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16.7%</w:t>
            </w:r>
          </w:p>
          <w:p w:rsidR="004A6640" w:rsidRPr="009A1C52" w:rsidRDefault="004A6640" w:rsidP="005E5731">
            <w:pPr>
              <w:rPr>
                <w:rFonts w:ascii="Times New Roman" w:hAnsi="Times New Roman" w:cs="Times New Roman"/>
                <w:sz w:val="20"/>
                <w:szCs w:val="20"/>
              </w:rPr>
            </w:pP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79.2%</w:t>
            </w: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0%</w:t>
            </w: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20.8%</w:t>
            </w:r>
          </w:p>
          <w:p w:rsidR="004A6640" w:rsidRPr="009A1C52" w:rsidRDefault="004A6640" w:rsidP="005E5731">
            <w:pPr>
              <w:rPr>
                <w:rFonts w:ascii="Times New Roman" w:hAnsi="Times New Roman" w:cs="Times New Roman"/>
                <w:sz w:val="20"/>
                <w:szCs w:val="20"/>
              </w:rPr>
            </w:pP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79.2%</w:t>
            </w: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0%</w:t>
            </w: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20.8%</w:t>
            </w:r>
          </w:p>
          <w:p w:rsidR="004A6640" w:rsidRPr="009A1C52" w:rsidRDefault="004A6640" w:rsidP="005E5731">
            <w:pPr>
              <w:rPr>
                <w:rFonts w:ascii="Times New Roman" w:hAnsi="Times New Roman" w:cs="Times New Roman"/>
                <w:sz w:val="20"/>
                <w:szCs w:val="20"/>
              </w:rPr>
            </w:pP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66.7%</w:t>
            </w: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0%</w:t>
            </w:r>
          </w:p>
          <w:p w:rsidR="004A6640" w:rsidRPr="009A1C52" w:rsidRDefault="004A6640" w:rsidP="005E5731">
            <w:pPr>
              <w:rPr>
                <w:rFonts w:ascii="Times New Roman" w:hAnsi="Times New Roman" w:cs="Times New Roman"/>
                <w:sz w:val="20"/>
                <w:szCs w:val="20"/>
              </w:rPr>
            </w:pPr>
            <w:r w:rsidRPr="009A1C52">
              <w:rPr>
                <w:rFonts w:ascii="Times New Roman" w:hAnsi="Times New Roman" w:cs="Times New Roman"/>
                <w:sz w:val="20"/>
                <w:szCs w:val="20"/>
              </w:rPr>
              <w:t>33.3%</w:t>
            </w:r>
          </w:p>
        </w:tc>
      </w:tr>
    </w:tbl>
    <w:p w:rsidR="00D2712D" w:rsidRPr="009A1C52" w:rsidRDefault="00D2712D" w:rsidP="009A1C52">
      <w:pPr>
        <w:spacing w:after="0" w:line="240" w:lineRule="auto"/>
        <w:rPr>
          <w:rFonts w:ascii="Times New Roman" w:hAnsi="Times New Roman" w:cs="Times New Roman"/>
        </w:rPr>
      </w:pPr>
    </w:p>
    <w:p w:rsidR="00032CFF" w:rsidRPr="009A1C52" w:rsidRDefault="004A6640" w:rsidP="009A1C52">
      <w:pPr>
        <w:spacing w:after="0" w:line="240" w:lineRule="auto"/>
        <w:jc w:val="both"/>
        <w:rPr>
          <w:rFonts w:ascii="Times New Roman" w:hAnsi="Times New Roman" w:cs="Times New Roman"/>
          <w:color w:val="303030"/>
          <w:shd w:val="clear" w:color="auto" w:fill="FFFFFF"/>
        </w:rPr>
      </w:pPr>
      <w:r w:rsidRPr="004A6640">
        <w:rPr>
          <w:rFonts w:ascii="Times New Roman" w:hAnsi="Times New Roman" w:cs="Times New Roman"/>
        </w:rPr>
        <w:t>The study results showed that most of the elderly lack protein needs as much as 83.3%. The same finding was also found in the elderly in Korea, where protein intake in the elderly was also found to be less.</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{"citationItems":[{"id":"ITEM-1","itemData":{"DOI":"https://doi.org/10.3390/nu13072392","author":[{"dropping-particle":"","family":"Kim, Y. M., Yang, N., &amp; Kim","given":"K.","non-dropping-particle":"","parse-names":false,"suffix":""}],"container-title":"Nutrients","id":"ITEM-1","issue":"7","issued":{"date-parts":[["2021"]]},"page":"2392","title":"Effects of Perceived Food Store Environment on Malnutrition and Frailty among the Food-Insecure Elderly in a Metropolitan City","type":"article-journal","volume":"13"},"uris":["http://www.mendeley.com/documents/?uuid=5cc6b1c9-d282-41f6-881b-6cd640e182cc"]}],"mendeley":{"formattedCitation":"[6]","plainTextFormattedCitation":"[6]","previouslyFormattedCitation":"[6]"},"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[6]</w:t>
      </w:r>
      <w:r w:rsidR="00032CFF" w:rsidRPr="009A1C52">
        <w:rPr>
          <w:rFonts w:ascii="Times New Roman" w:hAnsi="Times New Roman" w:cs="Times New Roman"/>
        </w:rPr>
        <w:fldChar w:fldCharType="end"/>
      </w:r>
      <w:r w:rsidR="00032CFF" w:rsidRPr="009A1C52">
        <w:rPr>
          <w:rFonts w:ascii="Times New Roman" w:hAnsi="Times New Roman" w:cs="Times New Roman"/>
        </w:rPr>
        <w:t xml:space="preserve"> </w:t>
      </w:r>
      <w:r w:rsidRPr="004A6640">
        <w:rPr>
          <w:rFonts w:ascii="Times New Roman" w:hAnsi="Times New Roman" w:cs="Times New Roman"/>
        </w:rPr>
        <w:t>Good protein intake in the elderly can reduce muscle mass loss associated with increasing age. Lack of protein intake in the elderly can cause a negative balance of protein levels that impact skeletal muscle atrophy, impaired muscle growth, functional decline, and decreased muscle response to protein intake (anabolic).</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{"citationItems":[{"id":"ITEM-1","itemData":{"DOI":"https://doi.org/10.3390/nu10091334","author":[{"dropping-particle":"","family":"Coelho-Júnior, H. J., Rodrigues, B., Uchida, M., &amp; Marzetti","given":"E.","non-dropping-particle":"","parse-names":false,"suffix":""}],"container-title":"Nutrients","id":"ITEM-1","issue":"9","issued":{"date-parts":[["2018"]]},"page":"1334","title":"Low Protein Intake Is Associated with Frailty in Older Adults: A Systematic Review and Meta-Analysis of Observational Studies","type":"article-journal","volume":"10"},"uris":["http://www.mendeley.com/documents/?uuid=e693b5ed-e477-4259-80b7-01d5ef0ec29c"]}],"mendeley":{"formattedCitation":"[7]","plainTextFormattedCitation":"[7]","previouslyFormattedCitation":"[7]"},"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[7]</w:t>
      </w:r>
      <w:r w:rsidR="00032CFF" w:rsidRPr="009A1C52">
        <w:rPr>
          <w:rFonts w:ascii="Times New Roman" w:hAnsi="Times New Roman" w:cs="Times New Roman"/>
        </w:rPr>
        <w:fldChar w:fldCharType="end"/>
      </w:r>
    </w:p>
    <w:p w:rsidR="00032CFF" w:rsidRPr="009A1C52" w:rsidRDefault="004A6640" w:rsidP="009A1C52">
      <w:pPr>
        <w:spacing w:after="0" w:line="240" w:lineRule="auto"/>
        <w:jc w:val="both"/>
        <w:rPr>
          <w:rFonts w:ascii="Times New Roman" w:hAnsi="Times New Roman" w:cs="Times New Roman"/>
        </w:rPr>
      </w:pPr>
      <w:r w:rsidRPr="004A6640">
        <w:rPr>
          <w:rFonts w:ascii="Times New Roman" w:hAnsi="Times New Roman" w:cs="Times New Roman"/>
        </w:rPr>
        <w:t>In the study, it was stated that lower protein consumption at breakfast and higher at lunch impacted the weakness of the elderly. In addition, the amount of total and animal protein consumed was associated with reduced lean mass, whereas the elderly who consumed higher protein would lose fat mass. % less than the elderly, who only consume small amounts of protein.</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{"citationItems":[{"id":"ITEM-1","itemData":{"DOI":"https://doi.org/10.1093/gerona/glw033","author":[{"dropping-particle":"","family":"Helena Sandoval-Insausti, Raúl F. Pérez-Tasigchana, Esther López-García, Esther García-Esquinas, Fernando Rodríguez-Artalejo","given":"Pilar Guallar-Castillón","non-dropping-particle":"","parse-names":false,"suffix":""}],"container-title":"The Journals of Gerontology: Series A","id":"ITEM-1","issue":"10","issued":{"date-parts":[["2016"]]},"page":"1329-1334","title":"Macronutrients Intake and Incident Frailty in Older Adults: A Prospective Cohort Study","type":"article-journal","volume":"71"},"uris":["http://www.mendeley.com/documents/?uuid=870d5a7c-6e84-40a1-b3ed-0076fe692a1e"]}],"mendeley":{"formattedCitation":"[8]","plainTextFormattedCitation":"[8]","previouslyFormattedCitation":"[8]"},"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[8]</w:t>
      </w:r>
      <w:r w:rsidR="00032CFF" w:rsidRPr="009A1C52">
        <w:rPr>
          <w:rFonts w:ascii="Times New Roman" w:hAnsi="Times New Roman" w:cs="Times New Roman"/>
        </w:rPr>
        <w:fldChar w:fldCharType="end"/>
      </w:r>
      <w:r w:rsidR="00A21523" w:rsidRPr="009A1C52">
        <w:rPr>
          <w:rFonts w:ascii="Times New Roman" w:hAnsi="Times New Roman" w:cs="Times New Roman"/>
        </w:rPr>
        <w:t xml:space="preserve"> </w:t>
      </w:r>
    </w:p>
    <w:p w:rsidR="00032CFF" w:rsidRPr="009A1C52" w:rsidRDefault="00502866" w:rsidP="009A1C52">
      <w:pPr>
        <w:spacing w:after="0" w:line="240" w:lineRule="auto"/>
        <w:jc w:val="both"/>
        <w:rPr>
          <w:rFonts w:ascii="Times New Roman" w:hAnsi="Times New Roman" w:cs="Times New Roman"/>
          <w:color w:val="303030"/>
          <w:shd w:val="clear" w:color="auto" w:fill="FFFFFF"/>
        </w:rPr>
      </w:pPr>
      <w:r w:rsidRPr="00502866">
        <w:rPr>
          <w:rFonts w:ascii="Times New Roman" w:hAnsi="Times New Roman" w:cs="Times New Roman"/>
        </w:rPr>
        <w:t>To overcome anabolic resistance to low protein intake, the elderly are advised to consume 25 to 30 grams of protein at each meal. This is done to stimulate postprandial muscle protein synthesis in the elderly properly.</w:t>
      </w:r>
      <w:r w:rsidR="00032CFF" w:rsidRPr="009A1C52">
        <w:rPr>
          <w:rFonts w:ascii="Times New Roman" w:hAnsi="Times New Roman" w:cs="Times New Roman"/>
          <w:color w:val="303030"/>
          <w:shd w:val="clear" w:color="auto" w:fill="FFFFFF"/>
        </w:rPr>
        <w:fldChar w:fldCharType="begin" w:fldLock="1"/>
      </w:r>
      <w:r w:rsidR="00032CFF" w:rsidRPr="009A1C52">
        <w:rPr>
          <w:rFonts w:ascii="Times New Roman" w:hAnsi="Times New Roman" w:cs="Times New Roman"/>
          <w:color w:val="303030"/>
          <w:shd w:val="clear" w:color="auto" w:fill="FFFFFF"/>
        </w:rPr>
        <w:instrText>ADDIN CSL_CITATION {"citationItems":[{"id":"ITEM-1","itemData":{"DOI":"10.1016/j.meatsci.2015.05.009","author":[{"dropping-particle":"","family":"Gorissen SH, Rémond D","given":"van Loon LJ.","non-dropping-particle":"","parse-names":false,"suffix":""}],"container-title":"Meat Sci","id":"ITEM-1","issued":{"date-parts":[["2015"]]},"page":"96-100","title":"The muscle protein synthetic response to food ingestion","type":"article-journal","volume":"109"},"uris":["http://www.mendeley.com/documents/?uuid=db27a5b2-7768-45f4-8a3e-ce08636e37d5"]}],"mendeley":{"formattedCitation":"[9]","plainTextFormattedCitation":"[9]","previouslyFormattedCitation":"[9]"},"properties":{"noteIndex":0},"schema":"https://github.com/citation-style-language/schema/raw/master/csl-citation.json"}</w:instrText>
      </w:r>
      <w:r w:rsidR="00032CFF" w:rsidRPr="009A1C52">
        <w:rPr>
          <w:rFonts w:ascii="Times New Roman" w:hAnsi="Times New Roman" w:cs="Times New Roman"/>
          <w:color w:val="303030"/>
          <w:shd w:val="clear" w:color="auto" w:fill="FFFFFF"/>
        </w:rPr>
        <w:fldChar w:fldCharType="separate"/>
      </w:r>
      <w:r w:rsidR="00032CFF" w:rsidRPr="009A1C52">
        <w:rPr>
          <w:rFonts w:ascii="Times New Roman" w:hAnsi="Times New Roman" w:cs="Times New Roman"/>
          <w:noProof/>
          <w:color w:val="303030"/>
          <w:shd w:val="clear" w:color="auto" w:fill="FFFFFF"/>
        </w:rPr>
        <w:t>[9]</w:t>
      </w:r>
      <w:r w:rsidR="00032CFF" w:rsidRPr="009A1C52">
        <w:rPr>
          <w:rFonts w:ascii="Times New Roman" w:hAnsi="Times New Roman" w:cs="Times New Roman"/>
          <w:color w:val="303030"/>
          <w:shd w:val="clear" w:color="auto" w:fill="FFFFFF"/>
        </w:rPr>
        <w:fldChar w:fldCharType="end"/>
      </w:r>
    </w:p>
    <w:p w:rsidR="00502866"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 xml:space="preserve">Dietary protein intake in the elderly in the Netherlands was found to be between 10-12 grams at breakfast, 15-23 grams at lunch, and 24-31 at dinner. 60% protein is obtained from animal protein and 40% from </w:t>
      </w:r>
      <w:r w:rsidRPr="00502866">
        <w:rPr>
          <w:rFonts w:ascii="Times New Roman" w:hAnsi="Times New Roman" w:cs="Times New Roman"/>
        </w:rPr>
        <w:lastRenderedPageBreak/>
        <w:t>vegetable protein.</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{"citationItems":[{"id":"ITEM-1","itemData":{"DOI":"https://doi.org/10.3390/nu7125496","author":[{"dropping-particle":"","family":"Tieland, M., Borgonjen-Van den Berg, K. J., Van Loon, L. J., &amp; de Groot","given":"L. C.","non-dropping-particle":"","parse-names":false,"suffix":""}],"container-title":"Nutrients","id":"ITEM-1","issue":"12","issued":{"date-parts":[["2015"]]},"page":"9697-9706","title":"Dietary Protein Intake in Dutch Elderly People: A Focus on Protein Sources","type":"article-journal","volume":"7"},"uris":["http://www.mendeley.com/documents/?uuid=bae66816-1de3-4741-97cf-a3479331636b"]}],"mendeley":{"formattedCitation":"[10]","plainTextFormattedCitation":"[10]","previouslyFormattedCitation":"[10]"},"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[10]</w:t>
      </w:r>
      <w:r w:rsidR="00032CFF" w:rsidRPr="009A1C52">
        <w:rPr>
          <w:rFonts w:ascii="Times New Roman" w:hAnsi="Times New Roman" w:cs="Times New Roman"/>
        </w:rPr>
        <w:fldChar w:fldCharType="end"/>
      </w:r>
      <w:r w:rsidR="00032CFF" w:rsidRPr="009A1C52">
        <w:rPr>
          <w:rFonts w:ascii="Times New Roman" w:hAnsi="Times New Roman" w:cs="Times New Roman"/>
        </w:rPr>
        <w:t xml:space="preserve"> </w:t>
      </w:r>
      <w:r w:rsidRPr="00502866">
        <w:rPr>
          <w:rFonts w:ascii="Times New Roman" w:hAnsi="Times New Roman" w:cs="Times New Roman"/>
        </w:rPr>
        <w:t>In this study, older people eat more food at breakfast, commonly known as ponggol or fried rice overnight, so that protein intake at breakfast is also the least when compared to lunch or dinner.</w:t>
      </w:r>
    </w:p>
    <w:p w:rsidR="00032CFF"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Fat is a source of energy, and fatty acids are essential components of cell membranes and precursors for many molecules in the body. Several studies have shown that an imbalance in dietary fat intake has been associated with chronic disease in recent decades. A high intake of saturated fat is known to increase circulating LDL cholesterol concentrations and increase the risk of</w:t>
      </w:r>
      <w:r>
        <w:rPr>
          <w:rFonts w:ascii="Times New Roman" w:hAnsi="Times New Roman" w:cs="Times New Roman"/>
        </w:rPr>
        <w:t xml:space="preserve"> cardiovascular disease.</w:t>
      </w:r>
      <w:r w:rsidR="00F5041C" w:rsidRPr="009A1C52">
        <w:rPr>
          <w:rFonts w:ascii="Times New Roman" w:hAnsi="Times New Roman" w:cs="Times New Roman"/>
        </w:rPr>
        <w:t xml:space="preserve"> </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{"citationItems":[{"id":"ITEM-1","itemData":{"DOI":"https://doi.org/10.3390/nu13030876","author":[{"dropping-particle":"","family":"Kehoe L, Walton J, McNulty BA, Nugent AP","given":"Flynn A.","non-dropping-particle":"","parse-names":false,"suffix":""}],"container-title":"Nutrients","id":"ITEM-1","issue":"3","issued":{"date-parts":[["2021"]]},"page":"876","title":"Energy, Macronutrients, Dietary Fibre and Salt Intakes in Older Adults in Ireland: Key Sources and Compliance with Recommendations","type":"article-journal","volume":"13"},"uris":["http://www.mendeley.com/documents/?uuid=62f272d7-59b0-4c18-b0e5-2a81c349ab5c"]}],"mendeley":{"formattedCitation":"[11]","plainTextFormattedCitation":"[11]","previouslyFormattedCitation":"[11]"},"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[11]</w:t>
      </w:r>
      <w:r w:rsidR="00032CFF" w:rsidRPr="009A1C52">
        <w:rPr>
          <w:rFonts w:ascii="Times New Roman" w:hAnsi="Times New Roman" w:cs="Times New Roman"/>
        </w:rPr>
        <w:fldChar w:fldCharType="end"/>
      </w:r>
    </w:p>
    <w:p w:rsidR="00032CFF" w:rsidRPr="009A1C52" w:rsidRDefault="00502866" w:rsidP="009A1C52">
      <w:pPr>
        <w:spacing w:after="0" w:line="240" w:lineRule="auto"/>
        <w:jc w:val="both"/>
        <w:rPr>
          <w:rFonts w:ascii="Times New Roman" w:hAnsi="Times New Roman" w:cs="Times New Roman"/>
          <w:color w:val="181817"/>
          <w:shd w:val="clear" w:color="auto" w:fill="CAE7FF"/>
        </w:rPr>
      </w:pPr>
      <w:r w:rsidRPr="00502866">
        <w:rPr>
          <w:rFonts w:ascii="Times New Roman" w:hAnsi="Times New Roman" w:cs="Times New Roman"/>
        </w:rPr>
        <w:t xml:space="preserve">The recommended intake of foods containing fat for adults is 20-35% of the total energy intake. Some foods such as full-fat dairy, red and processed meat solid fats should be limited to &lt;10%, while </w:t>
      </w:r>
      <w:proofErr w:type="gramStart"/>
      <w:r w:rsidRPr="00502866">
        <w:rPr>
          <w:rFonts w:ascii="Times New Roman" w:hAnsi="Times New Roman" w:cs="Times New Roman"/>
        </w:rPr>
        <w:t>trans</w:t>
      </w:r>
      <w:proofErr w:type="gramEnd"/>
      <w:r w:rsidRPr="00502866">
        <w:rPr>
          <w:rFonts w:ascii="Times New Roman" w:hAnsi="Times New Roman" w:cs="Times New Roman"/>
        </w:rPr>
        <w:t xml:space="preserve"> fats such as biscuits/cakes and chips should be avoided at &lt;1%. Foods recommended vegetable oil, soft margarine, nuts, and fish oil are recommended. </w:t>
      </w:r>
      <w:r w:rsidR="00032CFF" w:rsidRPr="009A1C52">
        <w:rPr>
          <w:rFonts w:ascii="Times New Roman" w:hAnsi="Times New Roman" w:cs="Times New Roman"/>
          <w:color w:val="181817"/>
          <w:shd w:val="clear" w:color="auto" w:fill="CAE7FF"/>
        </w:rPr>
        <w:fldChar w:fldCharType="begin" w:fldLock="1"/>
      </w:r>
      <w:r w:rsidR="00032CFF" w:rsidRPr="009A1C52">
        <w:rPr>
          <w:rFonts w:ascii="Times New Roman" w:hAnsi="Times New Roman" w:cs="Times New Roman"/>
          <w:color w:val="181817"/>
          <w:shd w:val="clear" w:color="auto" w:fill="CAE7FF"/>
        </w:rPr>
        <w:instrText>ADDIN CSL_CITATION {"citationItems":[{"id":"ITEM-1","itemData":{"DOI":"10.1017/S0007114515002317","author":[{"dropping-particle":"","family":"Söderström, L., Rosenblad, A., Adolfsson, E., Wolk, A., Håkansson, N., &amp; Bergkvist","given":"L.","non-dropping-particle":"","parse-names":false,"suffix":""}],"container-title":"British Journal of Nutrition","id":"ITEM-1","issue":"6","issued":{"date-parts":[["2015"]]},"page":"915-923","title":"A high energy intake from dietary fat among middle-aged and older adults is associated with increased risk of malnutrition 10 years later","type":"article-journal","volume":"114"},"uris":["http://www.mendeley.com/documents/?uuid=780a86d0-ae2c-464a-9f06-e027d11da81d"]}],"mendeley":{"formattedCitation":"[12]","plainTextFormattedCitation":"[12]","previouslyFormattedCitation":"[12]"},"properties":{"noteIndex":0},"schema":"https://github.com/citation-style-language/schema/raw/master/csl-citation.json"}</w:instrText>
      </w:r>
      <w:r w:rsidR="00032CFF" w:rsidRPr="009A1C52">
        <w:rPr>
          <w:rFonts w:ascii="Times New Roman" w:hAnsi="Times New Roman" w:cs="Times New Roman"/>
          <w:color w:val="181817"/>
          <w:shd w:val="clear" w:color="auto" w:fill="CAE7FF"/>
        </w:rPr>
        <w:fldChar w:fldCharType="separate"/>
      </w:r>
      <w:r w:rsidR="00032CFF" w:rsidRPr="009A1C52">
        <w:rPr>
          <w:rFonts w:ascii="Times New Roman" w:hAnsi="Times New Roman" w:cs="Times New Roman"/>
          <w:noProof/>
          <w:color w:val="181817"/>
          <w:shd w:val="clear" w:color="auto" w:fill="CAE7FF"/>
        </w:rPr>
        <w:t>[12]</w:t>
      </w:r>
      <w:r w:rsidR="00032CFF" w:rsidRPr="009A1C52">
        <w:rPr>
          <w:rFonts w:ascii="Times New Roman" w:hAnsi="Times New Roman" w:cs="Times New Roman"/>
          <w:color w:val="181817"/>
          <w:shd w:val="clear" w:color="auto" w:fill="CAE7FF"/>
        </w:rPr>
        <w:fldChar w:fldCharType="end"/>
      </w:r>
      <w:r w:rsidR="00032CFF" w:rsidRPr="009A1C52">
        <w:rPr>
          <w:rFonts w:ascii="Times New Roman" w:hAnsi="Times New Roman" w:cs="Times New Roman"/>
          <w:color w:val="181817"/>
          <w:shd w:val="clear" w:color="auto" w:fill="CAE7FF"/>
        </w:rPr>
        <w:t xml:space="preserve"> </w:t>
      </w:r>
    </w:p>
    <w:p w:rsidR="008D145A" w:rsidRPr="001D205F" w:rsidRDefault="00502866" w:rsidP="001D205F">
      <w:pPr>
        <w:spacing w:after="0" w:line="240" w:lineRule="auto"/>
        <w:jc w:val="both"/>
        <w:rPr>
          <w:rFonts w:ascii="Times New Roman" w:hAnsi="Times New Roman" w:cs="Times New Roman"/>
          <w:highlight w:val="yellow"/>
        </w:rPr>
      </w:pPr>
      <w:r w:rsidRPr="00502866">
        <w:rPr>
          <w:rFonts w:ascii="Times New Roman" w:hAnsi="Times New Roman" w:cs="Times New Roman"/>
        </w:rPr>
        <w:t>This study indicates that most fat consumption in the elderly is still lacking as much as 79.2%. The fat obtained by the elderly in this study was mainly obtained from fried foods such as tempeh or fried tofu consumed as a side dish at meals. Intake of small amounts of fat impacts lowering cholesterol, albumin, and pre-albumin, but these decreases are associated with possible impaired liver function and inflammation. It is known that fatty acids have a role in interaction with various food components and microbes that function as anti-inflammatory.</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{"citationItems":[{"id":"ITEM-1","itemData":{"DOI":"https://doi.org/10.1111/jgs.16402","author":[{"dropping-particle":"","family":"Jyväkorpi, S.K., Urtamo, A. and Strandberg","given":"T.E.","non-dropping-particle":"","parse-names":false,"suffix":""}],"container-title":"J Am Geriatr Soc","id":"ITEM-1","issued":{"date-parts":[["2020"]]},"page":"1346-1348","title":"Dietary Fat Composition and Frailty in Oldest-Old Men","type":"article-journal","volume":"68"},"uris":["http://www.mendeley.com/documents/?uuid=525a0a4e-139c-4112-ba6e-08db28a03b75"]}],"mendeley":{"formattedCitation":"[13]","plainTextFormattedCitation":"[13]","previouslyFormattedCitation":"[13]"},"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[13]</w:t>
      </w:r>
      <w:r w:rsidR="00032CFF" w:rsidRPr="009A1C52">
        <w:rPr>
          <w:rFonts w:ascii="Times New Roman" w:hAnsi="Times New Roman" w:cs="Times New Roman"/>
        </w:rPr>
        <w:fldChar w:fldCharType="end"/>
      </w:r>
    </w:p>
    <w:p w:rsidR="00032CFF"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The results of this study also showed that the fulfillment of carbohydrates in the elderly was 79.2% less, this finding was in line with the findings presented by Ter Borg et al. (2015), which stated that carbohydrate intake in the elderly was below the AMDR threshold, but it was not clear what type of carbohydrate was consumed.</w:t>
      </w:r>
      <w:r w:rsidR="00032CFF" w:rsidRPr="009A1C52">
        <w:rPr>
          <w:rFonts w:ascii="Times New Roman" w:hAnsi="Times New Roman" w:cs="Times New Roman"/>
        </w:rPr>
        <w:fldChar w:fldCharType="begin" w:fldLock="1"/>
      </w:r>
      <w:r w:rsidR="00032CFF" w:rsidRPr="009A1C52">
        <w:rPr>
          <w:rFonts w:ascii="Times New Roman" w:hAnsi="Times New Roman" w:cs="Times New Roman"/>
        </w:rPr>
        <w:instrText>ADDIN CSL_CITATION {"citationItems":[{"id":"ITEM-1","itemData":{"DOI":"10.1159/000435862","author":[{"dropping-particle":"","family":"Borg S., Verlaan S, Mijnarends D.M., Schols J.M.G.A., de Groot L.C.P.G.M.","given":"Luiking Y.C.","non-dropping-particle":"ter","parse-names":false,"suffix":""}],"container-title":"Ann Nutr Metab","id":"ITEM-1","issued":{"date-parts":[["2015"]]},"page":"242-255","title":"Macronutrient Intake and Inadequacies of Community-Dwelling Older Adults, a Systematic Review.","type":"article-journal","volume":"66"},"uris":["http://www.mendeley.com/documents/?uuid=a4028a15-b8b2-4717-83cf-0675b4bed24a"]}],"mendeley":{"formattedCitation":"[5]","plainTextFormattedCitation":"[5]","previouslyFormattedCitation":"[5]"},"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[5]</w:t>
      </w:r>
      <w:r w:rsidR="00032CFF" w:rsidRPr="009A1C52">
        <w:rPr>
          <w:rFonts w:ascii="Times New Roman" w:hAnsi="Times New Roman" w:cs="Times New Roman"/>
        </w:rPr>
        <w:fldChar w:fldCharType="end"/>
      </w:r>
      <w:r w:rsidR="006D480E" w:rsidRPr="009A1C52">
        <w:rPr>
          <w:rFonts w:ascii="Times New Roman" w:hAnsi="Times New Roman" w:cs="Times New Roman"/>
          <w:color w:val="333333"/>
          <w:shd w:val="clear" w:color="auto" w:fill="FFFFFF"/>
        </w:rPr>
        <w:t xml:space="preserve"> </w:t>
      </w:r>
      <w:r w:rsidRPr="00502866">
        <w:rPr>
          <w:rFonts w:ascii="Times New Roman" w:hAnsi="Times New Roman" w:cs="Times New Roman"/>
        </w:rPr>
        <w:t>The same finding was also found in France, where the elderly at risk of malnutrition consumed food, especially staple foods, only twice a day. The physiological reasons are the presence of disease, the senses of taste and smell have decreased function.</w:t>
      </w:r>
      <w:r w:rsidR="00032CFF"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{"citationItems":[{"id":"ITEM-1","itemData":{"DOI":"https://doi.org/10.1136/bmjopen-2018-023548","author":[{"dropping-particle":"","family":"Sanchez, M. A., Armaingaud, D., Messaoudi, Y., Letty, A., Mahmoudi, R., &amp; Sanchez","given":"S.","non-dropping-particle":"","parse-names":false,"suffix":""}],"container-title":"BMJ open","id":"ITEM-1","issue":"6","issued":{"date-parts":[["2019"]]},"page":"e023548.","title":"Multiple factor analysis of eating patterns to detect groups at risk of malnutrition among home-dwelling older subjects in 2015","type":"article-journal","volume":"9"},"uris":["http://www.mendeley.com/documents/?uuid=58ccba5b-efc3-4970-82e2-092113d0d3dd"]}],"mendeley":{"formattedCitation":"[14]","plainTextFormattedCitation":"[14]","previouslyFormattedCitation":"[14]"},"properties":{"noteIndex":0},"schema":"https://github.com/citation-style-language/schema/raw/master/csl-citation.json"}</w:instrText>
      </w:r>
      <w:r w:rsidR="00032CFF" w:rsidRPr="009A1C52">
        <w:rPr>
          <w:rFonts w:ascii="Times New Roman" w:hAnsi="Times New Roman" w:cs="Times New Roman"/>
        </w:rPr>
        <w:fldChar w:fldCharType="separate"/>
      </w:r>
      <w:r w:rsidR="00032CFF" w:rsidRPr="009A1C52">
        <w:rPr>
          <w:rFonts w:ascii="Times New Roman" w:hAnsi="Times New Roman" w:cs="Times New Roman"/>
          <w:noProof/>
        </w:rPr>
        <w:t>[14]</w:t>
      </w:r>
      <w:r w:rsidR="00032CFF" w:rsidRPr="009A1C52">
        <w:rPr>
          <w:rFonts w:ascii="Times New Roman" w:hAnsi="Times New Roman" w:cs="Times New Roman"/>
        </w:rPr>
        <w:fldChar w:fldCharType="end"/>
      </w:r>
    </w:p>
    <w:p w:rsidR="009A1C52"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Carbohydrates are organic compounds consisting of carbon, hydrogen, and oxygen. Carbohydrates act as signaling molecules, energy sources, and structural components. Carbohydrates themselves are associated with chronic metabolic disease. Glucose is a carbohydrate that acts as the primary energy source. Consuming too much glucose can accelerate the aging of human cells.</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{"citationItems":[{"id":"ITEM-1","itemData":{"DOI":"https://doi.org/10.1111/acel.12277","author":[{"dropping-particle":"","family":"Lee, D., Hwang, W., Artan, M., Jeong, D. E., &amp; Lee","given":"S. J.","non-dropping-particle":"","parse-names":false,"suffix":""}],"container-title":"Aging cell","id":"ITEM-1","issue":"1","issued":{"date-parts":[["2015"]]},"page":"8-16","title":"Effects of nutritional components on aging.","type":"article-journal","volume":"14"},"uris":["http://www.mendeley.com/documents/?uuid=aaa57a7a-0ced-42ac-97d3-dabf6062f4e2"]}],"mendeley":{"formattedCitation":"[15]","plainTextFormattedCitation":"[15]","previouslyFormattedCitation":"[15]"},"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[15]</w:t>
      </w:r>
      <w:r w:rsidR="009A1C52" w:rsidRPr="009A1C52">
        <w:rPr>
          <w:rFonts w:ascii="Times New Roman" w:hAnsi="Times New Roman" w:cs="Times New Roman"/>
        </w:rPr>
        <w:fldChar w:fldCharType="end"/>
      </w:r>
      <w:r w:rsidR="009A1C52" w:rsidRPr="009A1C52">
        <w:rPr>
          <w:rFonts w:ascii="Times New Roman" w:hAnsi="Times New Roman" w:cs="Times New Roman"/>
        </w:rPr>
        <w:t xml:space="preserve"> </w:t>
      </w:r>
      <w:r w:rsidRPr="00502866">
        <w:rPr>
          <w:rFonts w:ascii="Times New Roman" w:hAnsi="Times New Roman" w:cs="Times New Roman"/>
        </w:rPr>
        <w:t>In one day, carbohydrate requirements in the elderly are recommended as much as 45-65% or about 130 grams per meal.</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{"citationItems":[{"id":"ITEM-1","itemData":{"URL":"https://www.livestrong.com/article/448700-nutritional-requirements-for-the-elderly/ ","accessed":{"date-parts":[["2021","10","16"]]},"author":[{"dropping-particle":"","family":"Ashley Lall","given":"","non-dropping-particle":"","parse-names":false,"suffix":""}],"container-title":"livestrong.com","id":"ITEM-1","issued":{"date-parts":[["2021"]]},"title":"The Optimal Nutritional Requirements for Older Adults to Stay Healthy","type":"webpage"},"uris":["http://www.mendeley.com/documents/?uuid=32fe882a-a74c-49c6-b719-d94d68c93d66"]}],"mendeley":{"formattedCitation":"[16]","plainTextFormattedCitation":"[16]","previouslyFormattedCitation":"[16]"},"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[16]</w:t>
      </w:r>
      <w:r w:rsidR="009A1C52" w:rsidRPr="009A1C52">
        <w:rPr>
          <w:rFonts w:ascii="Times New Roman" w:hAnsi="Times New Roman" w:cs="Times New Roman"/>
        </w:rPr>
        <w:fldChar w:fldCharType="end"/>
      </w:r>
    </w:p>
    <w:p w:rsidR="009A1C52"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Calcium is an essential nutrient needed to maintain a healthy human body. Calcium is an abundant mineral in the body, and 99% is found in teeth and bones. Adequate calcium intake may reduce the risk of fractures, osteoporosis, and diabetes in some populations. Low calcium intake can result from lactose intolerance.</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{"citationItems":[{"id":"ITEM-1","itemData":{"DOI":"https://doi.org/10.7762/cnr.2015.4.1.1","author":[{"dropping-particle":"","family":"Beto J. A.","given":"","non-dropping-particle":"","parse-names":false,"suffix":""}],"container-title":"Clinical nutrition research","id":"ITEM-1","issue":"1","issued":{"date-parts":[["2015"]]},"page":"1-8","title":"The role of calcium in human aging","type":"article-journal","volume":"4"},"uris":["http://www.mendeley.com/documents/?uuid=3080c524-b62f-4c95-b6d0-2000fa74ae3e"]}],"mendeley":{"formattedCitation":"[17]","plainTextFormattedCitation":"[17]","previouslyFormattedCitation":"[17]"},"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[17]</w:t>
      </w:r>
      <w:r w:rsidR="009A1C52" w:rsidRPr="009A1C52">
        <w:rPr>
          <w:rFonts w:ascii="Times New Roman" w:hAnsi="Times New Roman" w:cs="Times New Roman"/>
        </w:rPr>
        <w:fldChar w:fldCharType="end"/>
      </w:r>
    </w:p>
    <w:p w:rsidR="00A16B6E"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The results of this study indicate that 66.7% of respondents have a low calcium intake. Decreased calcium intake occurs in all elderly and impacts bone mass loss and a decrease in the mechanical load of the bone skeleton. In the US, the elderly aged 65 years consume 600 mg in men and 480 mg in women. Calcium intake in the elderly is much lower than in young people. The impact of this decrease in calcium also reduces nutrient absorption.</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{"citationItems":[{"id":"ITEM-1","itemData":{"DOI":"https://doi.org/10.1093/ajcn/36.5.986","author":[{"dropping-particle":"","family":"R P Heaney, J C Gallagher, C C Johnston, R Neer, A M Parfitt","given":"G D Whedon","non-dropping-particle":"","parse-names":false,"suffix":""}],"container-title":"The American Journal of Clinical Nutrition","id":"ITEM-1","issue":"5","issued":{"date-parts":[["1982"]]},"page":"986–1013","title":"Calcium nutrition and bone health in the elderly","type":"article-journal","volume":"36"},"uris":["http://www.mendeley.com/documents/?uuid=9d77809c-020e-48ca-a6aa-ef4ae1223603"]}],"mendeley":{"formattedCitation":"[18]","plainTextFormattedCitation":"[18]","previouslyFormattedCitation":"[18]"},"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[18]</w:t>
      </w:r>
      <w:r w:rsidR="009A1C52" w:rsidRPr="009A1C52">
        <w:rPr>
          <w:rFonts w:ascii="Times New Roman" w:hAnsi="Times New Roman" w:cs="Times New Roman"/>
        </w:rPr>
        <w:fldChar w:fldCharType="end"/>
      </w:r>
    </w:p>
    <w:p w:rsidR="00564ADB"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Research in Australia stated that older women and men who had given calcium &lt;600 mg and 700 mg showed a reduction in the risk of falls and fractures after 3-5 months of administration because it can slow bone loss and microstructural deterioration. Giving calcium is also considered effective for treating the elderly at high risk of osteoporosis.</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{"citationItems":[{"id":"ITEM-1","itemData":{"DOI":"10.1136/bmj.n2364","author":[{"dropping-particle":"al","family":"Iuliano S, Poon S, Robbins J, Bui M, Wang X","given":"De Groot L et","non-dropping-particle":"","parse-names":false,"suffix":""}],"container-title":"BMJ","id":"ITEM-1","issued":{"date-parts":[["2021"]]},"page":"n2364","title":"Effect of dietary sources of calcium and protein on hip fractures and falls in older adults in residential care: cluster randomised controlled trial","type":"article-journal","volume":"375"},"uris":["http://www.mendeley.com/documents/?uuid=f5f08fba-cc47-4941-b4ca-5873bdf3d5f9"]}],"mendeley":{"formattedCitation":"[19]","plainTextFormattedCitation":"[19]","previouslyFormattedCitation":"[19]"},"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[19]</w:t>
      </w:r>
      <w:r w:rsidR="009A1C52" w:rsidRPr="009A1C52">
        <w:rPr>
          <w:rFonts w:ascii="Times New Roman" w:hAnsi="Times New Roman" w:cs="Times New Roman"/>
        </w:rPr>
        <w:fldChar w:fldCharType="end"/>
      </w:r>
    </w:p>
    <w:p w:rsidR="001D205F" w:rsidRDefault="001D205F" w:rsidP="009A1C52">
      <w:pPr>
        <w:spacing w:after="0" w:line="240" w:lineRule="auto"/>
        <w:jc w:val="both"/>
        <w:rPr>
          <w:rFonts w:ascii="Times New Roman" w:hAnsi="Times New Roman" w:cs="Times New Roman"/>
        </w:rPr>
      </w:pPr>
    </w:p>
    <w:p w:rsidR="009A1C52"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The majority of the elderly in this study lack the fulfillment of this study's protein, carbohydrate, calcium, and fat needs. Factors of tooth strength and masticatory function have a role in meeting the nutritional needs of the elderly. The mechanical and chemical processes of digestion begin in the mouth with mastication. The strength of the mouth muscles in chewing, and the structure of the food play an important role in ensuring that food is swallowed safely. In addition, chewing also helps release sensory signals in recognizing taste. In the elderly, there is a change in the oral cavity, a decrease in bite strength, mandibular reflexes, a decrease in oro-sensory receptors, and a decrease in saliva secretion. Besides that, the motor activity of the tongue and masticatory muscles also decreases. These changes impact decreasing the number of nutrients consumed by the elderly.</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{"citationItems":[{"id":"ITEM-1","itemData":{"DOI":"https://doi.org/10.18632/oncotarget.4030","author":[{"dropping-particle":"","family":"Rémond, D., Shahar, D. R., Gille, D., Pinto, P., Kachal, J., Peyron, M. A., Dos Santos, C. N., Walther, B., Bordoni, A., Dupont, D., Tomás-Cobos, L., &amp; Vergères","given":"G.","non-dropping-particle":"","parse-names":false,"suffix":""}],"container-title":"Oncotarget","id":"ITEM-1","issue":"16","issued":{"date-parts":[["2015"]]},"page":"13858–13898","title":"Understanding the gastrointestinal tract of the elderly to develop dietary solutions that prevent malnutrition","type":"article-journal","volume":"6"},"uris":["http://www.mendeley.com/documents/?uuid=8304feab-65d5-48a2-bc52-fd23eb5ffa35"]}],"mendeley":{"formattedCitation":"[20]","plainTextFormattedCitation":"[20]","previouslyFormattedCitation":"[20]"},"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[20]</w:t>
      </w:r>
      <w:r w:rsidR="009A1C52" w:rsidRPr="009A1C52">
        <w:rPr>
          <w:rFonts w:ascii="Times New Roman" w:hAnsi="Times New Roman" w:cs="Times New Roman"/>
        </w:rPr>
        <w:fldChar w:fldCharType="end"/>
      </w:r>
      <w:r w:rsidR="00A93CE6" w:rsidRPr="009A1C52">
        <w:rPr>
          <w:rFonts w:ascii="Times New Roman" w:hAnsi="Times New Roman" w:cs="Times New Roman"/>
        </w:rPr>
        <w:t xml:space="preserve"> </w:t>
      </w:r>
    </w:p>
    <w:p w:rsidR="009A1C52" w:rsidRPr="009A1C52"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 xml:space="preserve">Other studies also mention that the elderly have a lack of ability to meet the nutritional needs of their bodies, this is due to several etiopathogenic factors that can lead to a reduction or utilization of nutritional intake, </w:t>
      </w:r>
      <w:r w:rsidRPr="00502866">
        <w:rPr>
          <w:rFonts w:ascii="Times New Roman" w:hAnsi="Times New Roman" w:cs="Times New Roman"/>
        </w:rPr>
        <w:lastRenderedPageBreak/>
        <w:t>progressive loss of organ function with dependence on food and psychological problems related to economic isolation or economic isolation—social conditions, such as poverty or loneliness. Changes in the aging gut also impact the disintegration of food mechanisms, gastrointestinal motor function, food transit, intestinal wall function, and chemical processes of food digestion.</w:t>
      </w:r>
      <w:r w:rsidR="009A1C52" w:rsidRPr="009A1C52">
        <w:rPr>
          <w:rFonts w:ascii="Times New Roman" w:hAnsi="Times New Roman" w:cs="Times New Roman"/>
        </w:rPr>
        <w:fldChar w:fldCharType="begin" w:fldLock="1"/>
      </w:r>
      <w:r w:rsidR="009A1C52" w:rsidRPr="009A1C52">
        <w:rPr>
          <w:rFonts w:ascii="Times New Roman" w:hAnsi="Times New Roman" w:cs="Times New Roman"/>
        </w:rPr>
        <w:instrText>ADDIN CSL_CITATION {"citationItems":[{"id":"ITEM-1","itemData":{"DOI":"https://doi.org/10.3390/nu13124337","author":[{"dropping-particle":"","family":"Cristina, N. M., &amp; Lucia","given":"D.","non-dropping-particle":"","parse-names":false,"suffix":""}],"container-title":"Nutrients","id":"ITEM-1","issue":"12","issued":{"date-parts":[["2021"]]},"page":"4337","title":"Nutrition and Healthy Aging: Prevention and Treatment of Gastrointestinal Diseases","type":"article-journal","volume":"13"},"uris":["http://www.mendeley.com/documents/?uuid=ab616f46-5ab0-4d16-aafa-e7ee985c4055"]}],"mendeley":{"formattedCitation":"[21]","plainTextFormattedCitation":"[21]","previouslyFormattedCitation":"[21]"},"properties":{"noteIndex":0},"schema":"https://github.com/citation-style-language/schema/raw/master/csl-citation.json"}</w:instrText>
      </w:r>
      <w:r w:rsidR="009A1C52" w:rsidRPr="009A1C52">
        <w:rPr>
          <w:rFonts w:ascii="Times New Roman" w:hAnsi="Times New Roman" w:cs="Times New Roman"/>
        </w:rPr>
        <w:fldChar w:fldCharType="separate"/>
      </w:r>
      <w:r w:rsidR="009A1C52" w:rsidRPr="009A1C52">
        <w:rPr>
          <w:rFonts w:ascii="Times New Roman" w:hAnsi="Times New Roman" w:cs="Times New Roman"/>
          <w:noProof/>
        </w:rPr>
        <w:t>[21]</w:t>
      </w:r>
      <w:r w:rsidR="009A1C52" w:rsidRPr="009A1C52">
        <w:rPr>
          <w:rFonts w:ascii="Times New Roman" w:hAnsi="Times New Roman" w:cs="Times New Roman"/>
        </w:rPr>
        <w:fldChar w:fldCharType="end"/>
      </w:r>
    </w:p>
    <w:p w:rsidR="009A1C52" w:rsidRDefault="009A1C52" w:rsidP="002A4BF9">
      <w:pPr>
        <w:rPr>
          <w:rFonts w:ascii="Arial" w:hAnsi="Arial" w:cs="Arial"/>
          <w:color w:val="303030"/>
          <w:sz w:val="20"/>
          <w:szCs w:val="20"/>
          <w:shd w:val="clear" w:color="auto" w:fill="FFFFFF"/>
        </w:rPr>
      </w:pPr>
    </w:p>
    <w:p w:rsidR="009A1C52" w:rsidRPr="00A25462" w:rsidRDefault="009A1C52" w:rsidP="009A1C52">
      <w:pPr>
        <w:pStyle w:val="ListParagraph"/>
        <w:numPr>
          <w:ilvl w:val="0"/>
          <w:numId w:val="9"/>
        </w:numPr>
        <w:spacing w:after="0" w:line="240" w:lineRule="auto"/>
        <w:ind w:left="284" w:hanging="284"/>
        <w:rPr>
          <w:rFonts w:ascii="Times New Roman" w:hAnsi="Times New Roman"/>
          <w:b/>
        </w:rPr>
      </w:pPr>
      <w:r w:rsidRPr="00A25462">
        <w:rPr>
          <w:rFonts w:ascii="Times New Roman" w:hAnsi="Times New Roman"/>
          <w:b/>
        </w:rPr>
        <w:t>Conclusion</w:t>
      </w:r>
    </w:p>
    <w:p w:rsidR="001D205F"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The majority of the respondents' gender in this study were women and did not work. Fulfillment of elderly nutrition based on protein, fat, carbohydrate, and calcium needs is lacking. It is necessary to provide health education related to elderly nutrition to the family/companion.</w:t>
      </w:r>
    </w:p>
    <w:p w:rsidR="00502866" w:rsidRDefault="00502866" w:rsidP="009A1C52">
      <w:pPr>
        <w:spacing w:after="0" w:line="240" w:lineRule="auto"/>
        <w:jc w:val="both"/>
        <w:rPr>
          <w:rFonts w:ascii="Times New Roman" w:hAnsi="Times New Roman" w:cs="Times New Roman"/>
        </w:rPr>
      </w:pPr>
    </w:p>
    <w:p w:rsidR="007D6FCF" w:rsidRDefault="007D6FCF" w:rsidP="007D6FCF">
      <w:pPr>
        <w:spacing w:after="0" w:line="240" w:lineRule="auto"/>
        <w:jc w:val="both"/>
        <w:rPr>
          <w:rFonts w:ascii="Times New Roman" w:hAnsi="Times New Roman"/>
          <w:b/>
        </w:rPr>
      </w:pPr>
      <w:r w:rsidRPr="002348BD">
        <w:rPr>
          <w:rFonts w:ascii="Times New Roman" w:hAnsi="Times New Roman"/>
          <w:b/>
        </w:rPr>
        <w:t>Acknowledgments</w:t>
      </w:r>
    </w:p>
    <w:p w:rsidR="00502866" w:rsidRDefault="00502866" w:rsidP="009A1C52">
      <w:pPr>
        <w:spacing w:after="0" w:line="240" w:lineRule="auto"/>
        <w:jc w:val="both"/>
        <w:rPr>
          <w:rFonts w:ascii="Times New Roman" w:hAnsi="Times New Roman" w:cs="Times New Roman"/>
        </w:rPr>
      </w:pPr>
      <w:r w:rsidRPr="00502866">
        <w:rPr>
          <w:rFonts w:ascii="Times New Roman" w:hAnsi="Times New Roman" w:cs="Times New Roman"/>
        </w:rPr>
        <w:t>Thank you to Polytechnic Harapan Bersama and Pagongan Village for their support so that this research can run well.</w:t>
      </w:r>
    </w:p>
    <w:p w:rsidR="00502866" w:rsidRDefault="00502866" w:rsidP="009A1C52">
      <w:pPr>
        <w:spacing w:after="0" w:line="240" w:lineRule="auto"/>
        <w:jc w:val="both"/>
        <w:rPr>
          <w:rFonts w:ascii="Times New Roman" w:hAnsi="Times New Roman" w:cs="Times New Roman"/>
        </w:rPr>
      </w:pPr>
    </w:p>
    <w:p w:rsidR="007D6FCF" w:rsidRDefault="007D6FCF" w:rsidP="007D6FCF">
      <w:pPr>
        <w:spacing w:after="0" w:line="240" w:lineRule="auto"/>
        <w:jc w:val="both"/>
        <w:rPr>
          <w:rFonts w:ascii="Times New Roman" w:hAnsi="Times New Roman"/>
          <w:b/>
        </w:rPr>
      </w:pPr>
      <w:r>
        <w:rPr>
          <w:rFonts w:ascii="Times New Roman" w:hAnsi="Times New Roman"/>
          <w:b/>
        </w:rPr>
        <w:t>Limitation</w:t>
      </w:r>
    </w:p>
    <w:p w:rsidR="009A21A0" w:rsidRDefault="00502866" w:rsidP="009A1C52">
      <w:pPr>
        <w:spacing w:after="0" w:line="240" w:lineRule="auto"/>
        <w:rPr>
          <w:rFonts w:ascii="Times New Roman" w:hAnsi="Times New Roman" w:cs="Times New Roman"/>
        </w:rPr>
      </w:pPr>
      <w:r w:rsidRPr="00502866">
        <w:rPr>
          <w:rFonts w:ascii="Times New Roman" w:hAnsi="Times New Roman" w:cs="Times New Roman"/>
        </w:rPr>
        <w:t>The sample in this study was too small due to time constraints. The data taken is also cross-sectional, so that the nutritional fulfillment is assessed only at the time of the study.</w:t>
      </w:r>
    </w:p>
    <w:p w:rsidR="00502866" w:rsidRPr="009A1C52" w:rsidRDefault="00502866" w:rsidP="009A1C52">
      <w:pPr>
        <w:spacing w:after="0" w:line="240" w:lineRule="auto"/>
        <w:rPr>
          <w:rFonts w:ascii="Times New Roman" w:hAnsi="Times New Roman" w:cs="Times New Roman"/>
        </w:rPr>
      </w:pPr>
    </w:p>
    <w:p w:rsidR="009A1C52" w:rsidRPr="009A1C52" w:rsidRDefault="009A1C52" w:rsidP="009A1C52">
      <w:pPr>
        <w:spacing w:after="0" w:line="240" w:lineRule="auto"/>
        <w:jc w:val="both"/>
        <w:rPr>
          <w:rFonts w:ascii="Times New Roman" w:hAnsi="Times New Roman" w:cs="Times New Roman"/>
          <w:b/>
        </w:rPr>
      </w:pPr>
      <w:r w:rsidRPr="009A1C52">
        <w:rPr>
          <w:rFonts w:ascii="Times New Roman" w:hAnsi="Times New Roman" w:cs="Times New Roman"/>
          <w:b/>
        </w:rPr>
        <w:t>References</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rPr>
        <w:fldChar w:fldCharType="begin" w:fldLock="1"/>
      </w:r>
      <w:r w:rsidRPr="009A1C52">
        <w:rPr>
          <w:rFonts w:ascii="Times New Roman" w:hAnsi="Times New Roman" w:cs="Times New Roman"/>
        </w:rPr>
        <w:instrText xml:space="preserve">ADDIN Mendeley Bibliography CSL_BIBLIOGRAPHY </w:instrText>
      </w:r>
      <w:r w:rsidRPr="009A1C52">
        <w:rPr>
          <w:rFonts w:ascii="Times New Roman" w:hAnsi="Times New Roman" w:cs="Times New Roman"/>
        </w:rPr>
        <w:fldChar w:fldCharType="separate"/>
      </w:r>
      <w:r w:rsidRPr="009A1C52">
        <w:rPr>
          <w:rFonts w:ascii="Times New Roman" w:hAnsi="Times New Roman" w:cs="Times New Roman"/>
          <w:noProof/>
          <w:szCs w:val="24"/>
        </w:rPr>
        <w:t>[1]</w:t>
      </w:r>
      <w:r w:rsidRPr="009A1C52">
        <w:rPr>
          <w:rFonts w:ascii="Times New Roman" w:hAnsi="Times New Roman" w:cs="Times New Roman"/>
          <w:noProof/>
          <w:szCs w:val="24"/>
        </w:rPr>
        <w:tab/>
        <w:t xml:space="preserve">G. Zanini, B., Simonetto, A., Zubani, M., Castellano, M., &amp; Gilioli, “The Effects of Cow-Milk Protein Supplementation in Elderly Population: Systematic Review and Narrative Synthesis,”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12, no. 9, p. 2548, 2020, doi: https://doi.org/10.3390/nu12092548.</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[2]</w:t>
      </w:r>
      <w:r w:rsidRPr="009A1C52">
        <w:rPr>
          <w:rFonts w:ascii="Times New Roman" w:hAnsi="Times New Roman" w:cs="Times New Roman"/>
          <w:noProof/>
          <w:szCs w:val="24"/>
        </w:rPr>
        <w:tab/>
        <w:t>Kementerian Kesehatan RI, “Analisis Lansia Di Indonesia,” 2017.</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[3]</w:t>
      </w:r>
      <w:r w:rsidRPr="009A1C52">
        <w:rPr>
          <w:rFonts w:ascii="Times New Roman" w:hAnsi="Times New Roman" w:cs="Times New Roman"/>
          <w:noProof/>
          <w:szCs w:val="24"/>
        </w:rPr>
        <w:tab/>
        <w:t xml:space="preserve">Badan Pusat Statistik Provinsi Jawa Tengah, “Hasil Sensus Penduduk 2020 di Provinsi Jawa Tengah,” </w:t>
      </w:r>
      <w:r w:rsidRPr="009A1C52">
        <w:rPr>
          <w:rFonts w:ascii="Times New Roman" w:hAnsi="Times New Roman" w:cs="Times New Roman"/>
          <w:i/>
          <w:iCs/>
          <w:noProof/>
          <w:szCs w:val="24"/>
        </w:rPr>
        <w:t>Berita Resmi Statistik</w:t>
      </w:r>
      <w:r w:rsidRPr="009A1C52">
        <w:rPr>
          <w:rFonts w:ascii="Times New Roman" w:hAnsi="Times New Roman" w:cs="Times New Roman"/>
          <w:noProof/>
          <w:szCs w:val="24"/>
        </w:rPr>
        <w:t>, p. 07/01/33 Th. XV, 2021.</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[4]</w:t>
      </w:r>
      <w:r w:rsidRPr="009A1C52">
        <w:rPr>
          <w:rFonts w:ascii="Times New Roman" w:hAnsi="Times New Roman" w:cs="Times New Roman"/>
          <w:noProof/>
          <w:szCs w:val="24"/>
        </w:rPr>
        <w:tab/>
        <w:t xml:space="preserve">S. Bella Friska, Usraleli, Idayanti, Magdalena, “The Relationship Of Family Support With The Quality Of Elderly Living In Sidomulyo Health Center Work Area In Pekanbaru Road,” </w:t>
      </w:r>
      <w:r w:rsidRPr="009A1C52">
        <w:rPr>
          <w:rFonts w:ascii="Times New Roman" w:hAnsi="Times New Roman" w:cs="Times New Roman"/>
          <w:i/>
          <w:iCs/>
          <w:noProof/>
          <w:szCs w:val="24"/>
        </w:rPr>
        <w:t>J. Prot. Kesehat.</w:t>
      </w:r>
      <w:r w:rsidRPr="009A1C52">
        <w:rPr>
          <w:rFonts w:ascii="Times New Roman" w:hAnsi="Times New Roman" w:cs="Times New Roman"/>
          <w:noProof/>
          <w:szCs w:val="24"/>
        </w:rPr>
        <w:t>, vol. 9, no. 1, pp. 1–8, 2020.</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[5]</w:t>
      </w:r>
      <w:r w:rsidRPr="009A1C52">
        <w:rPr>
          <w:rFonts w:ascii="Times New Roman" w:hAnsi="Times New Roman" w:cs="Times New Roman"/>
          <w:noProof/>
          <w:szCs w:val="24"/>
        </w:rPr>
        <w:tab/>
        <w:t xml:space="preserve">L. Y. C. ter Borg S., Verlaan S, Mijnarends D.M., Schols J.M.G.A., de Groot L.C.P.G.M., “Macronutrient Intake and Inadequacies of Community-Dwelling Older Adults, a Systematic Review.,” </w:t>
      </w:r>
      <w:r w:rsidRPr="009A1C52">
        <w:rPr>
          <w:rFonts w:ascii="Times New Roman" w:hAnsi="Times New Roman" w:cs="Times New Roman"/>
          <w:i/>
          <w:iCs/>
          <w:noProof/>
          <w:szCs w:val="24"/>
        </w:rPr>
        <w:t>Ann Nutr Metab</w:t>
      </w:r>
      <w:r w:rsidRPr="009A1C52">
        <w:rPr>
          <w:rFonts w:ascii="Times New Roman" w:hAnsi="Times New Roman" w:cs="Times New Roman"/>
          <w:noProof/>
          <w:szCs w:val="24"/>
        </w:rPr>
        <w:t>, vol. 66, pp. 242–255, 2015, doi: 10.1159/000435862.</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[6]</w:t>
      </w:r>
      <w:r w:rsidRPr="009A1C52">
        <w:rPr>
          <w:rFonts w:ascii="Times New Roman" w:hAnsi="Times New Roman" w:cs="Times New Roman"/>
          <w:noProof/>
          <w:szCs w:val="24"/>
        </w:rPr>
        <w:tab/>
        <w:t xml:space="preserve">K. Kim, Y. M., Yang, N., &amp; Kim, “Effects of Perceived Food Store Environment on Malnutrition and Frailty among the Food-Insecure Elderly in a Metropolitan City,”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13, no. 7, p. 2392, 2021, doi: https://doi.org/10.3390/nu13072392.</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[7]</w:t>
      </w:r>
      <w:r w:rsidRPr="009A1C52">
        <w:rPr>
          <w:rFonts w:ascii="Times New Roman" w:hAnsi="Times New Roman" w:cs="Times New Roman"/>
          <w:noProof/>
          <w:szCs w:val="24"/>
        </w:rPr>
        <w:tab/>
        <w:t xml:space="preserve">E. Coelho-Júnior, H. J., Rodrigues, B., Uchida, M., &amp; Marzetti, “Low Protein Intake Is Associated with Frailty in Older Adults: A Systematic Review and Meta-Analysis of Observational Studies,”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10, no. 9, p. 1334, 2018, doi: https://doi.org/10.3390/nu10091334.</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[8]</w:t>
      </w:r>
      <w:r w:rsidRPr="009A1C52">
        <w:rPr>
          <w:rFonts w:ascii="Times New Roman" w:hAnsi="Times New Roman" w:cs="Times New Roman"/>
          <w:noProof/>
          <w:szCs w:val="24"/>
        </w:rPr>
        <w:tab/>
        <w:t xml:space="preserve">P. G.-C. Helena Sandoval-Insausti, Raúl F. Pérez-Tasigchana, Esther López-García, Esther García-Esquinas, Fernando Rodríguez-Artalejo, “Macronutrients Intake and Incident Frailty in Older Adults: A Prospective Cohort Study,” </w:t>
      </w:r>
      <w:r w:rsidRPr="009A1C52">
        <w:rPr>
          <w:rFonts w:ascii="Times New Roman" w:hAnsi="Times New Roman" w:cs="Times New Roman"/>
          <w:i/>
          <w:iCs/>
          <w:noProof/>
          <w:szCs w:val="24"/>
        </w:rPr>
        <w:t>Journals Gerontol. Ser. A</w:t>
      </w:r>
      <w:r w:rsidRPr="009A1C52">
        <w:rPr>
          <w:rFonts w:ascii="Times New Roman" w:hAnsi="Times New Roman" w:cs="Times New Roman"/>
          <w:noProof/>
          <w:szCs w:val="24"/>
        </w:rPr>
        <w:t>, vol. 71, no. 10, pp. 1329–1334, 2016, doi: https://doi.org/10.1093/gerona/glw033.</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[9]</w:t>
      </w:r>
      <w:r w:rsidRPr="009A1C52">
        <w:rPr>
          <w:rFonts w:ascii="Times New Roman" w:hAnsi="Times New Roman" w:cs="Times New Roman"/>
          <w:noProof/>
          <w:szCs w:val="24"/>
        </w:rPr>
        <w:tab/>
        <w:t xml:space="preserve"> van L. L. Gorissen SH, Rémond D, “The muscle protein synthetic response to food ingestion,” </w:t>
      </w:r>
      <w:r w:rsidRPr="009A1C52">
        <w:rPr>
          <w:rFonts w:ascii="Times New Roman" w:hAnsi="Times New Roman" w:cs="Times New Roman"/>
          <w:i/>
          <w:iCs/>
          <w:noProof/>
          <w:szCs w:val="24"/>
        </w:rPr>
        <w:t>Meat Sci</w:t>
      </w:r>
      <w:r w:rsidRPr="009A1C52">
        <w:rPr>
          <w:rFonts w:ascii="Times New Roman" w:hAnsi="Times New Roman" w:cs="Times New Roman"/>
          <w:noProof/>
          <w:szCs w:val="24"/>
        </w:rPr>
        <w:t>, vol. 109, pp. 96–100, 2015, doi: 10.1016/j.meatsci.2015.05.009.</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[10]</w:t>
      </w:r>
      <w:r w:rsidRPr="009A1C52">
        <w:rPr>
          <w:rFonts w:ascii="Times New Roman" w:hAnsi="Times New Roman" w:cs="Times New Roman"/>
          <w:noProof/>
          <w:szCs w:val="24"/>
        </w:rPr>
        <w:tab/>
        <w:t xml:space="preserve">L. C. Tieland, M., Borgonjen-Van den Berg, K. J., Van Loon, L. J., &amp; de Groot, “Dietary Protein Intake in Dutch Elderly People: A Focus on Protein Sources,”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7, no. 12, pp. 9697–9706, 2015, doi: https://doi.org/10.3390/nu7125496.</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[11]</w:t>
      </w:r>
      <w:r w:rsidRPr="009A1C52">
        <w:rPr>
          <w:rFonts w:ascii="Times New Roman" w:hAnsi="Times New Roman" w:cs="Times New Roman"/>
          <w:noProof/>
          <w:szCs w:val="24"/>
        </w:rPr>
        <w:tab/>
        <w:t xml:space="preserve">F. A. Kehoe L, Walton J, McNulty BA, Nugent AP, “Energy, Macronutrients, Dietary Fibre and Salt Intakes in Older Adults in Ireland: Key Sources and Compliance with Recommendations,”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13, no. 3, p. 876, 2021, doi: https://doi.org/10.3390/nu13030876.</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[12]</w:t>
      </w:r>
      <w:r w:rsidRPr="009A1C52">
        <w:rPr>
          <w:rFonts w:ascii="Times New Roman" w:hAnsi="Times New Roman" w:cs="Times New Roman"/>
          <w:noProof/>
          <w:szCs w:val="24"/>
        </w:rPr>
        <w:tab/>
        <w:t xml:space="preserve">L. Söderström, L., Rosenblad, A., Adolfsson, E., Wolk, A., Håkansson, N., &amp; Bergkvist, “A high </w:t>
      </w:r>
      <w:r w:rsidRPr="009A1C52">
        <w:rPr>
          <w:rFonts w:ascii="Times New Roman" w:hAnsi="Times New Roman" w:cs="Times New Roman"/>
          <w:noProof/>
          <w:szCs w:val="24"/>
        </w:rPr>
        <w:lastRenderedPageBreak/>
        <w:t xml:space="preserve">energy intake from dietary fat among middle-aged and older adults is associated with increased risk of malnutrition 10 years later,” </w:t>
      </w:r>
      <w:r w:rsidRPr="009A1C52">
        <w:rPr>
          <w:rFonts w:ascii="Times New Roman" w:hAnsi="Times New Roman" w:cs="Times New Roman"/>
          <w:i/>
          <w:iCs/>
          <w:noProof/>
          <w:szCs w:val="24"/>
        </w:rPr>
        <w:t>Br. J. Nutr.</w:t>
      </w:r>
      <w:r w:rsidRPr="009A1C52">
        <w:rPr>
          <w:rFonts w:ascii="Times New Roman" w:hAnsi="Times New Roman" w:cs="Times New Roman"/>
          <w:noProof/>
          <w:szCs w:val="24"/>
        </w:rPr>
        <w:t>, vol. 114, no. 6, pp. 915–923, 2015, doi: 10.1017/S0007114515002317.</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[13]</w:t>
      </w:r>
      <w:r w:rsidRPr="009A1C52">
        <w:rPr>
          <w:rFonts w:ascii="Times New Roman" w:hAnsi="Times New Roman" w:cs="Times New Roman"/>
          <w:noProof/>
          <w:szCs w:val="24"/>
        </w:rPr>
        <w:tab/>
        <w:t xml:space="preserve">T. E. Jyväkorpi, S.K., Urtamo, A. and Strandberg, “Dietary Fat Composition and Frailty in Oldest-Old Men,” </w:t>
      </w:r>
      <w:r w:rsidRPr="009A1C52">
        <w:rPr>
          <w:rFonts w:ascii="Times New Roman" w:hAnsi="Times New Roman" w:cs="Times New Roman"/>
          <w:i/>
          <w:iCs/>
          <w:noProof/>
          <w:szCs w:val="24"/>
        </w:rPr>
        <w:t>J Am Geriatr Soc</w:t>
      </w:r>
      <w:r w:rsidRPr="009A1C52">
        <w:rPr>
          <w:rFonts w:ascii="Times New Roman" w:hAnsi="Times New Roman" w:cs="Times New Roman"/>
          <w:noProof/>
          <w:szCs w:val="24"/>
        </w:rPr>
        <w:t>, vol. 68, pp. 1346–1348, 2020, doi: https://doi.org/10.1111/jgs.16402.</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[14]</w:t>
      </w:r>
      <w:r w:rsidRPr="009A1C52">
        <w:rPr>
          <w:rFonts w:ascii="Times New Roman" w:hAnsi="Times New Roman" w:cs="Times New Roman"/>
          <w:noProof/>
          <w:szCs w:val="24"/>
        </w:rPr>
        <w:tab/>
        <w:t xml:space="preserve">S. Sanchez, M. A., Armaingaud, D., Messaoudi, Y., Letty, A., Mahmoudi, R., &amp; Sanchez, “Multiple factor analysis of eating patterns to detect groups at risk of malnutrition among home-dwelling older subjects in 2015,” </w:t>
      </w:r>
      <w:r w:rsidRPr="009A1C52">
        <w:rPr>
          <w:rFonts w:ascii="Times New Roman" w:hAnsi="Times New Roman" w:cs="Times New Roman"/>
          <w:i/>
          <w:iCs/>
          <w:noProof/>
          <w:szCs w:val="24"/>
        </w:rPr>
        <w:t>BMJ Open</w:t>
      </w:r>
      <w:r w:rsidRPr="009A1C52">
        <w:rPr>
          <w:rFonts w:ascii="Times New Roman" w:hAnsi="Times New Roman" w:cs="Times New Roman"/>
          <w:noProof/>
          <w:szCs w:val="24"/>
        </w:rPr>
        <w:t>, vol. 9, no. 6, p. e023548., 2019, doi: https://doi.org/10.1136/bmjopen-2018-023548.</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[15]</w:t>
      </w:r>
      <w:r w:rsidRPr="009A1C52">
        <w:rPr>
          <w:rFonts w:ascii="Times New Roman" w:hAnsi="Times New Roman" w:cs="Times New Roman"/>
          <w:noProof/>
          <w:szCs w:val="24"/>
        </w:rPr>
        <w:tab/>
        <w:t xml:space="preserve">S. J. Lee, D., Hwang, W., Artan, M., Jeong, D. E., &amp; Lee, “Effects of nutritional components on aging.,” </w:t>
      </w:r>
      <w:r w:rsidRPr="009A1C52">
        <w:rPr>
          <w:rFonts w:ascii="Times New Roman" w:hAnsi="Times New Roman" w:cs="Times New Roman"/>
          <w:i/>
          <w:iCs/>
          <w:noProof/>
          <w:szCs w:val="24"/>
        </w:rPr>
        <w:t>Aging Cell</w:t>
      </w:r>
      <w:r w:rsidRPr="009A1C52">
        <w:rPr>
          <w:rFonts w:ascii="Times New Roman" w:hAnsi="Times New Roman" w:cs="Times New Roman"/>
          <w:noProof/>
          <w:szCs w:val="24"/>
        </w:rPr>
        <w:t>, vol. 14, no. 1, pp. 8–16, 2015, doi: https://doi.org/10.1111/acel.12277.</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[16]</w:t>
      </w:r>
      <w:r w:rsidRPr="009A1C52">
        <w:rPr>
          <w:rFonts w:ascii="Times New Roman" w:hAnsi="Times New Roman" w:cs="Times New Roman"/>
          <w:noProof/>
          <w:szCs w:val="24"/>
        </w:rPr>
        <w:tab/>
        <w:t xml:space="preserve">Ashley Lall, “The Optimal Nutritional Requirements for Older Adults to Stay Healthy,” </w:t>
      </w:r>
      <w:r w:rsidRPr="009A1C52">
        <w:rPr>
          <w:rFonts w:ascii="Times New Roman" w:hAnsi="Times New Roman" w:cs="Times New Roman"/>
          <w:i/>
          <w:iCs/>
          <w:noProof/>
          <w:szCs w:val="24"/>
        </w:rPr>
        <w:t>livestrong.com</w:t>
      </w:r>
      <w:r w:rsidRPr="009A1C52">
        <w:rPr>
          <w:rFonts w:ascii="Times New Roman" w:hAnsi="Times New Roman" w:cs="Times New Roman"/>
          <w:noProof/>
          <w:szCs w:val="24"/>
        </w:rPr>
        <w:t>, 2021. https://www.livestrong.com/article/448700-nutritional-requirements-for-the-elderly/  (accessed Oct. 16, 2021).</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[17]</w:t>
      </w:r>
      <w:r w:rsidRPr="009A1C52">
        <w:rPr>
          <w:rFonts w:ascii="Times New Roman" w:hAnsi="Times New Roman" w:cs="Times New Roman"/>
          <w:noProof/>
          <w:szCs w:val="24"/>
        </w:rPr>
        <w:tab/>
        <w:t xml:space="preserve">Beto J. A., “The role of calcium in human aging,” </w:t>
      </w:r>
      <w:r w:rsidRPr="009A1C52">
        <w:rPr>
          <w:rFonts w:ascii="Times New Roman" w:hAnsi="Times New Roman" w:cs="Times New Roman"/>
          <w:i/>
          <w:iCs/>
          <w:noProof/>
          <w:szCs w:val="24"/>
        </w:rPr>
        <w:t>Clin. Nutr. Res.</w:t>
      </w:r>
      <w:r w:rsidRPr="009A1C52">
        <w:rPr>
          <w:rFonts w:ascii="Times New Roman" w:hAnsi="Times New Roman" w:cs="Times New Roman"/>
          <w:noProof/>
          <w:szCs w:val="24"/>
        </w:rPr>
        <w:t>, vol. 4, no. 1, pp. 1–8, 2015, doi: https://doi.org/10.7762/cnr.2015.4.1.1.</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[18]</w:t>
      </w:r>
      <w:r w:rsidRPr="009A1C52">
        <w:rPr>
          <w:rFonts w:ascii="Times New Roman" w:hAnsi="Times New Roman" w:cs="Times New Roman"/>
          <w:noProof/>
          <w:szCs w:val="24"/>
        </w:rPr>
        <w:tab/>
        <w:t xml:space="preserve">G. D. W. R P Heaney, J C Gallagher, C C Johnston, R Neer, A M Parfitt, “Calcium nutrition and bone health in the elderly,” </w:t>
      </w:r>
      <w:r w:rsidRPr="009A1C52">
        <w:rPr>
          <w:rFonts w:ascii="Times New Roman" w:hAnsi="Times New Roman" w:cs="Times New Roman"/>
          <w:i/>
          <w:iCs/>
          <w:noProof/>
          <w:szCs w:val="24"/>
        </w:rPr>
        <w:t>Am. J. Clin. Nutr.</w:t>
      </w:r>
      <w:r w:rsidRPr="009A1C52">
        <w:rPr>
          <w:rFonts w:ascii="Times New Roman" w:hAnsi="Times New Roman" w:cs="Times New Roman"/>
          <w:noProof/>
          <w:szCs w:val="24"/>
        </w:rPr>
        <w:t>, vol. 36, no. 5, pp. 986–1013, 1982, doi: https://doi.org/10.1093/ajcn/36.5.986.</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[19]</w:t>
      </w:r>
      <w:r w:rsidRPr="009A1C52">
        <w:rPr>
          <w:rFonts w:ascii="Times New Roman" w:hAnsi="Times New Roman" w:cs="Times New Roman"/>
          <w:noProof/>
          <w:szCs w:val="24"/>
        </w:rPr>
        <w:tab/>
        <w:t xml:space="preserve">D. G. L. et al Iuliano S, Poon S, Robbins J, Bui M, Wang X, “Effect of dietary sources of calcium and protein on hip fractures and falls in older adults in residential care: cluster randomised controlled trial,” </w:t>
      </w:r>
      <w:r w:rsidRPr="009A1C52">
        <w:rPr>
          <w:rFonts w:ascii="Times New Roman" w:hAnsi="Times New Roman" w:cs="Times New Roman"/>
          <w:i/>
          <w:iCs/>
          <w:noProof/>
          <w:szCs w:val="24"/>
        </w:rPr>
        <w:t>BMJ</w:t>
      </w:r>
      <w:r w:rsidRPr="009A1C52">
        <w:rPr>
          <w:rFonts w:ascii="Times New Roman" w:hAnsi="Times New Roman" w:cs="Times New Roman"/>
          <w:noProof/>
          <w:szCs w:val="24"/>
        </w:rPr>
        <w:t>, vol. 375, p. n2364, 2021, doi: 10.1136/bmj.n2364.</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szCs w:val="24"/>
        </w:rPr>
      </w:pPr>
      <w:r w:rsidRPr="009A1C52">
        <w:rPr>
          <w:rFonts w:ascii="Times New Roman" w:hAnsi="Times New Roman" w:cs="Times New Roman"/>
          <w:noProof/>
          <w:szCs w:val="24"/>
        </w:rPr>
        <w:t>[20]</w:t>
      </w:r>
      <w:r w:rsidRPr="009A1C52">
        <w:rPr>
          <w:rFonts w:ascii="Times New Roman" w:hAnsi="Times New Roman" w:cs="Times New Roman"/>
          <w:noProof/>
          <w:szCs w:val="24"/>
        </w:rPr>
        <w:tab/>
        <w:t xml:space="preserve">G. Rémond, D., Shahar, D. R., Gille, D., Pinto, P., Kachal, J., Peyron, M. A., Dos Santos, C. N., Walther, B., Bordoni, A., Dupont, D., Tomás-Cobos, L., &amp; Vergères, “Understanding the gastrointestinal tract of the elderly to develop dietary solutions that prevent malnutrition,” </w:t>
      </w:r>
      <w:r w:rsidRPr="009A1C52">
        <w:rPr>
          <w:rFonts w:ascii="Times New Roman" w:hAnsi="Times New Roman" w:cs="Times New Roman"/>
          <w:i/>
          <w:iCs/>
          <w:noProof/>
          <w:szCs w:val="24"/>
        </w:rPr>
        <w:t>Oncotarget</w:t>
      </w:r>
      <w:r w:rsidRPr="009A1C52">
        <w:rPr>
          <w:rFonts w:ascii="Times New Roman" w:hAnsi="Times New Roman" w:cs="Times New Roman"/>
          <w:noProof/>
          <w:szCs w:val="24"/>
        </w:rPr>
        <w:t>, vol. 6, no. 16, pp. 13858–13898, 2015, doi: https://doi.org/10.18632/oncotarget.4030.</w:t>
      </w:r>
    </w:p>
    <w:p w:rsidR="009A1C52" w:rsidRPr="009A1C52" w:rsidRDefault="009A1C52" w:rsidP="00314BB2">
      <w:pPr>
        <w:widowControl w:val="0"/>
        <w:autoSpaceDE w:val="0"/>
        <w:autoSpaceDN w:val="0"/>
        <w:adjustRightInd w:val="0"/>
        <w:spacing w:after="0" w:line="240" w:lineRule="auto"/>
        <w:ind w:left="640" w:hanging="640"/>
        <w:jc w:val="both"/>
        <w:rPr>
          <w:rFonts w:ascii="Times New Roman" w:hAnsi="Times New Roman" w:cs="Times New Roman"/>
          <w:noProof/>
        </w:rPr>
      </w:pPr>
      <w:r w:rsidRPr="009A1C52">
        <w:rPr>
          <w:rFonts w:ascii="Times New Roman" w:hAnsi="Times New Roman" w:cs="Times New Roman"/>
          <w:noProof/>
          <w:szCs w:val="24"/>
        </w:rPr>
        <w:t>[21]</w:t>
      </w:r>
      <w:r w:rsidRPr="009A1C52">
        <w:rPr>
          <w:rFonts w:ascii="Times New Roman" w:hAnsi="Times New Roman" w:cs="Times New Roman"/>
          <w:noProof/>
          <w:szCs w:val="24"/>
        </w:rPr>
        <w:tab/>
        <w:t xml:space="preserve">D. Cristina, N. M., &amp; Lucia, “Nutrition and Healthy Aging: Prevention and Treatment of Gastrointestinal Diseases,” </w:t>
      </w:r>
      <w:r w:rsidRPr="009A1C52">
        <w:rPr>
          <w:rFonts w:ascii="Times New Roman" w:hAnsi="Times New Roman" w:cs="Times New Roman"/>
          <w:i/>
          <w:iCs/>
          <w:noProof/>
          <w:szCs w:val="24"/>
        </w:rPr>
        <w:t>Nutrients</w:t>
      </w:r>
      <w:r w:rsidRPr="009A1C52">
        <w:rPr>
          <w:rFonts w:ascii="Times New Roman" w:hAnsi="Times New Roman" w:cs="Times New Roman"/>
          <w:noProof/>
          <w:szCs w:val="24"/>
        </w:rPr>
        <w:t>, vol. 13, no. 12, p. 4337, 2021, doi: https://doi.org/10.3390/nu13124337.</w:t>
      </w:r>
    </w:p>
    <w:p w:rsidR="009A1C52" w:rsidRDefault="009A1C52" w:rsidP="00314BB2">
      <w:pPr>
        <w:spacing w:after="0" w:line="240" w:lineRule="auto"/>
        <w:jc w:val="both"/>
      </w:pPr>
      <w:r w:rsidRPr="009A1C52">
        <w:rPr>
          <w:rFonts w:ascii="Times New Roman" w:hAnsi="Times New Roman" w:cs="Times New Roman"/>
        </w:rPr>
        <w:fldChar w:fldCharType="end"/>
      </w:r>
    </w:p>
    <w:p w:rsidR="009A21A0" w:rsidRDefault="009A21A0" w:rsidP="00314BB2">
      <w:pPr>
        <w:jc w:val="both"/>
      </w:pPr>
    </w:p>
    <w:sectPr w:rsidR="009A2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62EF"/>
    <w:multiLevelType w:val="hybridMultilevel"/>
    <w:tmpl w:val="9356E100"/>
    <w:lvl w:ilvl="0" w:tplc="72D003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06213"/>
    <w:multiLevelType w:val="hybridMultilevel"/>
    <w:tmpl w:val="6A9C69BE"/>
    <w:lvl w:ilvl="0" w:tplc="0CDCCC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723F4"/>
    <w:multiLevelType w:val="hybridMultilevel"/>
    <w:tmpl w:val="3EDE1CCA"/>
    <w:lvl w:ilvl="0" w:tplc="0CCE879E">
      <w:start w:val="1"/>
      <w:numFmt w:val="decimal"/>
      <w:lvlText w:val="%1."/>
      <w:lvlJc w:val="left"/>
      <w:pPr>
        <w:ind w:left="720" w:hanging="360"/>
      </w:pPr>
      <w:rPr>
        <w:rFonts w:ascii="Times New Roman" w:eastAsia="Calibr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11FDC"/>
    <w:multiLevelType w:val="hybridMultilevel"/>
    <w:tmpl w:val="29DEB73A"/>
    <w:lvl w:ilvl="0" w:tplc="DD4AF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A67703"/>
    <w:multiLevelType w:val="hybridMultilevel"/>
    <w:tmpl w:val="7654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F63E18"/>
    <w:multiLevelType w:val="hybridMultilevel"/>
    <w:tmpl w:val="87F2C6C0"/>
    <w:lvl w:ilvl="0" w:tplc="0409000F">
      <w:start w:val="1"/>
      <w:numFmt w:val="decimal"/>
      <w:lvlText w:val="%1."/>
      <w:lvlJc w:val="left"/>
      <w:pPr>
        <w:ind w:left="720" w:hanging="360"/>
      </w:pPr>
      <w:rPr>
        <w:rFonts w:hint="default"/>
      </w:rPr>
    </w:lvl>
    <w:lvl w:ilvl="1" w:tplc="28C8CD96">
      <w:start w:val="1"/>
      <w:numFmt w:val="lowerLetter"/>
      <w:lvlText w:val="%2)"/>
      <w:lvlJc w:val="left"/>
      <w:pPr>
        <w:ind w:left="1695" w:hanging="615"/>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C970A9"/>
    <w:multiLevelType w:val="hybridMultilevel"/>
    <w:tmpl w:val="29DEB73A"/>
    <w:lvl w:ilvl="0" w:tplc="DD4AF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9F4213"/>
    <w:multiLevelType w:val="hybridMultilevel"/>
    <w:tmpl w:val="29DEB73A"/>
    <w:lvl w:ilvl="0" w:tplc="DD4AF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7A4870"/>
    <w:multiLevelType w:val="hybridMultilevel"/>
    <w:tmpl w:val="64E4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A114A5"/>
    <w:multiLevelType w:val="hybridMultilevel"/>
    <w:tmpl w:val="3F447AB6"/>
    <w:lvl w:ilvl="0" w:tplc="C2B2C4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216CEE"/>
    <w:multiLevelType w:val="hybridMultilevel"/>
    <w:tmpl w:val="5DC254DC"/>
    <w:lvl w:ilvl="0" w:tplc="3744AC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CC17C5"/>
    <w:multiLevelType w:val="hybridMultilevel"/>
    <w:tmpl w:val="29DEB73A"/>
    <w:lvl w:ilvl="0" w:tplc="DD4AF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2B5ADF"/>
    <w:multiLevelType w:val="hybridMultilevel"/>
    <w:tmpl w:val="E15E975E"/>
    <w:lvl w:ilvl="0" w:tplc="3744AC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1"/>
  </w:num>
  <w:num w:numId="4">
    <w:abstractNumId w:val="7"/>
  </w:num>
  <w:num w:numId="5">
    <w:abstractNumId w:val="3"/>
  </w:num>
  <w:num w:numId="6">
    <w:abstractNumId w:val="6"/>
  </w:num>
  <w:num w:numId="7">
    <w:abstractNumId w:val="1"/>
  </w:num>
  <w:num w:numId="8">
    <w:abstractNumId w:val="0"/>
  </w:num>
  <w:num w:numId="9">
    <w:abstractNumId w:val="2"/>
  </w:num>
  <w:num w:numId="10">
    <w:abstractNumId w:val="5"/>
  </w:num>
  <w:num w:numId="11">
    <w:abstractNumId w:val="10"/>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2D"/>
    <w:rsid w:val="00032CFF"/>
    <w:rsid w:val="00060DFF"/>
    <w:rsid w:val="000A5C60"/>
    <w:rsid w:val="000A6C9C"/>
    <w:rsid w:val="00101ABD"/>
    <w:rsid w:val="001512E6"/>
    <w:rsid w:val="00173774"/>
    <w:rsid w:val="0017798A"/>
    <w:rsid w:val="00194838"/>
    <w:rsid w:val="001D205F"/>
    <w:rsid w:val="002A4BF9"/>
    <w:rsid w:val="002A5304"/>
    <w:rsid w:val="00314BB2"/>
    <w:rsid w:val="00336C94"/>
    <w:rsid w:val="0036764D"/>
    <w:rsid w:val="0043789E"/>
    <w:rsid w:val="0045211B"/>
    <w:rsid w:val="00476649"/>
    <w:rsid w:val="004A6640"/>
    <w:rsid w:val="00502866"/>
    <w:rsid w:val="00520D4C"/>
    <w:rsid w:val="00546AC6"/>
    <w:rsid w:val="00564ADB"/>
    <w:rsid w:val="005C5CE7"/>
    <w:rsid w:val="005F685D"/>
    <w:rsid w:val="0062741B"/>
    <w:rsid w:val="00691AC1"/>
    <w:rsid w:val="006D480E"/>
    <w:rsid w:val="006D4B08"/>
    <w:rsid w:val="00720E89"/>
    <w:rsid w:val="00731A5A"/>
    <w:rsid w:val="00744946"/>
    <w:rsid w:val="00752266"/>
    <w:rsid w:val="0075635C"/>
    <w:rsid w:val="0076330C"/>
    <w:rsid w:val="00790403"/>
    <w:rsid w:val="007D6FCF"/>
    <w:rsid w:val="007E013B"/>
    <w:rsid w:val="00861015"/>
    <w:rsid w:val="0089391B"/>
    <w:rsid w:val="008D145A"/>
    <w:rsid w:val="009063DD"/>
    <w:rsid w:val="00933F5B"/>
    <w:rsid w:val="009A1C52"/>
    <w:rsid w:val="009A21A0"/>
    <w:rsid w:val="009A6D30"/>
    <w:rsid w:val="009B5C0E"/>
    <w:rsid w:val="009E4C88"/>
    <w:rsid w:val="00A01EE7"/>
    <w:rsid w:val="00A16B6E"/>
    <w:rsid w:val="00A21523"/>
    <w:rsid w:val="00A2211F"/>
    <w:rsid w:val="00A93CE6"/>
    <w:rsid w:val="00AC2F20"/>
    <w:rsid w:val="00AE1776"/>
    <w:rsid w:val="00BB2CD7"/>
    <w:rsid w:val="00BB5671"/>
    <w:rsid w:val="00BC3815"/>
    <w:rsid w:val="00BE2312"/>
    <w:rsid w:val="00BF74E5"/>
    <w:rsid w:val="00CD7A56"/>
    <w:rsid w:val="00CE145D"/>
    <w:rsid w:val="00D1444A"/>
    <w:rsid w:val="00D2712D"/>
    <w:rsid w:val="00D94B59"/>
    <w:rsid w:val="00D95353"/>
    <w:rsid w:val="00DB3788"/>
    <w:rsid w:val="00DD7B5A"/>
    <w:rsid w:val="00E521A5"/>
    <w:rsid w:val="00F5041C"/>
    <w:rsid w:val="00FA70CE"/>
    <w:rsid w:val="00FE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180F6-4586-4A59-97AF-5119DC42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14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UGEX'Z,Body of text,sub de titre 4,ANNEX,List Paragraph1,list nomor,Heading 1 Char1"/>
    <w:basedOn w:val="Normal"/>
    <w:link w:val="ListParagraphChar"/>
    <w:uiPriority w:val="34"/>
    <w:qFormat/>
    <w:rsid w:val="009B5C0E"/>
    <w:pPr>
      <w:ind w:left="720"/>
      <w:contextualSpacing/>
    </w:pPr>
  </w:style>
  <w:style w:type="character" w:styleId="Hyperlink">
    <w:name w:val="Hyperlink"/>
    <w:basedOn w:val="DefaultParagraphFont"/>
    <w:uiPriority w:val="99"/>
    <w:unhideWhenUsed/>
    <w:rsid w:val="008D145A"/>
    <w:rPr>
      <w:color w:val="0000FF"/>
      <w:u w:val="single"/>
    </w:rPr>
  </w:style>
  <w:style w:type="character" w:customStyle="1" w:styleId="Heading1Char">
    <w:name w:val="Heading 1 Char"/>
    <w:basedOn w:val="DefaultParagraphFont"/>
    <w:link w:val="Heading1"/>
    <w:uiPriority w:val="9"/>
    <w:rsid w:val="008D145A"/>
    <w:rPr>
      <w:rFonts w:ascii="Times New Roman" w:eastAsia="Times New Roman" w:hAnsi="Times New Roman" w:cs="Times New Roman"/>
      <w:b/>
      <w:bCs/>
      <w:kern w:val="36"/>
      <w:sz w:val="48"/>
      <w:szCs w:val="48"/>
    </w:rPr>
  </w:style>
  <w:style w:type="character" w:customStyle="1" w:styleId="text">
    <w:name w:val="text"/>
    <w:basedOn w:val="DefaultParagraphFont"/>
    <w:rsid w:val="008D145A"/>
  </w:style>
  <w:style w:type="character" w:styleId="Strong">
    <w:name w:val="Strong"/>
    <w:basedOn w:val="DefaultParagraphFont"/>
    <w:uiPriority w:val="22"/>
    <w:qFormat/>
    <w:rsid w:val="00D1444A"/>
    <w:rPr>
      <w:b/>
      <w:bCs/>
    </w:rPr>
  </w:style>
  <w:style w:type="character" w:styleId="Emphasis">
    <w:name w:val="Emphasis"/>
    <w:basedOn w:val="DefaultParagraphFont"/>
    <w:uiPriority w:val="20"/>
    <w:qFormat/>
    <w:rsid w:val="00A21523"/>
    <w:rPr>
      <w:i/>
      <w:iCs/>
    </w:rPr>
  </w:style>
  <w:style w:type="character" w:customStyle="1" w:styleId="highwire-cite-authors">
    <w:name w:val="highwire-cite-authors"/>
    <w:basedOn w:val="DefaultParagraphFont"/>
    <w:rsid w:val="00564ADB"/>
  </w:style>
  <w:style w:type="character" w:customStyle="1" w:styleId="nlm-surname">
    <w:name w:val="nlm-surname"/>
    <w:basedOn w:val="DefaultParagraphFont"/>
    <w:rsid w:val="00564ADB"/>
  </w:style>
  <w:style w:type="character" w:customStyle="1" w:styleId="nlm-given-names">
    <w:name w:val="nlm-given-names"/>
    <w:basedOn w:val="DefaultParagraphFont"/>
    <w:rsid w:val="00564ADB"/>
  </w:style>
  <w:style w:type="character" w:customStyle="1" w:styleId="highwire-cite-title">
    <w:name w:val="highwire-cite-title"/>
    <w:basedOn w:val="DefaultParagraphFont"/>
    <w:rsid w:val="00564ADB"/>
  </w:style>
  <w:style w:type="character" w:customStyle="1" w:styleId="highwire-cite-metadata-journal">
    <w:name w:val="highwire-cite-metadata-journal"/>
    <w:basedOn w:val="DefaultParagraphFont"/>
    <w:rsid w:val="00564ADB"/>
  </w:style>
  <w:style w:type="character" w:customStyle="1" w:styleId="highwire-cite-metadata-date">
    <w:name w:val="highwire-cite-metadata-date"/>
    <w:basedOn w:val="DefaultParagraphFont"/>
    <w:rsid w:val="00564ADB"/>
  </w:style>
  <w:style w:type="character" w:customStyle="1" w:styleId="highwire-cite-metadata-volume">
    <w:name w:val="highwire-cite-metadata-volume"/>
    <w:basedOn w:val="DefaultParagraphFont"/>
    <w:rsid w:val="00564ADB"/>
  </w:style>
  <w:style w:type="character" w:customStyle="1" w:styleId="article-doi">
    <w:name w:val="article-doi"/>
    <w:basedOn w:val="DefaultParagraphFont"/>
    <w:rsid w:val="00564ADB"/>
  </w:style>
  <w:style w:type="character" w:customStyle="1" w:styleId="color">
    <w:name w:val="color"/>
    <w:basedOn w:val="DefaultParagraphFont"/>
    <w:rsid w:val="006D480E"/>
  </w:style>
  <w:style w:type="paragraph" w:customStyle="1" w:styleId="Addresses">
    <w:name w:val="Addresses"/>
    <w:next w:val="Normal"/>
    <w:rsid w:val="0062741B"/>
    <w:pPr>
      <w:spacing w:after="240" w:line="240" w:lineRule="auto"/>
      <w:ind w:left="1418"/>
    </w:pPr>
    <w:rPr>
      <w:rFonts w:ascii="Times" w:eastAsia="Times New Roman" w:hAnsi="Times" w:cs="Times New Roman"/>
      <w:lang w:val="en-GB"/>
    </w:rPr>
  </w:style>
  <w:style w:type="character" w:customStyle="1" w:styleId="ListParagraphChar">
    <w:name w:val="List Paragraph Char"/>
    <w:aliases w:val="UGEX'Z Char,Body of text Char,sub de titre 4 Char,ANNEX Char,List Paragraph1 Char,list nomor Char,Heading 1 Char1 Char"/>
    <w:link w:val="ListParagraph"/>
    <w:uiPriority w:val="34"/>
    <w:locked/>
    <w:rsid w:val="009A1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603957">
      <w:bodyDiv w:val="1"/>
      <w:marLeft w:val="0"/>
      <w:marRight w:val="0"/>
      <w:marTop w:val="0"/>
      <w:marBottom w:val="0"/>
      <w:divBdr>
        <w:top w:val="none" w:sz="0" w:space="0" w:color="auto"/>
        <w:left w:val="none" w:sz="0" w:space="0" w:color="auto"/>
        <w:bottom w:val="none" w:sz="0" w:space="0" w:color="auto"/>
        <w:right w:val="none" w:sz="0" w:space="0" w:color="auto"/>
      </w:divBdr>
      <w:divsChild>
        <w:div w:id="159276126">
          <w:marLeft w:val="0"/>
          <w:marRight w:val="75"/>
          <w:marTop w:val="0"/>
          <w:marBottom w:val="0"/>
          <w:divBdr>
            <w:top w:val="none" w:sz="0" w:space="0" w:color="auto"/>
            <w:left w:val="none" w:sz="0" w:space="0" w:color="auto"/>
            <w:bottom w:val="none" w:sz="0" w:space="0" w:color="auto"/>
            <w:right w:val="none" w:sz="0" w:space="0" w:color="auto"/>
          </w:divBdr>
        </w:div>
        <w:div w:id="708801736">
          <w:marLeft w:val="0"/>
          <w:marRight w:val="75"/>
          <w:marTop w:val="0"/>
          <w:marBottom w:val="0"/>
          <w:divBdr>
            <w:top w:val="none" w:sz="0" w:space="0" w:color="auto"/>
            <w:left w:val="none" w:sz="0" w:space="0" w:color="auto"/>
            <w:bottom w:val="none" w:sz="0" w:space="0" w:color="auto"/>
            <w:right w:val="none" w:sz="0" w:space="0" w:color="auto"/>
          </w:divBdr>
        </w:div>
        <w:div w:id="1121799615">
          <w:marLeft w:val="0"/>
          <w:marRight w:val="75"/>
          <w:marTop w:val="0"/>
          <w:marBottom w:val="0"/>
          <w:divBdr>
            <w:top w:val="none" w:sz="0" w:space="0" w:color="auto"/>
            <w:left w:val="none" w:sz="0" w:space="0" w:color="auto"/>
            <w:bottom w:val="none" w:sz="0" w:space="0" w:color="auto"/>
            <w:right w:val="none" w:sz="0" w:space="0" w:color="auto"/>
          </w:divBdr>
        </w:div>
      </w:divsChild>
    </w:div>
    <w:div w:id="861170384">
      <w:bodyDiv w:val="1"/>
      <w:marLeft w:val="0"/>
      <w:marRight w:val="0"/>
      <w:marTop w:val="0"/>
      <w:marBottom w:val="0"/>
      <w:divBdr>
        <w:top w:val="none" w:sz="0" w:space="0" w:color="auto"/>
        <w:left w:val="none" w:sz="0" w:space="0" w:color="auto"/>
        <w:bottom w:val="none" w:sz="0" w:space="0" w:color="auto"/>
        <w:right w:val="none" w:sz="0" w:space="0" w:color="auto"/>
      </w:divBdr>
    </w:div>
    <w:div w:id="868567062">
      <w:bodyDiv w:val="1"/>
      <w:marLeft w:val="0"/>
      <w:marRight w:val="0"/>
      <w:marTop w:val="0"/>
      <w:marBottom w:val="0"/>
      <w:divBdr>
        <w:top w:val="none" w:sz="0" w:space="0" w:color="auto"/>
        <w:left w:val="none" w:sz="0" w:space="0" w:color="auto"/>
        <w:bottom w:val="none" w:sz="0" w:space="0" w:color="auto"/>
        <w:right w:val="none" w:sz="0" w:space="0" w:color="auto"/>
      </w:divBdr>
    </w:div>
    <w:div w:id="16054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sa.jn2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57D01-167B-439E-867A-A32BEC0D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5297</Words>
  <Characters>30193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NISA</cp:lastModifiedBy>
  <cp:revision>4</cp:revision>
  <dcterms:created xsi:type="dcterms:W3CDTF">2022-01-08T15:13:00Z</dcterms:created>
  <dcterms:modified xsi:type="dcterms:W3CDTF">2022-01-08T15:14:00Z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caf806e8-42f6-3e06-a8d4-0ad1a94ddcce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