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8657" w14:textId="131817F2" w:rsidR="00841437" w:rsidRPr="00002F63" w:rsidRDefault="00F915AC" w:rsidP="00841437">
      <w:pPr>
        <w:pStyle w:val="Title"/>
        <w:rPr>
          <w:rFonts w:ascii="Times New Roman" w:hAnsi="Times New Roman"/>
          <w:lang w:val="id-ID"/>
        </w:rPr>
      </w:pPr>
      <w:r w:rsidRPr="00F915AC">
        <w:rPr>
          <w:rFonts w:ascii="Times New Roman" w:hAnsi="Times New Roman"/>
          <w:lang w:val="en-US"/>
        </w:rPr>
        <w:t>Analysis of the Mathematical Understanding Ability of Students Tuton Class at Statistical Method Course in the Open University</w:t>
      </w:r>
    </w:p>
    <w:p w14:paraId="27188E00" w14:textId="77777777" w:rsidR="00841437" w:rsidRDefault="00841437" w:rsidP="00841437">
      <w:pPr>
        <w:pStyle w:val="HTMLPreformatted"/>
        <w:shd w:val="clear" w:color="auto" w:fill="FFFFFF"/>
        <w:spacing w:line="360" w:lineRule="auto"/>
        <w:jc w:val="center"/>
        <w:rPr>
          <w:rFonts w:ascii="Times New Roman" w:eastAsia="SimSun" w:hAnsi="Times New Roman" w:cs="Times New Roman"/>
          <w:b/>
          <w:sz w:val="24"/>
          <w:szCs w:val="24"/>
          <w:lang w:val="en-US"/>
        </w:rPr>
      </w:pPr>
    </w:p>
    <w:p w14:paraId="740C5A08" w14:textId="05358D11" w:rsidR="00841437" w:rsidRPr="00002F63" w:rsidRDefault="0014035A" w:rsidP="00841437">
      <w:pPr>
        <w:pStyle w:val="Authors"/>
        <w:rPr>
          <w:rFonts w:ascii="Times New Roman" w:hAnsi="Times New Roman"/>
          <w:b w:val="0"/>
        </w:rPr>
      </w:pPr>
      <w:r>
        <w:rPr>
          <w:rFonts w:ascii="Times New Roman" w:hAnsi="Times New Roman"/>
          <w:b w:val="0"/>
        </w:rPr>
        <w:t>Nerru Pranuta Murnaka</w:t>
      </w:r>
      <w:r w:rsidR="00841437" w:rsidRPr="0014035A">
        <w:rPr>
          <w:rFonts w:ascii="Times New Roman" w:hAnsi="Times New Roman"/>
          <w:b w:val="0"/>
          <w:vertAlign w:val="superscript"/>
        </w:rPr>
        <w:t>1</w:t>
      </w:r>
      <w:r w:rsidR="00841437" w:rsidRPr="00002F63">
        <w:rPr>
          <w:rFonts w:ascii="Times New Roman" w:hAnsi="Times New Roman"/>
          <w:b w:val="0"/>
        </w:rPr>
        <w:t xml:space="preserve">, </w:t>
      </w:r>
      <w:r w:rsidR="004E1B20">
        <w:rPr>
          <w:rFonts w:ascii="Times New Roman" w:hAnsi="Times New Roman"/>
          <w:b w:val="0"/>
        </w:rPr>
        <w:t>Andi Mardiana Paduppai</w:t>
      </w:r>
      <w:r w:rsidR="00286ECC">
        <w:rPr>
          <w:rFonts w:ascii="Times New Roman" w:hAnsi="Times New Roman"/>
          <w:b w:val="0"/>
          <w:vertAlign w:val="superscript"/>
        </w:rPr>
        <w:t>2</w:t>
      </w:r>
      <w:r w:rsidR="00841437" w:rsidRPr="00002F63">
        <w:rPr>
          <w:rFonts w:ascii="Times New Roman" w:hAnsi="Times New Roman"/>
          <w:b w:val="0"/>
        </w:rPr>
        <w:t xml:space="preserve">, </w:t>
      </w:r>
      <w:r w:rsidR="004E1B20">
        <w:rPr>
          <w:rFonts w:ascii="Times New Roman" w:hAnsi="Times New Roman"/>
          <w:b w:val="0"/>
        </w:rPr>
        <w:t>Samsul Arifin</w:t>
      </w:r>
      <w:r w:rsidR="00286ECC">
        <w:rPr>
          <w:rFonts w:ascii="Times New Roman" w:hAnsi="Times New Roman"/>
          <w:b w:val="0"/>
          <w:vertAlign w:val="superscript"/>
        </w:rPr>
        <w:t>3</w:t>
      </w:r>
      <w:r w:rsidR="004E1B20" w:rsidRPr="00002F63">
        <w:rPr>
          <w:rFonts w:ascii="Times New Roman" w:hAnsi="Times New Roman"/>
          <w:b w:val="0"/>
        </w:rPr>
        <w:t>*</w:t>
      </w:r>
    </w:p>
    <w:p w14:paraId="18E6E26A" w14:textId="0AAF9388" w:rsidR="00841437" w:rsidRPr="00002F63" w:rsidRDefault="0014035A" w:rsidP="00841437">
      <w:pPr>
        <w:pStyle w:val="Authors"/>
        <w:rPr>
          <w:rFonts w:ascii="Times New Roman" w:hAnsi="Times New Roman"/>
          <w:b w:val="0"/>
        </w:rPr>
      </w:pPr>
      <w:r w:rsidRPr="0014035A">
        <w:rPr>
          <w:rFonts w:ascii="Times New Roman" w:hAnsi="Times New Roman"/>
          <w:b w:val="0"/>
          <w:vertAlign w:val="superscript"/>
        </w:rPr>
        <w:t>1</w:t>
      </w:r>
      <w:r w:rsidRPr="0014035A">
        <w:rPr>
          <w:rFonts w:ascii="Times New Roman" w:hAnsi="Times New Roman"/>
          <w:b w:val="0"/>
        </w:rPr>
        <w:t>Mathematics Education Department, STKIP Surya</w:t>
      </w:r>
      <w:r w:rsidR="00390435">
        <w:rPr>
          <w:rFonts w:ascii="Times New Roman" w:hAnsi="Times New Roman"/>
          <w:b w:val="0"/>
        </w:rPr>
        <w:t>, Tangerang.</w:t>
      </w:r>
    </w:p>
    <w:p w14:paraId="00460A7D" w14:textId="5E8538B7" w:rsidR="00286ECC" w:rsidRDefault="0014035A" w:rsidP="0014035A">
      <w:pPr>
        <w:pStyle w:val="Authors"/>
        <w:rPr>
          <w:rFonts w:ascii="Times New Roman" w:hAnsi="Times New Roman"/>
          <w:b w:val="0"/>
        </w:rPr>
      </w:pPr>
      <w:r w:rsidRPr="0014035A">
        <w:rPr>
          <w:rFonts w:ascii="Times New Roman" w:hAnsi="Times New Roman"/>
          <w:b w:val="0"/>
          <w:vertAlign w:val="superscript"/>
        </w:rPr>
        <w:t>1</w:t>
      </w:r>
      <w:r>
        <w:rPr>
          <w:rFonts w:ascii="Times New Roman" w:hAnsi="Times New Roman"/>
          <w:b w:val="0"/>
          <w:vertAlign w:val="superscript"/>
        </w:rPr>
        <w:t>,</w:t>
      </w:r>
      <w:r w:rsidR="00FC1215">
        <w:rPr>
          <w:rFonts w:ascii="Times New Roman" w:hAnsi="Times New Roman"/>
          <w:b w:val="0"/>
          <w:vertAlign w:val="superscript"/>
        </w:rPr>
        <w:t>2</w:t>
      </w:r>
      <w:r>
        <w:rPr>
          <w:rFonts w:ascii="Times New Roman" w:hAnsi="Times New Roman"/>
          <w:b w:val="0"/>
        </w:rPr>
        <w:t>Universitas Negeri Semarang</w:t>
      </w:r>
      <w:r w:rsidR="00286ECC">
        <w:rPr>
          <w:rFonts w:ascii="Times New Roman" w:hAnsi="Times New Roman"/>
          <w:b w:val="0"/>
        </w:rPr>
        <w:t xml:space="preserve"> </w:t>
      </w:r>
    </w:p>
    <w:p w14:paraId="45FFFBEF" w14:textId="4F093F30" w:rsidR="0014035A" w:rsidRPr="00002F63" w:rsidRDefault="00FC1215" w:rsidP="0014035A">
      <w:pPr>
        <w:pStyle w:val="Authors"/>
        <w:rPr>
          <w:rFonts w:ascii="Times New Roman" w:hAnsi="Times New Roman"/>
          <w:b w:val="0"/>
        </w:rPr>
      </w:pPr>
      <w:r>
        <w:rPr>
          <w:rFonts w:ascii="Times New Roman" w:hAnsi="Times New Roman"/>
          <w:b w:val="0"/>
          <w:vertAlign w:val="superscript"/>
        </w:rPr>
        <w:t>3</w:t>
      </w:r>
      <w:r w:rsidR="00286ECC" w:rsidRPr="00390435">
        <w:rPr>
          <w:rFonts w:ascii="Times New Roman" w:hAnsi="Times New Roman"/>
          <w:b w:val="0"/>
        </w:rPr>
        <w:t>Statistics Department, School of Computer Science, Bina Nusantara University, Jakarta</w:t>
      </w:r>
      <w:r w:rsidR="00286ECC">
        <w:rPr>
          <w:rFonts w:ascii="Times New Roman" w:hAnsi="Times New Roman"/>
          <w:b w:val="0"/>
        </w:rPr>
        <w:t>.</w:t>
      </w:r>
    </w:p>
    <w:p w14:paraId="6C88B992" w14:textId="1D7B2419" w:rsidR="00841437" w:rsidRPr="00002F63" w:rsidRDefault="00841437" w:rsidP="00841437">
      <w:pPr>
        <w:pStyle w:val="Authors"/>
        <w:rPr>
          <w:rFonts w:ascii="Times New Roman" w:hAnsi="Times New Roman"/>
          <w:b w:val="0"/>
        </w:rPr>
      </w:pPr>
      <w:r w:rsidRPr="00002F63">
        <w:rPr>
          <w:rFonts w:ascii="Times New Roman" w:hAnsi="Times New Roman"/>
          <w:b w:val="0"/>
        </w:rPr>
        <w:br/>
        <w:t xml:space="preserve">*Corresponding author: </w:t>
      </w:r>
      <w:r w:rsidR="00390435" w:rsidRPr="00390435">
        <w:rPr>
          <w:rFonts w:ascii="Times New Roman" w:hAnsi="Times New Roman"/>
          <w:b w:val="0"/>
        </w:rPr>
        <w:t>samsul.arifin@binus.edu</w:t>
      </w:r>
    </w:p>
    <w:p w14:paraId="544417AA" w14:textId="77777777" w:rsidR="00841437" w:rsidRDefault="00841437" w:rsidP="00841437">
      <w:pPr>
        <w:pStyle w:val="HTMLPreformatted"/>
        <w:shd w:val="clear" w:color="auto" w:fill="FFFFFF"/>
        <w:spacing w:line="360" w:lineRule="auto"/>
        <w:jc w:val="center"/>
        <w:rPr>
          <w:rFonts w:ascii="Times New Roman" w:hAnsi="Times New Roman" w:cs="Times New Roman"/>
          <w:sz w:val="24"/>
          <w:szCs w:val="24"/>
          <w:lang w:val="en-US"/>
        </w:rPr>
      </w:pPr>
    </w:p>
    <w:p w14:paraId="534CB7E3" w14:textId="77777777" w:rsidR="00841437" w:rsidRDefault="00841437" w:rsidP="00841437">
      <w:pPr>
        <w:pStyle w:val="HTMLPreformatted"/>
        <w:shd w:val="clear" w:color="auto" w:fill="FFFFFF"/>
        <w:spacing w:line="360" w:lineRule="auto"/>
        <w:jc w:val="center"/>
        <w:rPr>
          <w:rFonts w:ascii="Times New Roman" w:hAnsi="Times New Roman" w:cs="Times New Roman"/>
          <w:sz w:val="24"/>
          <w:szCs w:val="24"/>
          <w:lang w:val="en-US"/>
        </w:rPr>
      </w:pPr>
    </w:p>
    <w:p w14:paraId="41376538" w14:textId="6075A686" w:rsidR="00841437" w:rsidRPr="00002F63" w:rsidRDefault="00841437" w:rsidP="00841437">
      <w:pPr>
        <w:pStyle w:val="Abstract"/>
        <w:rPr>
          <w:rFonts w:ascii="Times New Roman" w:hAnsi="Times New Roman"/>
          <w:color w:val="auto"/>
        </w:rPr>
      </w:pPr>
      <w:r>
        <w:rPr>
          <w:rFonts w:ascii="Times New Roman" w:hAnsi="Times New Roman"/>
          <w:b/>
          <w:color w:val="auto"/>
          <w:lang w:val="id-ID"/>
        </w:rPr>
        <w:t xml:space="preserve">Abstract. </w:t>
      </w:r>
      <w:r w:rsidR="00D77713" w:rsidRPr="00D77713">
        <w:rPr>
          <w:rFonts w:ascii="Times New Roman" w:hAnsi="Times New Roman"/>
          <w:color w:val="auto"/>
        </w:rPr>
        <w:t>Mathematical understanding is one of the five essential skills in learning mathematics. It is essential to develop this mathematical understanding ability to solve problems in real life by applying the mathematics they understand. This study aimed to find out how the mathematical understanding ability of Tuton students in the Statistics Method class at the Open University was determined. The sampling technique used purposive sampling. The instruments used to collect data are in the form of tests of mathematical understanding abilities and documentation. The test results were analyzed based on indicators of mathematical understanding. The results of this study indicate that the students' mathematical understanding ability is high.</w:t>
      </w:r>
    </w:p>
    <w:p w14:paraId="0532E273" w14:textId="62F3C586" w:rsidR="00841437" w:rsidRPr="00002F63" w:rsidRDefault="00841437" w:rsidP="00841437">
      <w:pPr>
        <w:pStyle w:val="Abstract"/>
        <w:rPr>
          <w:rFonts w:ascii="Times New Roman" w:hAnsi="Times New Roman"/>
          <w:color w:val="auto"/>
        </w:rPr>
      </w:pPr>
      <w:r w:rsidRPr="00002F63">
        <w:rPr>
          <w:rFonts w:ascii="Times New Roman" w:hAnsi="Times New Roman"/>
          <w:b/>
          <w:color w:val="auto"/>
        </w:rPr>
        <w:t>Keywords:</w:t>
      </w:r>
      <w:r w:rsidRPr="00002F63">
        <w:rPr>
          <w:rFonts w:ascii="Times New Roman" w:hAnsi="Times New Roman"/>
          <w:color w:val="auto"/>
        </w:rPr>
        <w:t xml:space="preserve"> </w:t>
      </w:r>
      <w:r w:rsidR="00390435" w:rsidRPr="00390435">
        <w:rPr>
          <w:rFonts w:ascii="Times New Roman" w:hAnsi="Times New Roman"/>
          <w:color w:val="auto"/>
        </w:rPr>
        <w:t>mathematical understanding abilities</w:t>
      </w:r>
      <w:r w:rsidR="00390435">
        <w:rPr>
          <w:rFonts w:ascii="Times New Roman" w:hAnsi="Times New Roman"/>
          <w:color w:val="auto"/>
        </w:rPr>
        <w:t xml:space="preserve">, </w:t>
      </w:r>
      <w:r w:rsidR="00390435" w:rsidRPr="00390435">
        <w:rPr>
          <w:rFonts w:ascii="Times New Roman" w:hAnsi="Times New Roman"/>
          <w:color w:val="auto"/>
        </w:rPr>
        <w:t>purposive sampling</w:t>
      </w:r>
      <w:r w:rsidR="00390435">
        <w:rPr>
          <w:rFonts w:ascii="Times New Roman" w:hAnsi="Times New Roman"/>
          <w:color w:val="auto"/>
        </w:rPr>
        <w:t xml:space="preserve">, </w:t>
      </w:r>
      <w:r w:rsidR="00390435" w:rsidRPr="00D77713">
        <w:rPr>
          <w:rFonts w:ascii="Times New Roman" w:hAnsi="Times New Roman"/>
          <w:color w:val="auto"/>
        </w:rPr>
        <w:t>statistics method class</w:t>
      </w:r>
    </w:p>
    <w:p w14:paraId="0C2605BC" w14:textId="77777777" w:rsidR="00841437" w:rsidRDefault="00841437" w:rsidP="00841437">
      <w:pPr>
        <w:spacing w:after="0" w:line="240" w:lineRule="auto"/>
        <w:jc w:val="both"/>
        <w:rPr>
          <w:rFonts w:ascii="Times New Roman" w:hAnsi="Times New Roman" w:cs="Times New Roman"/>
          <w:b/>
          <w:sz w:val="24"/>
          <w:szCs w:val="24"/>
        </w:rPr>
      </w:pPr>
      <w:r w:rsidRPr="00135FD7">
        <w:rPr>
          <w:rFonts w:ascii="Times New Roman" w:hAnsi="Times New Roman" w:cs="Times New Roman"/>
          <w:b/>
          <w:sz w:val="24"/>
          <w:szCs w:val="24"/>
        </w:rPr>
        <w:t>Reference</w:t>
      </w:r>
      <w:r>
        <w:rPr>
          <w:rFonts w:ascii="Times New Roman" w:hAnsi="Times New Roman" w:cs="Times New Roman"/>
          <w:b/>
          <w:sz w:val="24"/>
          <w:szCs w:val="24"/>
        </w:rPr>
        <w:t>s</w:t>
      </w:r>
    </w:p>
    <w:p w14:paraId="63252061"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ATCS. (2020). </w:t>
      </w:r>
      <w:r w:rsidRPr="0085121D">
        <w:rPr>
          <w:i/>
          <w:iCs/>
          <w:sz w:val="24"/>
          <w:szCs w:val="24"/>
        </w:rPr>
        <w:t>Assesment and Teaching for 21st Century Skills</w:t>
      </w:r>
      <w:r w:rsidRPr="0085121D">
        <w:rPr>
          <w:sz w:val="24"/>
          <w:szCs w:val="24"/>
        </w:rPr>
        <w:t>. Retrieved from ATC21S: http://www.atc21s.org/</w:t>
      </w:r>
    </w:p>
    <w:p w14:paraId="22581596"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Kartini, &amp; Liliasari. </w:t>
      </w:r>
      <w:r w:rsidRPr="00D77713">
        <w:rPr>
          <w:color w:val="000000" w:themeColor="text1"/>
          <w:sz w:val="24"/>
          <w:szCs w:val="24"/>
        </w:rPr>
        <w:t>(2012). Pengembangan Alat Ukur Berpikir Kritis pada Konsep Termokimia untuk Siswa SMA Peringkat Atas dan Menengah</w:t>
      </w:r>
      <w:r w:rsidRPr="0085121D">
        <w:rPr>
          <w:sz w:val="24"/>
          <w:szCs w:val="24"/>
        </w:rPr>
        <w:t xml:space="preserve">. </w:t>
      </w:r>
      <w:r w:rsidRPr="0085121D">
        <w:rPr>
          <w:i/>
          <w:iCs/>
          <w:sz w:val="24"/>
          <w:szCs w:val="24"/>
        </w:rPr>
        <w:t>Jurnal Pendidikan IPA Indonesia 1 (1)</w:t>
      </w:r>
      <w:r w:rsidRPr="0085121D">
        <w:rPr>
          <w:sz w:val="24"/>
          <w:szCs w:val="24"/>
        </w:rPr>
        <w:t>, 21 - 26.</w:t>
      </w:r>
    </w:p>
    <w:p w14:paraId="2840E7FF"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Binkley, Marilyn Ola Erstad, Joan Herman, Senta Raizen, Martin Ripley, May Miller-Ricci, Mike Rumble. (2011). Defining Twenty-First Century Skills. </w:t>
      </w:r>
      <w:r w:rsidRPr="0085121D">
        <w:rPr>
          <w:i/>
          <w:sz w:val="24"/>
          <w:szCs w:val="24"/>
        </w:rPr>
        <w:t>In Assessment and teaching of 21st century skills Springer</w:t>
      </w:r>
      <w:r w:rsidRPr="0085121D">
        <w:rPr>
          <w:sz w:val="24"/>
          <w:szCs w:val="24"/>
        </w:rPr>
        <w:t>, 17--66.</w:t>
      </w:r>
    </w:p>
    <w:p w14:paraId="5D10E692" w14:textId="77777777" w:rsidR="00D77713" w:rsidRPr="00D77713" w:rsidRDefault="00D77713" w:rsidP="00D77713">
      <w:pPr>
        <w:pStyle w:val="references"/>
        <w:tabs>
          <w:tab w:val="clear" w:pos="360"/>
        </w:tabs>
        <w:spacing w:line="276" w:lineRule="auto"/>
        <w:ind w:left="720" w:hanging="720"/>
        <w:rPr>
          <w:color w:val="000000" w:themeColor="text1"/>
          <w:sz w:val="24"/>
          <w:szCs w:val="24"/>
        </w:rPr>
      </w:pPr>
      <w:r w:rsidRPr="0085121D">
        <w:rPr>
          <w:sz w:val="24"/>
          <w:szCs w:val="24"/>
        </w:rPr>
        <w:t>Partnership</w:t>
      </w:r>
      <w:r>
        <w:rPr>
          <w:sz w:val="24"/>
          <w:szCs w:val="24"/>
        </w:rPr>
        <w:t xml:space="preserve"> </w:t>
      </w:r>
      <w:r w:rsidRPr="00D77713">
        <w:rPr>
          <w:color w:val="000000" w:themeColor="text1"/>
          <w:sz w:val="24"/>
          <w:szCs w:val="24"/>
        </w:rPr>
        <w:t>For 21</w:t>
      </w:r>
      <w:r w:rsidRPr="00D77713">
        <w:rPr>
          <w:color w:val="000000" w:themeColor="text1"/>
          <w:sz w:val="24"/>
          <w:szCs w:val="24"/>
          <w:vertAlign w:val="superscript"/>
        </w:rPr>
        <w:t>st</w:t>
      </w:r>
      <w:r w:rsidRPr="00D77713">
        <w:rPr>
          <w:color w:val="000000" w:themeColor="text1"/>
          <w:sz w:val="24"/>
          <w:szCs w:val="24"/>
        </w:rPr>
        <w:t xml:space="preserve"> century Skill. (2010). </w:t>
      </w:r>
      <w:r w:rsidRPr="00D77713">
        <w:rPr>
          <w:i/>
          <w:iCs/>
          <w:color w:val="000000" w:themeColor="text1"/>
          <w:sz w:val="24"/>
          <w:szCs w:val="24"/>
        </w:rPr>
        <w:t>21st Century Knowledge and Skills in Educator Preparation.</w:t>
      </w:r>
      <w:r w:rsidRPr="00D77713">
        <w:rPr>
          <w:color w:val="000000" w:themeColor="text1"/>
          <w:sz w:val="24"/>
          <w:szCs w:val="24"/>
        </w:rPr>
        <w:t xml:space="preserve"> USA: Pearson.</w:t>
      </w:r>
    </w:p>
    <w:p w14:paraId="5AC845D5"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lastRenderedPageBreak/>
        <w:t xml:space="preserve">America, M. A. (2004). </w:t>
      </w:r>
      <w:r w:rsidRPr="0085121D">
        <w:rPr>
          <w:i/>
          <w:iCs/>
          <w:sz w:val="24"/>
          <w:szCs w:val="24"/>
        </w:rPr>
        <w:t>Undergraduate Programs and.</w:t>
      </w:r>
      <w:r w:rsidRPr="0085121D">
        <w:rPr>
          <w:sz w:val="24"/>
          <w:szCs w:val="24"/>
        </w:rPr>
        <w:t xml:space="preserve"> Washington DC: The Mathematics Association of America Published.</w:t>
      </w:r>
    </w:p>
    <w:p w14:paraId="502BEC79" w14:textId="54D48B13" w:rsidR="00D77713" w:rsidRDefault="00D77713" w:rsidP="00D77713">
      <w:pPr>
        <w:pStyle w:val="references"/>
        <w:tabs>
          <w:tab w:val="clear" w:pos="360"/>
        </w:tabs>
        <w:spacing w:line="276" w:lineRule="auto"/>
        <w:ind w:left="720" w:hanging="720"/>
        <w:rPr>
          <w:sz w:val="24"/>
          <w:szCs w:val="24"/>
        </w:rPr>
      </w:pPr>
      <w:r w:rsidRPr="0085121D">
        <w:rPr>
          <w:sz w:val="24"/>
          <w:szCs w:val="24"/>
        </w:rPr>
        <w:t>Krulik, S dan Rudnick, J.A (1995). The New Sourcebook for Teaching Reasoning and Problem Solving in Elementary School. Massachusetts: Allyn &amp; Bacon A Simon &amp; Schuster Company.</w:t>
      </w:r>
    </w:p>
    <w:p w14:paraId="78E8308A" w14:textId="5790B45B" w:rsidR="00A939CC" w:rsidRPr="00A939CC" w:rsidRDefault="00A939CC" w:rsidP="00D77713">
      <w:pPr>
        <w:pStyle w:val="references"/>
        <w:tabs>
          <w:tab w:val="clear" w:pos="360"/>
        </w:tabs>
        <w:spacing w:line="276" w:lineRule="auto"/>
        <w:ind w:left="720" w:hanging="720"/>
        <w:rPr>
          <w:sz w:val="24"/>
          <w:szCs w:val="24"/>
        </w:rPr>
      </w:pPr>
      <w:r w:rsidRPr="00A939CC">
        <w:rPr>
          <w:color w:val="222222"/>
          <w:sz w:val="24"/>
          <w:szCs w:val="24"/>
          <w:shd w:val="clear" w:color="auto" w:fill="FFFFFF"/>
        </w:rPr>
        <w:t>Murnaka, N. P., Almaisurie, Q., &amp; Arifin, S. (2019). Method On Guided Inquiry Learning To Improve Students' Critical Thinking Abilities In Facing The Industrial Revolution 4.0. </w:t>
      </w:r>
      <w:r w:rsidRPr="00A939CC">
        <w:rPr>
          <w:i/>
          <w:iCs/>
          <w:color w:val="222222"/>
          <w:sz w:val="24"/>
          <w:szCs w:val="24"/>
          <w:shd w:val="clear" w:color="auto" w:fill="FFFFFF"/>
        </w:rPr>
        <w:t>International Journal Of Scientific &amp; Technology Research</w:t>
      </w:r>
      <w:r w:rsidRPr="00A939CC">
        <w:rPr>
          <w:color w:val="222222"/>
          <w:sz w:val="24"/>
          <w:szCs w:val="24"/>
          <w:shd w:val="clear" w:color="auto" w:fill="FFFFFF"/>
        </w:rPr>
        <w:t>, </w:t>
      </w:r>
      <w:r w:rsidRPr="00A939CC">
        <w:rPr>
          <w:i/>
          <w:iCs/>
          <w:color w:val="222222"/>
          <w:sz w:val="24"/>
          <w:szCs w:val="24"/>
          <w:shd w:val="clear" w:color="auto" w:fill="FFFFFF"/>
        </w:rPr>
        <w:t>8</w:t>
      </w:r>
      <w:r w:rsidRPr="00A939CC">
        <w:rPr>
          <w:color w:val="222222"/>
          <w:sz w:val="24"/>
          <w:szCs w:val="24"/>
          <w:shd w:val="clear" w:color="auto" w:fill="FFFFFF"/>
        </w:rPr>
        <w:t>(09), 439-441.</w:t>
      </w:r>
    </w:p>
    <w:p w14:paraId="401BAD9B"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Johnson, E. (2011). </w:t>
      </w:r>
      <w:r w:rsidRPr="0085121D">
        <w:rPr>
          <w:i/>
          <w:iCs/>
          <w:sz w:val="24"/>
          <w:szCs w:val="24"/>
        </w:rPr>
        <w:t>Contextual Teaching and Learning Menjadikan Kegiatan Belajar-Mengajar Mengasikkan dan Bermakna.</w:t>
      </w:r>
      <w:r w:rsidRPr="0085121D">
        <w:rPr>
          <w:sz w:val="24"/>
          <w:szCs w:val="24"/>
        </w:rPr>
        <w:t xml:space="preserve"> Bandung: Kaifa Learning.</w:t>
      </w:r>
    </w:p>
    <w:p w14:paraId="00DFF060"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Gardner, H. (1999). </w:t>
      </w:r>
      <w:r w:rsidRPr="0085121D">
        <w:rPr>
          <w:i/>
          <w:iCs/>
          <w:sz w:val="24"/>
          <w:szCs w:val="24"/>
        </w:rPr>
        <w:t>Intelligence Reframed : multiple Intelligence for 21th century.</w:t>
      </w:r>
      <w:r w:rsidRPr="0085121D">
        <w:rPr>
          <w:sz w:val="24"/>
          <w:szCs w:val="24"/>
        </w:rPr>
        <w:t xml:space="preserve"> USA: Basic Book.</w:t>
      </w:r>
    </w:p>
    <w:p w14:paraId="2A1536EB"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Stylianides, A. J. &amp; Stylianides, G. J. (2007)</w:t>
      </w:r>
      <w:r w:rsidRPr="0085121D">
        <w:rPr>
          <w:i/>
          <w:sz w:val="24"/>
          <w:szCs w:val="24"/>
        </w:rPr>
        <w:t xml:space="preserve">. </w:t>
      </w:r>
      <w:r w:rsidRPr="0085121D">
        <w:rPr>
          <w:sz w:val="24"/>
          <w:szCs w:val="24"/>
        </w:rPr>
        <w:t xml:space="preserve">Learning Mathematics with Understanding: A Critical Consideration of the Learning Principle in the Principles and Standards for School Mathematics. </w:t>
      </w:r>
      <w:r w:rsidRPr="0085121D">
        <w:rPr>
          <w:i/>
          <w:sz w:val="24"/>
          <w:szCs w:val="24"/>
        </w:rPr>
        <w:t>The Montana Mathematics Enthusiast</w:t>
      </w:r>
      <w:r w:rsidRPr="0085121D">
        <w:rPr>
          <w:sz w:val="24"/>
          <w:szCs w:val="24"/>
        </w:rPr>
        <w:t>, 4 (1), 3-114.</w:t>
      </w:r>
    </w:p>
    <w:p w14:paraId="0AE89703" w14:textId="6563F820" w:rsidR="00D77713" w:rsidRPr="00A939CC" w:rsidRDefault="00D77713" w:rsidP="00D77713">
      <w:pPr>
        <w:pStyle w:val="references"/>
        <w:tabs>
          <w:tab w:val="clear" w:pos="360"/>
        </w:tabs>
        <w:spacing w:line="276" w:lineRule="auto"/>
        <w:ind w:left="720" w:hanging="720"/>
        <w:rPr>
          <w:sz w:val="24"/>
          <w:szCs w:val="24"/>
        </w:rPr>
      </w:pPr>
      <w:r w:rsidRPr="00A939CC">
        <w:rPr>
          <w:sz w:val="24"/>
          <w:szCs w:val="24"/>
        </w:rPr>
        <w:t>Sanjaya, W. (2013). </w:t>
      </w:r>
      <w:r w:rsidRPr="00A939CC">
        <w:rPr>
          <w:i/>
          <w:sz w:val="24"/>
          <w:szCs w:val="24"/>
        </w:rPr>
        <w:t>Perencanaan dan Desain Sistem Pembelajaran</w:t>
      </w:r>
      <w:r w:rsidRPr="00A939CC">
        <w:rPr>
          <w:sz w:val="24"/>
          <w:szCs w:val="24"/>
        </w:rPr>
        <w:t>. Jakarta: Kencana Prenadamedia.</w:t>
      </w:r>
    </w:p>
    <w:p w14:paraId="4732C123" w14:textId="15CF028B" w:rsidR="00A939CC" w:rsidRPr="00A939CC" w:rsidRDefault="00A939CC" w:rsidP="00D77713">
      <w:pPr>
        <w:pStyle w:val="references"/>
        <w:tabs>
          <w:tab w:val="clear" w:pos="360"/>
        </w:tabs>
        <w:spacing w:line="276" w:lineRule="auto"/>
        <w:ind w:left="720" w:hanging="720"/>
        <w:rPr>
          <w:sz w:val="24"/>
          <w:szCs w:val="24"/>
        </w:rPr>
      </w:pPr>
      <w:r w:rsidRPr="00A939CC">
        <w:rPr>
          <w:color w:val="222222"/>
          <w:sz w:val="24"/>
          <w:szCs w:val="24"/>
          <w:shd w:val="clear" w:color="auto" w:fill="FFFFFF"/>
        </w:rPr>
        <w:t xml:space="preserve">Wijaya, S., Arifin, S., &amp; Murnaka, N. P. </w:t>
      </w:r>
      <w:r>
        <w:rPr>
          <w:color w:val="222222"/>
          <w:sz w:val="24"/>
          <w:szCs w:val="24"/>
          <w:shd w:val="clear" w:color="auto" w:fill="FFFFFF"/>
        </w:rPr>
        <w:t xml:space="preserve">(2019). </w:t>
      </w:r>
      <w:r w:rsidRPr="00A939CC">
        <w:rPr>
          <w:color w:val="222222"/>
          <w:sz w:val="24"/>
          <w:szCs w:val="24"/>
          <w:shd w:val="clear" w:color="auto" w:fill="FFFFFF"/>
        </w:rPr>
        <w:t>Enhancement On Completion Ability Of The Olympiad Problems Through Training Programs For Math Teachers Of Junior High School.</w:t>
      </w:r>
      <w:r w:rsidRPr="00A939CC">
        <w:rPr>
          <w:i/>
          <w:iCs/>
          <w:color w:val="222222"/>
          <w:sz w:val="24"/>
          <w:szCs w:val="24"/>
          <w:shd w:val="clear" w:color="auto" w:fill="FFFFFF"/>
        </w:rPr>
        <w:t xml:space="preserve"> International Journal Of Scientific &amp; Technology Research</w:t>
      </w:r>
      <w:r w:rsidRPr="00A939CC">
        <w:rPr>
          <w:color w:val="222222"/>
          <w:sz w:val="24"/>
          <w:szCs w:val="24"/>
          <w:shd w:val="clear" w:color="auto" w:fill="FFFFFF"/>
        </w:rPr>
        <w:t>, </w:t>
      </w:r>
      <w:r w:rsidRPr="00A939CC">
        <w:rPr>
          <w:i/>
          <w:iCs/>
          <w:color w:val="222222"/>
          <w:sz w:val="24"/>
          <w:szCs w:val="24"/>
          <w:shd w:val="clear" w:color="auto" w:fill="FFFFFF"/>
        </w:rPr>
        <w:t>8</w:t>
      </w:r>
      <w:r w:rsidRPr="00A939CC">
        <w:rPr>
          <w:color w:val="222222"/>
          <w:sz w:val="24"/>
          <w:szCs w:val="24"/>
          <w:shd w:val="clear" w:color="auto" w:fill="FFFFFF"/>
        </w:rPr>
        <w:t>(0</w:t>
      </w:r>
      <w:r>
        <w:rPr>
          <w:color w:val="222222"/>
          <w:sz w:val="24"/>
          <w:szCs w:val="24"/>
          <w:shd w:val="clear" w:color="auto" w:fill="FFFFFF"/>
        </w:rPr>
        <w:t>11</w:t>
      </w:r>
      <w:r w:rsidRPr="00A939CC">
        <w:rPr>
          <w:color w:val="222222"/>
          <w:sz w:val="24"/>
          <w:szCs w:val="24"/>
          <w:shd w:val="clear" w:color="auto" w:fill="FFFFFF"/>
        </w:rPr>
        <w:t xml:space="preserve">), </w:t>
      </w:r>
      <w:r>
        <w:rPr>
          <w:color w:val="222222"/>
          <w:sz w:val="24"/>
          <w:szCs w:val="24"/>
          <w:shd w:val="clear" w:color="auto" w:fill="FFFFFF"/>
        </w:rPr>
        <w:t>542</w:t>
      </w:r>
      <w:r w:rsidRPr="00A939CC">
        <w:rPr>
          <w:color w:val="222222"/>
          <w:sz w:val="24"/>
          <w:szCs w:val="24"/>
          <w:shd w:val="clear" w:color="auto" w:fill="FFFFFF"/>
        </w:rPr>
        <w:t>-</w:t>
      </w:r>
      <w:r>
        <w:rPr>
          <w:color w:val="222222"/>
          <w:sz w:val="24"/>
          <w:szCs w:val="24"/>
          <w:shd w:val="clear" w:color="auto" w:fill="FFFFFF"/>
        </w:rPr>
        <w:t>546</w:t>
      </w:r>
      <w:r w:rsidRPr="00A939CC">
        <w:rPr>
          <w:color w:val="222222"/>
          <w:sz w:val="24"/>
          <w:szCs w:val="24"/>
          <w:shd w:val="clear" w:color="auto" w:fill="FFFFFF"/>
        </w:rPr>
        <w:t>.</w:t>
      </w:r>
    </w:p>
    <w:p w14:paraId="17F61191"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Depdiknas. (2006). </w:t>
      </w:r>
      <w:r w:rsidRPr="0085121D">
        <w:rPr>
          <w:i/>
          <w:iCs/>
          <w:sz w:val="24"/>
          <w:szCs w:val="24"/>
        </w:rPr>
        <w:t>Permendiknas No. 22/2006: Standar Isi untuk Satuan Pendidikan Dasar dan Menengah.</w:t>
      </w:r>
      <w:r w:rsidRPr="0085121D">
        <w:rPr>
          <w:sz w:val="24"/>
          <w:szCs w:val="24"/>
        </w:rPr>
        <w:t xml:space="preserve"> Jakarta: BNSP.</w:t>
      </w:r>
    </w:p>
    <w:p w14:paraId="560C9DBC" w14:textId="77777777" w:rsidR="00D77713" w:rsidRPr="0085121D" w:rsidRDefault="00D77713" w:rsidP="00D77713">
      <w:pPr>
        <w:pStyle w:val="references"/>
        <w:tabs>
          <w:tab w:val="clear" w:pos="360"/>
        </w:tabs>
        <w:spacing w:line="276" w:lineRule="auto"/>
        <w:ind w:left="720" w:hanging="720"/>
        <w:rPr>
          <w:sz w:val="24"/>
          <w:szCs w:val="24"/>
        </w:rPr>
      </w:pPr>
      <w:r w:rsidRPr="0085121D">
        <w:rPr>
          <w:sz w:val="24"/>
          <w:szCs w:val="24"/>
        </w:rPr>
        <w:t xml:space="preserve">Kementrian Pendidikan dan Kebudayaan. </w:t>
      </w:r>
      <w:r>
        <w:rPr>
          <w:sz w:val="24"/>
          <w:szCs w:val="24"/>
        </w:rPr>
        <w:t>(</w:t>
      </w:r>
      <w:r w:rsidRPr="0085121D">
        <w:rPr>
          <w:sz w:val="24"/>
          <w:szCs w:val="24"/>
        </w:rPr>
        <w:t>2013</w:t>
      </w:r>
      <w:r>
        <w:rPr>
          <w:sz w:val="24"/>
          <w:szCs w:val="24"/>
        </w:rPr>
        <w:t>)</w:t>
      </w:r>
      <w:r w:rsidRPr="0085121D">
        <w:rPr>
          <w:sz w:val="24"/>
          <w:szCs w:val="24"/>
        </w:rPr>
        <w:t>. Salinan – Permendikbud Nomor 81A Tahun 2013 Tentang Implementasi Kurikulum. Jakarta. Indonesia.</w:t>
      </w:r>
    </w:p>
    <w:p w14:paraId="3D0C2461" w14:textId="77777777" w:rsidR="00D77713" w:rsidRPr="00E57E8D" w:rsidRDefault="00D77713" w:rsidP="00D77713">
      <w:pPr>
        <w:pStyle w:val="references"/>
        <w:tabs>
          <w:tab w:val="clear" w:pos="360"/>
        </w:tabs>
        <w:spacing w:line="276" w:lineRule="auto"/>
        <w:ind w:left="720" w:hanging="720"/>
        <w:rPr>
          <w:sz w:val="24"/>
        </w:rPr>
      </w:pPr>
      <w:r w:rsidRPr="0085121D">
        <w:rPr>
          <w:noProof w:val="0"/>
          <w:sz w:val="24"/>
          <w:szCs w:val="24"/>
        </w:rPr>
        <w:t>Dombayci</w:t>
      </w:r>
      <w:r w:rsidRPr="00E57E8D">
        <w:rPr>
          <w:sz w:val="24"/>
        </w:rPr>
        <w:t xml:space="preserve">, M. A., Basrer, Z., &amp; Baserer, D. (2014). Analysis of Emphatic Thinking Tendency and Critical Thinking Disposition of Philosophy Teacher Candidates According to a Number of Variables. </w:t>
      </w:r>
      <w:r w:rsidRPr="00E57E8D">
        <w:rPr>
          <w:i/>
          <w:iCs/>
          <w:sz w:val="24"/>
        </w:rPr>
        <w:t>Middle Eastern &amp; African Journal of Educational Research, Issue 13</w:t>
      </w:r>
      <w:r w:rsidRPr="00E57E8D">
        <w:rPr>
          <w:sz w:val="24"/>
        </w:rPr>
        <w:t>, 64-79.</w:t>
      </w:r>
    </w:p>
    <w:p w14:paraId="15DC6EC3" w14:textId="77777777" w:rsidR="00D77713" w:rsidRDefault="00D77713" w:rsidP="00D77713">
      <w:pPr>
        <w:pStyle w:val="references"/>
        <w:tabs>
          <w:tab w:val="clear" w:pos="360"/>
        </w:tabs>
        <w:spacing w:line="276" w:lineRule="auto"/>
        <w:ind w:left="720" w:hanging="720"/>
        <w:rPr>
          <w:rStyle w:val="fontstyle01"/>
        </w:rPr>
      </w:pPr>
      <w:r>
        <w:rPr>
          <w:rStyle w:val="fontstyle01"/>
        </w:rPr>
        <w:t xml:space="preserve">Barker, William. </w:t>
      </w:r>
      <w:r>
        <w:rPr>
          <w:rStyle w:val="fontstyle21"/>
        </w:rPr>
        <w:t>et</w:t>
      </w:r>
      <w:r>
        <w:rPr>
          <w:rStyle w:val="fontstyle01"/>
        </w:rPr>
        <w:t xml:space="preserve">, </w:t>
      </w:r>
      <w:r>
        <w:rPr>
          <w:rStyle w:val="fontstyle21"/>
        </w:rPr>
        <w:t>al</w:t>
      </w:r>
      <w:r>
        <w:rPr>
          <w:rStyle w:val="fontstyle01"/>
        </w:rPr>
        <w:t xml:space="preserve">. (2004). </w:t>
      </w:r>
      <w:r>
        <w:rPr>
          <w:rStyle w:val="fontstyle21"/>
        </w:rPr>
        <w:t>Undergraduate Program and Courses in The Mathematical Sciences:CUPM Curriculum Guide 2004</w:t>
      </w:r>
      <w:r>
        <w:rPr>
          <w:rStyle w:val="fontstyle01"/>
        </w:rPr>
        <w:t>. United States Of America: The Mathematical Association of America.</w:t>
      </w:r>
    </w:p>
    <w:p w14:paraId="4491FA4B" w14:textId="77777777" w:rsidR="00D77713" w:rsidRDefault="00D77713" w:rsidP="00D77713">
      <w:pPr>
        <w:pStyle w:val="references"/>
        <w:tabs>
          <w:tab w:val="clear" w:pos="360"/>
        </w:tabs>
        <w:spacing w:line="276" w:lineRule="auto"/>
        <w:ind w:left="720" w:hanging="720"/>
        <w:rPr>
          <w:rStyle w:val="fontstyle01"/>
        </w:rPr>
      </w:pPr>
      <w:r>
        <w:rPr>
          <w:rStyle w:val="fontstyle01"/>
        </w:rPr>
        <w:t>Oliver Rubenkonig dan Jan G. Korvink (2007).</w:t>
      </w:r>
      <w:r w:rsidRPr="00CD66BF">
        <w:rPr>
          <w:rStyle w:val="fontstyle01"/>
        </w:rPr>
        <w:t xml:space="preserve"> Interactive learning. </w:t>
      </w:r>
      <w:r w:rsidRPr="00CD66BF">
        <w:rPr>
          <w:rStyle w:val="fontstyle01"/>
          <w:i/>
        </w:rPr>
        <w:t>Mathematica Journal</w:t>
      </w:r>
      <w:r w:rsidRPr="00CD66BF">
        <w:rPr>
          <w:rStyle w:val="fontstyle01"/>
        </w:rPr>
        <w:t>, 10(3).</w:t>
      </w:r>
    </w:p>
    <w:p w14:paraId="2F3BE5B7" w14:textId="77777777" w:rsidR="00D77713" w:rsidRDefault="00D77713" w:rsidP="00D77713">
      <w:pPr>
        <w:pStyle w:val="references"/>
        <w:tabs>
          <w:tab w:val="clear" w:pos="360"/>
        </w:tabs>
        <w:spacing w:line="276" w:lineRule="auto"/>
        <w:ind w:left="720" w:hanging="720"/>
        <w:rPr>
          <w:rStyle w:val="fontstyle01"/>
        </w:rPr>
      </w:pPr>
      <w:r w:rsidRPr="00CD66BF">
        <w:rPr>
          <w:rStyle w:val="fontstyle01"/>
        </w:rPr>
        <w:t xml:space="preserve">Smith, </w:t>
      </w:r>
      <w:r w:rsidRPr="00733986">
        <w:rPr>
          <w:rStyle w:val="fontstyle01"/>
        </w:rPr>
        <w:t>G. H., Wood, L. N., &amp; Nicorovici, N. A. (1998). Hiding the Mathematica and showing the mathematics. </w:t>
      </w:r>
      <w:r w:rsidRPr="00733986">
        <w:rPr>
          <w:rStyle w:val="fontstyle01"/>
          <w:i/>
        </w:rPr>
        <w:t>The Challenge of Diversity</w:t>
      </w:r>
      <w:r w:rsidRPr="00733986">
        <w:rPr>
          <w:rStyle w:val="fontstyle01"/>
        </w:rPr>
        <w:t>, 10(3-4), 195-199.</w:t>
      </w:r>
    </w:p>
    <w:p w14:paraId="27E8687C" w14:textId="77777777" w:rsidR="00D77713" w:rsidRDefault="00D77713" w:rsidP="00D77713">
      <w:pPr>
        <w:pStyle w:val="references"/>
        <w:tabs>
          <w:tab w:val="clear" w:pos="360"/>
        </w:tabs>
        <w:spacing w:line="276" w:lineRule="auto"/>
        <w:ind w:left="720" w:hanging="720"/>
        <w:rPr>
          <w:rStyle w:val="fontstyle21"/>
        </w:rPr>
      </w:pPr>
      <w:r>
        <w:rPr>
          <w:rStyle w:val="fontstyle01"/>
        </w:rPr>
        <w:t xml:space="preserve">Kim, Hyang Sook (2003) dalam jurnal </w:t>
      </w:r>
      <w:r>
        <w:rPr>
          <w:rStyle w:val="fontstyle21"/>
        </w:rPr>
        <w:t>Teaching and Learning Models for Mathematics using Mathematica</w:t>
      </w:r>
    </w:p>
    <w:p w14:paraId="19FD3012" w14:textId="77777777" w:rsidR="00D77713" w:rsidRDefault="00D77713" w:rsidP="00D77713">
      <w:pPr>
        <w:pStyle w:val="references"/>
        <w:tabs>
          <w:tab w:val="clear" w:pos="360"/>
        </w:tabs>
        <w:spacing w:line="276" w:lineRule="auto"/>
        <w:ind w:left="720" w:hanging="720"/>
        <w:rPr>
          <w:sz w:val="24"/>
          <w:szCs w:val="24"/>
        </w:rPr>
      </w:pPr>
      <w:r w:rsidRPr="00D01FDF">
        <w:rPr>
          <w:sz w:val="24"/>
          <w:szCs w:val="24"/>
        </w:rPr>
        <w:t>Sugiyono. (20</w:t>
      </w:r>
      <w:r>
        <w:rPr>
          <w:sz w:val="24"/>
          <w:szCs w:val="24"/>
        </w:rPr>
        <w:t>12</w:t>
      </w:r>
      <w:r w:rsidRPr="00D01FDF">
        <w:rPr>
          <w:sz w:val="24"/>
          <w:szCs w:val="24"/>
        </w:rPr>
        <w:t xml:space="preserve">). </w:t>
      </w:r>
      <w:r w:rsidRPr="00D01FDF">
        <w:rPr>
          <w:i/>
          <w:sz w:val="24"/>
          <w:szCs w:val="24"/>
        </w:rPr>
        <w:t>Metode Penelitian Pendidikan</w:t>
      </w:r>
      <w:r w:rsidRPr="00D01FDF">
        <w:rPr>
          <w:sz w:val="24"/>
          <w:szCs w:val="24"/>
        </w:rPr>
        <w:t xml:space="preserve">. Bandung: Alfabeta. </w:t>
      </w:r>
    </w:p>
    <w:p w14:paraId="2129DFE8" w14:textId="77777777" w:rsidR="00D77713" w:rsidRDefault="00D77713" w:rsidP="00D77713">
      <w:pPr>
        <w:pStyle w:val="references"/>
        <w:tabs>
          <w:tab w:val="clear" w:pos="360"/>
        </w:tabs>
        <w:spacing w:line="276" w:lineRule="auto"/>
        <w:ind w:left="720" w:hanging="720"/>
        <w:rPr>
          <w:sz w:val="24"/>
          <w:szCs w:val="24"/>
        </w:rPr>
      </w:pPr>
      <w:r w:rsidRPr="00CD66BF">
        <w:rPr>
          <w:sz w:val="24"/>
          <w:szCs w:val="24"/>
        </w:rPr>
        <w:lastRenderedPageBreak/>
        <w:t xml:space="preserve">Nerru, P. M., Mariani, S., &amp; Cahyono, E. (2013). Pembelajaran metode reciprocal teaching berbantuan CABRI untuk meningkatkan komunikasi matematik siswa kelas X. </w:t>
      </w:r>
      <w:r w:rsidRPr="00CD66BF">
        <w:rPr>
          <w:i/>
          <w:sz w:val="24"/>
          <w:szCs w:val="24"/>
        </w:rPr>
        <w:t>UNNES Journal of Mathematics Education Research</w:t>
      </w:r>
      <w:r w:rsidRPr="00CD66BF">
        <w:rPr>
          <w:sz w:val="24"/>
          <w:szCs w:val="24"/>
        </w:rPr>
        <w:t xml:space="preserve">, 2(1). </w:t>
      </w:r>
    </w:p>
    <w:p w14:paraId="6E827DBA" w14:textId="3015F13D" w:rsidR="0088737E" w:rsidRDefault="00D77713" w:rsidP="001618D6">
      <w:pPr>
        <w:pStyle w:val="references"/>
        <w:widowControl w:val="0"/>
        <w:tabs>
          <w:tab w:val="clear" w:pos="360"/>
        </w:tabs>
        <w:autoSpaceDE w:val="0"/>
        <w:autoSpaceDN w:val="0"/>
        <w:adjustRightInd w:val="0"/>
        <w:spacing w:after="0" w:line="240" w:lineRule="auto"/>
        <w:ind w:left="640" w:hanging="640"/>
      </w:pPr>
      <w:r w:rsidRPr="00A939CC">
        <w:rPr>
          <w:sz w:val="24"/>
          <w:szCs w:val="24"/>
        </w:rPr>
        <w:t xml:space="preserve">Suwarno, and Nerru Pranuta. M. (2019). Education 4.0: Technology Integration In Calculus Course. </w:t>
      </w:r>
      <w:r w:rsidRPr="00A939CC">
        <w:rPr>
          <w:i/>
          <w:sz w:val="24"/>
          <w:szCs w:val="24"/>
        </w:rPr>
        <w:t>International Journal Of Scientific &amp; Technology Research</w:t>
      </w:r>
      <w:r w:rsidRPr="00A939CC">
        <w:rPr>
          <w:sz w:val="24"/>
          <w:szCs w:val="24"/>
        </w:rPr>
        <w:t>. Vol. 8, Issue 08, August 2019.</w:t>
      </w:r>
    </w:p>
    <w:sectPr w:rsidR="0088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CCF8D96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3N7W0NDM2NDQ1NzFT0lEKTi0uzszPAykwrAUAUev2piwAAAA="/>
  </w:docVars>
  <w:rsids>
    <w:rsidRoot w:val="00841437"/>
    <w:rsid w:val="0014035A"/>
    <w:rsid w:val="00286ECC"/>
    <w:rsid w:val="002D37B9"/>
    <w:rsid w:val="00390435"/>
    <w:rsid w:val="00481E14"/>
    <w:rsid w:val="004C747F"/>
    <w:rsid w:val="004E1B20"/>
    <w:rsid w:val="00841437"/>
    <w:rsid w:val="0084158B"/>
    <w:rsid w:val="0088737E"/>
    <w:rsid w:val="0097515C"/>
    <w:rsid w:val="00A939CC"/>
    <w:rsid w:val="00C74A00"/>
    <w:rsid w:val="00CD3A34"/>
    <w:rsid w:val="00D77713"/>
    <w:rsid w:val="00D8483A"/>
    <w:rsid w:val="00DC42B1"/>
    <w:rsid w:val="00EE1DA0"/>
    <w:rsid w:val="00F578CE"/>
    <w:rsid w:val="00F915AC"/>
    <w:rsid w:val="00FC1215"/>
    <w:rsid w:val="00FD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614C"/>
  <w15:chartTrackingRefBased/>
  <w15:docId w15:val="{7B75D172-4E32-4714-9034-B21D490C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84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41437"/>
    <w:rPr>
      <w:rFonts w:ascii="Courier New" w:eastAsia="Times New Roman" w:hAnsi="Courier New" w:cs="Courier New"/>
      <w:sz w:val="20"/>
      <w:szCs w:val="20"/>
      <w:lang w:val="id-ID" w:eastAsia="id-ID"/>
    </w:rPr>
  </w:style>
  <w:style w:type="paragraph" w:customStyle="1" w:styleId="Authors">
    <w:name w:val="Authors"/>
    <w:next w:val="Normal"/>
    <w:rsid w:val="00841437"/>
    <w:pPr>
      <w:spacing w:after="113" w:line="240" w:lineRule="auto"/>
      <w:ind w:left="1418"/>
    </w:pPr>
    <w:rPr>
      <w:rFonts w:ascii="Times" w:eastAsia="Times New Roman" w:hAnsi="Times" w:cs="Times New Roman"/>
      <w:b/>
      <w:lang w:val="en-GB"/>
    </w:rPr>
  </w:style>
  <w:style w:type="paragraph" w:styleId="Title">
    <w:name w:val="Title"/>
    <w:basedOn w:val="Normal"/>
    <w:next w:val="Authors"/>
    <w:link w:val="TitleChar"/>
    <w:qFormat/>
    <w:rsid w:val="00841437"/>
    <w:pPr>
      <w:spacing w:before="1588" w:after="567" w:line="240" w:lineRule="auto"/>
    </w:pPr>
    <w:rPr>
      <w:rFonts w:ascii="Times" w:eastAsia="Times New Roman" w:hAnsi="Times" w:cs="Times New Roman"/>
      <w:b/>
      <w:sz w:val="34"/>
      <w:szCs w:val="34"/>
      <w:lang w:val="en-GB"/>
    </w:rPr>
  </w:style>
  <w:style w:type="character" w:customStyle="1" w:styleId="TitleChar">
    <w:name w:val="Title Char"/>
    <w:basedOn w:val="DefaultParagraphFont"/>
    <w:link w:val="Title"/>
    <w:rsid w:val="00841437"/>
    <w:rPr>
      <w:rFonts w:ascii="Times" w:eastAsia="Times New Roman" w:hAnsi="Times" w:cs="Times New Roman"/>
      <w:b/>
      <w:sz w:val="34"/>
      <w:szCs w:val="34"/>
      <w:lang w:val="en-GB"/>
    </w:rPr>
  </w:style>
  <w:style w:type="paragraph" w:customStyle="1" w:styleId="Abstract">
    <w:name w:val="Abstract"/>
    <w:next w:val="Normal"/>
    <w:rsid w:val="00841437"/>
    <w:pPr>
      <w:spacing w:after="454" w:line="240" w:lineRule="auto"/>
      <w:ind w:left="1418"/>
      <w:jc w:val="both"/>
    </w:pPr>
    <w:rPr>
      <w:rFonts w:ascii="Times" w:eastAsia="Times New Roman" w:hAnsi="Times" w:cs="Times New Roman"/>
      <w:color w:val="000000"/>
      <w:sz w:val="20"/>
      <w:szCs w:val="20"/>
      <w:lang w:val="en-GB"/>
    </w:rPr>
  </w:style>
  <w:style w:type="paragraph" w:customStyle="1" w:styleId="references">
    <w:name w:val="references"/>
    <w:rsid w:val="00D77713"/>
    <w:pPr>
      <w:numPr>
        <w:numId w:val="1"/>
      </w:numPr>
      <w:spacing w:after="50" w:line="180" w:lineRule="exact"/>
      <w:jc w:val="both"/>
    </w:pPr>
    <w:rPr>
      <w:rFonts w:ascii="Times New Roman" w:eastAsia="MS Mincho" w:hAnsi="Times New Roman" w:cs="Times New Roman"/>
      <w:noProof/>
      <w:sz w:val="16"/>
      <w:szCs w:val="16"/>
    </w:rPr>
  </w:style>
  <w:style w:type="character" w:styleId="Hyperlink">
    <w:name w:val="Hyperlink"/>
    <w:rsid w:val="00D77713"/>
    <w:rPr>
      <w:color w:val="0000FF"/>
      <w:u w:val="single"/>
    </w:rPr>
  </w:style>
  <w:style w:type="character" w:customStyle="1" w:styleId="fontstyle01">
    <w:name w:val="fontstyle01"/>
    <w:rsid w:val="00D77713"/>
    <w:rPr>
      <w:rFonts w:ascii="Times New Roman" w:hAnsi="Times New Roman" w:cs="Times New Roman" w:hint="default"/>
      <w:b w:val="0"/>
      <w:bCs w:val="0"/>
      <w:i w:val="0"/>
      <w:iCs w:val="0"/>
      <w:color w:val="000000"/>
      <w:sz w:val="24"/>
      <w:szCs w:val="24"/>
    </w:rPr>
  </w:style>
  <w:style w:type="character" w:customStyle="1" w:styleId="fontstyle21">
    <w:name w:val="fontstyle21"/>
    <w:rsid w:val="00D77713"/>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29832">
      <w:bodyDiv w:val="1"/>
      <w:marLeft w:val="0"/>
      <w:marRight w:val="0"/>
      <w:marTop w:val="0"/>
      <w:marBottom w:val="0"/>
      <w:divBdr>
        <w:top w:val="none" w:sz="0" w:space="0" w:color="auto"/>
        <w:left w:val="none" w:sz="0" w:space="0" w:color="auto"/>
        <w:bottom w:val="none" w:sz="0" w:space="0" w:color="auto"/>
        <w:right w:val="none" w:sz="0" w:space="0" w:color="auto"/>
      </w:divBdr>
    </w:div>
    <w:div w:id="17999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Samsul Arifin</cp:lastModifiedBy>
  <cp:revision>5</cp:revision>
  <dcterms:created xsi:type="dcterms:W3CDTF">2021-12-08T01:32:00Z</dcterms:created>
  <dcterms:modified xsi:type="dcterms:W3CDTF">2021-12-08T02:20:00Z</dcterms:modified>
</cp:coreProperties>
</file>