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9B4FA" w14:textId="77777777" w:rsidR="002B3D1B" w:rsidRPr="002B3D1B" w:rsidRDefault="002B3D1B" w:rsidP="002B3D1B">
      <w:pPr>
        <w:rPr>
          <w:rFonts w:eastAsia="MS Mincho"/>
        </w:rPr>
      </w:pPr>
      <w:r w:rsidRPr="002B3D1B">
        <w:rPr>
          <w:rFonts w:eastAsia="MS Mincho"/>
          <w:bCs/>
          <w:noProof/>
          <w:sz w:val="48"/>
          <w:szCs w:val="48"/>
        </w:rPr>
        <w:t>Disclosure of IPO Proceeds and Survival of Malaysian Listed Companies</w:t>
      </w:r>
    </w:p>
    <w:p w14:paraId="7370AAD7" w14:textId="77777777" w:rsidR="002B3D1B" w:rsidRDefault="002B3D1B" w:rsidP="002B3D1B">
      <w:pPr>
        <w:pStyle w:val="Author"/>
        <w:rPr>
          <w:rFonts w:eastAsia="MS Mincho"/>
        </w:rPr>
        <w:sectPr w:rsidR="002B3D1B" w:rsidSect="002B3D1B">
          <w:pgSz w:w="11909" w:h="16834" w:code="9"/>
          <w:pgMar w:top="1080" w:right="734" w:bottom="2434" w:left="734" w:header="720" w:footer="720" w:gutter="0"/>
          <w:cols w:space="720"/>
          <w:docGrid w:linePitch="360"/>
        </w:sectPr>
      </w:pPr>
    </w:p>
    <w:p w14:paraId="4456FA02" w14:textId="77777777" w:rsidR="002B3D1B" w:rsidRPr="002B3D1B" w:rsidRDefault="002B3D1B" w:rsidP="002B3D1B">
      <w:pPr>
        <w:pStyle w:val="Author"/>
        <w:rPr>
          <w:rFonts w:eastAsia="MS Mincho"/>
          <w:b/>
        </w:rPr>
      </w:pPr>
      <w:r w:rsidRPr="002B3D1B">
        <w:rPr>
          <w:rFonts w:eastAsia="MS Mincho"/>
          <w:b/>
          <w:vertAlign w:val="superscript"/>
        </w:rPr>
        <w:t>1</w:t>
      </w:r>
      <w:r w:rsidRPr="002B3D1B">
        <w:rPr>
          <w:rFonts w:eastAsia="MS Mincho"/>
          <w:b/>
        </w:rPr>
        <w:t xml:space="preserve">Norliza, Che-Yahya &amp; </w:t>
      </w:r>
      <w:r w:rsidRPr="002B3D1B">
        <w:rPr>
          <w:rFonts w:eastAsia="MS Mincho"/>
          <w:b/>
          <w:vertAlign w:val="superscript"/>
        </w:rPr>
        <w:t>2</w:t>
      </w:r>
      <w:r w:rsidRPr="002B3D1B">
        <w:rPr>
          <w:rFonts w:eastAsia="MS Mincho"/>
          <w:b/>
        </w:rPr>
        <w:t>Siti Sarah, Alyasa-Gan</w:t>
      </w:r>
    </w:p>
    <w:p w14:paraId="57C1FAF6" w14:textId="77777777" w:rsidR="002B3D1B" w:rsidRDefault="002B3D1B" w:rsidP="002B3D1B">
      <w:pPr>
        <w:pStyle w:val="Affiliation"/>
        <w:rPr>
          <w:rFonts w:eastAsia="MS Mincho"/>
          <w:i/>
        </w:rPr>
      </w:pPr>
      <w:r w:rsidRPr="002B3D1B">
        <w:rPr>
          <w:rFonts w:eastAsia="MS Mincho"/>
          <w:vertAlign w:val="superscript"/>
        </w:rPr>
        <w:t>1,</w:t>
      </w:r>
      <w:r w:rsidRPr="002B3D1B">
        <w:rPr>
          <w:rFonts w:eastAsia="MS Mincho"/>
        </w:rPr>
        <w:t xml:space="preserve"> </w:t>
      </w:r>
      <w:r w:rsidRPr="002B3D1B">
        <w:rPr>
          <w:rFonts w:eastAsia="MS Mincho"/>
          <w:vertAlign w:val="superscript"/>
        </w:rPr>
        <w:t>2</w:t>
      </w:r>
      <w:r w:rsidRPr="002B3D1B">
        <w:rPr>
          <w:rFonts w:eastAsia="MS Mincho"/>
        </w:rPr>
        <w:t xml:space="preserve"> </w:t>
      </w:r>
      <w:r w:rsidRPr="002B3D1B">
        <w:rPr>
          <w:rFonts w:eastAsia="MS Mincho"/>
          <w:i/>
        </w:rPr>
        <w:t xml:space="preserve">Faculty of Business and Management, Universiti Teknologi MARA, </w:t>
      </w:r>
    </w:p>
    <w:p w14:paraId="47C5A036" w14:textId="77777777" w:rsidR="002B3D1B" w:rsidRDefault="002B3D1B" w:rsidP="002B3D1B">
      <w:pPr>
        <w:pStyle w:val="Affiliation"/>
        <w:rPr>
          <w:rFonts w:eastAsia="MS Mincho"/>
        </w:rPr>
      </w:pPr>
      <w:r w:rsidRPr="002B3D1B">
        <w:rPr>
          <w:rFonts w:eastAsia="MS Mincho"/>
          <w:i/>
        </w:rPr>
        <w:t>Puncak Alam, Selangor, Malaysia</w:t>
      </w:r>
      <w:r w:rsidRPr="002B3D1B">
        <w:rPr>
          <w:rFonts w:eastAsia="MS Mincho"/>
        </w:rPr>
        <w:t>.</w:t>
      </w:r>
    </w:p>
    <w:p w14:paraId="03A0003A" w14:textId="77777777" w:rsidR="002B3D1B" w:rsidRPr="002B3D1B" w:rsidRDefault="002B3D1B" w:rsidP="002B3D1B">
      <w:pPr>
        <w:pStyle w:val="Affiliation"/>
        <w:rPr>
          <w:rFonts w:eastAsia="MS Mincho"/>
        </w:rPr>
      </w:pPr>
      <w:r w:rsidRPr="002B3D1B">
        <w:rPr>
          <w:rFonts w:eastAsia="MS Mincho"/>
        </w:rPr>
        <w:t>Corre</w:t>
      </w:r>
      <w:r>
        <w:rPr>
          <w:rFonts w:eastAsia="MS Mincho"/>
        </w:rPr>
        <w:t>sponding author: norliza9911@uitm.edu.my</w:t>
      </w:r>
    </w:p>
    <w:p w14:paraId="2C3564EC" w14:textId="77777777" w:rsidR="002B3D1B" w:rsidRDefault="002B3D1B" w:rsidP="002B3D1B">
      <w:pPr>
        <w:pStyle w:val="Affiliation"/>
        <w:rPr>
          <w:rFonts w:eastAsia="MS Mincho"/>
        </w:rPr>
        <w:sectPr w:rsidR="002B3D1B" w:rsidSect="002B3D1B">
          <w:type w:val="continuous"/>
          <w:pgSz w:w="11909" w:h="16834" w:code="9"/>
          <w:pgMar w:top="1080" w:right="734" w:bottom="2434" w:left="734" w:header="720" w:footer="720" w:gutter="0"/>
          <w:cols w:space="720"/>
          <w:docGrid w:linePitch="360"/>
        </w:sectPr>
      </w:pPr>
    </w:p>
    <w:p w14:paraId="176D7FE3" w14:textId="77777777" w:rsidR="002B3D1B" w:rsidRDefault="002B3D1B" w:rsidP="002B3D1B">
      <w:pPr>
        <w:pStyle w:val="Affiliation"/>
        <w:rPr>
          <w:rFonts w:eastAsia="MS Mincho"/>
        </w:rPr>
      </w:pPr>
    </w:p>
    <w:p w14:paraId="5ECFEC3F" w14:textId="77777777" w:rsidR="002B3D1B" w:rsidRDefault="002B3D1B" w:rsidP="002B3D1B">
      <w:pPr>
        <w:rPr>
          <w:rFonts w:eastAsia="MS Mincho"/>
        </w:rPr>
      </w:pPr>
    </w:p>
    <w:p w14:paraId="69A72359" w14:textId="77777777" w:rsidR="002B3D1B" w:rsidRDefault="002B3D1B" w:rsidP="002B3D1B">
      <w:pPr>
        <w:rPr>
          <w:rFonts w:eastAsia="MS Mincho"/>
        </w:rPr>
        <w:sectPr w:rsidR="002B3D1B" w:rsidSect="002B3D1B">
          <w:type w:val="continuous"/>
          <w:pgSz w:w="11909" w:h="16834" w:code="9"/>
          <w:pgMar w:top="1080" w:right="734" w:bottom="2434" w:left="734" w:header="720" w:footer="720" w:gutter="0"/>
          <w:cols w:space="720"/>
          <w:docGrid w:linePitch="360"/>
        </w:sectPr>
      </w:pPr>
    </w:p>
    <w:p w14:paraId="4C03EDD7" w14:textId="042A0ACD" w:rsidR="002B3D1B" w:rsidRPr="002B3D1B" w:rsidRDefault="002B3D1B" w:rsidP="002B3D1B">
      <w:pPr>
        <w:pStyle w:val="Abstract"/>
      </w:pPr>
      <w:r>
        <w:rPr>
          <w:rFonts w:eastAsia="MS Mincho"/>
          <w:i/>
          <w:iCs/>
        </w:rPr>
        <w:t>Abstract</w:t>
      </w:r>
      <w:r>
        <w:rPr>
          <w:rFonts w:eastAsia="MS Mincho"/>
        </w:rPr>
        <w:t>—</w:t>
      </w:r>
      <w:r w:rsidRPr="002B3D1B">
        <w:rPr>
          <w:b w:val="0"/>
        </w:rPr>
        <w:t>This study examines the information disclosure of the use of IPO proceeds on the survival of 423 Malaysian listed companies from 2000 to 2014. Conforming to the declining pattern of total listed companies with active status in the Malaysian market, especially among the Main Market participants, this study estimates the role of the IPO proceeds, i.e., the proportion of IPO proceeds and time frame of proceeds’ utilization to the survival of the Mal</w:t>
      </w:r>
      <w:r w:rsidR="00B51B14">
        <w:rPr>
          <w:b w:val="0"/>
        </w:rPr>
        <w:t>aysian listed companies post-IPO</w:t>
      </w:r>
      <w:r w:rsidRPr="002B3D1B">
        <w:rPr>
          <w:b w:val="0"/>
        </w:rPr>
        <w:t>. This study estimates the companies’ survival using the Kaplan-Meier (K-M) survival analysis model and found 69.03 percent three-year, 59.81 percent five-year and 53.18 percent seven-years of companies’ survival post-IPO. Further investigation reveals that companies should be able to distribute their proportion of IPO proceeds to each categories (growth opportunities, debt repayment, and working capital) equally, for higher survivability and longer median survival time. The time frame of proceeds utilization exhibits that companies with longer time frame (more than 24 months) utilizing growth opportunities and debt repayment have better survivability and longer median survival time. Contradictory, companies with lesser than 24 months utilizing working capital have better survivability and longer median survival time.</w:t>
      </w:r>
    </w:p>
    <w:p w14:paraId="4DC82925" w14:textId="41B9B743" w:rsidR="002B3D1B" w:rsidRDefault="002B3D1B" w:rsidP="002B3D1B">
      <w:pPr>
        <w:pStyle w:val="Abstract"/>
        <w:rPr>
          <w:rFonts w:eastAsia="MS Mincho"/>
        </w:rPr>
      </w:pPr>
      <w:r>
        <w:rPr>
          <w:rFonts w:eastAsia="MS Mincho"/>
        </w:rPr>
        <w:t>Keywords—</w:t>
      </w:r>
      <w:r w:rsidR="00C35775" w:rsidRPr="00C35775">
        <w:rPr>
          <w:rFonts w:eastAsia="MS Mincho"/>
          <w:b w:val="0"/>
        </w:rPr>
        <w:t>IPO proceeds, Growth Opportunities, Debt repayment, Working capital</w:t>
      </w:r>
      <w:r w:rsidR="00B51B14">
        <w:rPr>
          <w:rFonts w:eastAsia="MS Mincho"/>
          <w:b w:val="0"/>
        </w:rPr>
        <w:t>,</w:t>
      </w:r>
      <w:r w:rsidR="00B51B14" w:rsidRPr="00B51B14">
        <w:rPr>
          <w:rFonts w:eastAsia="MS Mincho"/>
          <w:b w:val="0"/>
        </w:rPr>
        <w:t xml:space="preserve"> </w:t>
      </w:r>
      <w:r w:rsidR="00B51B14" w:rsidRPr="00C35775">
        <w:rPr>
          <w:rFonts w:eastAsia="MS Mincho"/>
          <w:b w:val="0"/>
        </w:rPr>
        <w:t>Survival</w:t>
      </w:r>
    </w:p>
    <w:p w14:paraId="12DF5AB1" w14:textId="46D91087" w:rsidR="002B3D1B" w:rsidRPr="00813326" w:rsidRDefault="002B3D1B" w:rsidP="002B3D1B">
      <w:pPr>
        <w:pStyle w:val="Heading1"/>
      </w:pPr>
      <w:r w:rsidRPr="00813326">
        <w:t xml:space="preserve"> </w:t>
      </w:r>
      <w:r w:rsidR="00C35775" w:rsidRPr="00813326">
        <w:t>Introduction</w:t>
      </w:r>
    </w:p>
    <w:p w14:paraId="5559EDF0" w14:textId="5E674DFA" w:rsidR="00B51B14" w:rsidRDefault="00B51B14" w:rsidP="00B51B14">
      <w:pPr>
        <w:pStyle w:val="BodyText"/>
      </w:pPr>
      <w:r>
        <w:t xml:space="preserve">The first stage of companies raising capital through equity is a company’s engagement in an initial public offering (IPO). This stage requires the company to issue shares to the general public for the first time (Che-Yahya &amp; Matsuura, 2021). Apart from fuelling the growth, going public is also one way for a company to convince shareholders of its prospective survivability in the long-run (Dziczkowski, 2020). The survivability will indicate </w:t>
      </w:r>
      <w:r w:rsidR="00EC32FF">
        <w:t>a company’s competitiveness to overcome the brutal market conditions and signify the company’s ultimate performance</w:t>
      </w:r>
      <w:r>
        <w:t xml:space="preserve"> through its long period of survival post-IPO (Baluja, 2018). </w:t>
      </w:r>
    </w:p>
    <w:p w14:paraId="7609F02B" w14:textId="344A3ACE" w:rsidR="00B51B14" w:rsidRDefault="00EC32FF" w:rsidP="00B51B14">
      <w:pPr>
        <w:pStyle w:val="BodyText"/>
      </w:pPr>
      <w:r>
        <w:t>There are two possible ways of measuring companies’ survival, either through survival rate or survival time (Cleveset al., 2016). Despite the two, analyzing survival revolves around the outcome of companies having to survive for a specified time until an event occurs. Specifically, the period of companies’ survival starts from the day they are listed until the companies are delisted, acquired, or even failed to fulfil the listing requirements. Accordingly, survival is a direct measure and an assessment of companies’ long-term sustainability, offering a clear test of whether the companies have performed ultimately to remain as public listed companies over the long run (Lamberto &amp; Rath, 2010)</w:t>
      </w:r>
      <w:r w:rsidR="00B51B14">
        <w:t>.</w:t>
      </w:r>
    </w:p>
    <w:p w14:paraId="538B8AEE" w14:textId="40808486" w:rsidR="00B51B14" w:rsidRDefault="00EC32FF" w:rsidP="00B51B14">
      <w:pPr>
        <w:pStyle w:val="BodyText"/>
        <w:rPr>
          <w:lang w:val="en-GB"/>
        </w:rPr>
      </w:pPr>
      <w:r>
        <w:t>To the extent that publicly listed companies can raise continuous capital from their offerings, some may also face difficulties to survive in the long-run, especially due to the high uncertainty in an IPO market (Shari, 2019). Indeed, how long companies can survive once publicly listed remains uncertain and risky for both issuing co and investors</w:t>
      </w:r>
      <w:r w:rsidR="00B51B14" w:rsidRPr="00B51B14">
        <w:t xml:space="preserve">. </w:t>
      </w:r>
      <w:r>
        <w:t>C</w:t>
      </w:r>
      <w:r w:rsidR="00B51B14" w:rsidRPr="00B51B14">
        <w:t>ompanies that failed to survive longer may be due to the undersubscription of shares, forcing the companies to incur losses. The implication extends even after the public listing</w:t>
      </w:r>
      <w:r>
        <w:t>. T</w:t>
      </w:r>
      <w:r w:rsidR="00B51B14" w:rsidRPr="00B51B14">
        <w:t>he companies are drowned with high leverage because they failed to raise additional capital during their public life to finance their investments (Pour &amp; Lasfer, 2013). As a result, investors who desire to acquire a favo</w:t>
      </w:r>
      <w:r>
        <w:t>u</w:t>
      </w:r>
      <w:r w:rsidR="00B51B14" w:rsidRPr="00B51B14">
        <w:t xml:space="preserve">rable long term investment will be left frustrated from having to incur losses as the companies’ value starts to decline. This may influence prospective </w:t>
      </w:r>
      <w:r w:rsidR="00B51B14" w:rsidRPr="00B51B14">
        <w:rPr>
          <w:lang w:val="en-GB"/>
        </w:rPr>
        <w:t xml:space="preserve">investors to lose confidence in companies listed in the stock market, discouraging potential investments in the market (Luo, 2009). </w:t>
      </w:r>
    </w:p>
    <w:p w14:paraId="3C4FDE25" w14:textId="374AEF51" w:rsidR="00B51B14" w:rsidRDefault="00B51B14" w:rsidP="00B51B14">
      <w:pPr>
        <w:pStyle w:val="BodyText"/>
        <w:rPr>
          <w:lang w:val="en-GB"/>
        </w:rPr>
      </w:pPr>
      <w:commentRangeStart w:id="0"/>
      <w:r>
        <w:rPr>
          <w:lang w:val="en-GB"/>
        </w:rPr>
        <w:t>Accordingly</w:t>
      </w:r>
      <w:commentRangeEnd w:id="0"/>
      <w:r w:rsidR="005C452F">
        <w:rPr>
          <w:rStyle w:val="CommentReference"/>
          <w:rFonts w:eastAsiaTheme="minorHAnsi"/>
          <w:spacing w:val="0"/>
          <w:lang w:val="en-GB"/>
        </w:rPr>
        <w:commentReference w:id="0"/>
      </w:r>
      <w:r>
        <w:rPr>
          <w:lang w:val="en-GB"/>
        </w:rPr>
        <w:t xml:space="preserve">, this study observes a declining trend of total listed companies with active status in the Malaysian market since </w:t>
      </w:r>
      <w:r>
        <w:t xml:space="preserve">2006 and only started to incline in 2017, following the establishment of the LEAP market. </w:t>
      </w:r>
      <w:r w:rsidRPr="00FA20C2">
        <w:t>Figure 1</w:t>
      </w:r>
      <w:r>
        <w:t xml:space="preserve"> shows that </w:t>
      </w:r>
      <w:r w:rsidRPr="008A004B">
        <w:t>the number of Main Market participants</w:t>
      </w:r>
      <w:r>
        <w:t xml:space="preserve"> with active status</w:t>
      </w:r>
      <w:r w:rsidRPr="008A004B">
        <w:t xml:space="preserve"> is steadily reducing over the years</w:t>
      </w:r>
      <w:r>
        <w:t xml:space="preserve">. </w:t>
      </w:r>
      <w:r>
        <w:rPr>
          <w:lang w:val="en-GB"/>
        </w:rPr>
        <w:t>It</w:t>
      </w:r>
      <w:r w:rsidRPr="009A4AC9">
        <w:rPr>
          <w:lang w:val="en-GB"/>
        </w:rPr>
        <w:t xml:space="preserve"> </w:t>
      </w:r>
      <w:r>
        <w:rPr>
          <w:lang w:val="en-GB"/>
        </w:rPr>
        <w:t>is</w:t>
      </w:r>
      <w:r w:rsidRPr="009A4AC9">
        <w:rPr>
          <w:lang w:val="en-GB"/>
        </w:rPr>
        <w:t xml:space="preserve"> a concern </w:t>
      </w:r>
      <w:r>
        <w:rPr>
          <w:lang w:val="en-GB"/>
        </w:rPr>
        <w:t>as</w:t>
      </w:r>
      <w:r w:rsidR="00EC32FF">
        <w:rPr>
          <w:lang w:val="en-GB"/>
        </w:rPr>
        <w:t>,</w:t>
      </w:r>
      <w:r>
        <w:rPr>
          <w:lang w:val="en-GB"/>
        </w:rPr>
        <w:t xml:space="preserve"> </w:t>
      </w:r>
      <w:r w:rsidRPr="009A4AC9">
        <w:rPr>
          <w:lang w:val="en-GB"/>
        </w:rPr>
        <w:t xml:space="preserve">according to Bursa Malaysia (2021), under the “Selection of FTSE Bursa Malaysia KLCI Constituents”, the benchmark index (i.e., KLCI) of the Malaysian stock market performance </w:t>
      </w:r>
      <w:r>
        <w:rPr>
          <w:lang w:val="en-GB"/>
        </w:rPr>
        <w:t>relies on the performance of the Main market participants’ performance</w:t>
      </w:r>
      <w:r w:rsidRPr="009A4AC9">
        <w:rPr>
          <w:lang w:val="en-GB"/>
        </w:rPr>
        <w:t xml:space="preserve">. </w:t>
      </w:r>
      <w:r>
        <w:rPr>
          <w:lang w:val="en-GB"/>
        </w:rPr>
        <w:t>A continuous</w:t>
      </w:r>
      <w:r w:rsidRPr="009A4AC9">
        <w:rPr>
          <w:lang w:val="en-GB"/>
        </w:rPr>
        <w:t xml:space="preserve"> decline in the number of Main market participants</w:t>
      </w:r>
      <w:r w:rsidR="00EC32FF">
        <w:rPr>
          <w:lang w:val="en-GB"/>
        </w:rPr>
        <w:t xml:space="preserve"> may portray the stock market’s underperformance</w:t>
      </w:r>
      <w:r w:rsidRPr="009A4AC9">
        <w:rPr>
          <w:lang w:val="en-GB"/>
        </w:rPr>
        <w:t xml:space="preserve">. </w:t>
      </w:r>
      <w:r>
        <w:rPr>
          <w:lang w:val="en-GB"/>
        </w:rPr>
        <w:t>In return</w:t>
      </w:r>
      <w:r w:rsidRPr="009A4AC9">
        <w:rPr>
          <w:lang w:val="en-GB"/>
        </w:rPr>
        <w:t xml:space="preserve">, the underperformance may discourage </w:t>
      </w:r>
      <w:r>
        <w:rPr>
          <w:lang w:val="en-GB"/>
        </w:rPr>
        <w:t>investors</w:t>
      </w:r>
      <w:r w:rsidRPr="009A4AC9">
        <w:rPr>
          <w:lang w:val="en-GB"/>
        </w:rPr>
        <w:t xml:space="preserve"> from making potential investments in the market (Luo, 2009). While companies cannot secure their desired capital, </w:t>
      </w:r>
      <w:r>
        <w:rPr>
          <w:lang w:val="en-GB"/>
        </w:rPr>
        <w:t>it</w:t>
      </w:r>
      <w:r w:rsidRPr="009A4AC9">
        <w:rPr>
          <w:lang w:val="en-GB"/>
        </w:rPr>
        <w:t xml:space="preserve"> may lead to a potential negative impact on the</w:t>
      </w:r>
      <w:r w:rsidR="00EC32FF">
        <w:rPr>
          <w:lang w:val="en-GB"/>
        </w:rPr>
        <w:t>ir</w:t>
      </w:r>
      <w:r w:rsidRPr="009A4AC9">
        <w:rPr>
          <w:lang w:val="en-GB"/>
        </w:rPr>
        <w:t xml:space="preserve"> long-term performance and ability to survive.</w:t>
      </w:r>
    </w:p>
    <w:p w14:paraId="51729133" w14:textId="39C4C9EC" w:rsidR="00B51B14" w:rsidRDefault="00B51B14" w:rsidP="00B51B14">
      <w:pPr>
        <w:pStyle w:val="BodyText"/>
        <w:rPr>
          <w:lang w:val="en-GB"/>
        </w:rPr>
      </w:pPr>
      <w:r w:rsidRPr="00B51B14">
        <w:rPr>
          <w:lang w:val="en-GB"/>
        </w:rPr>
        <w:t>While there is a substantial empirical literature body examining the short-term and long-term performance of companies post-IPO (Abdul-Rahim &amp; Che-Embi, 2013; Amor &amp; Kooli, 2017; Che-Yahya &amp; Matsuura, 2021; Kumar &amp; Sahoo, 2021;</w:t>
      </w:r>
      <w:r w:rsidRPr="00B51B14">
        <w:rPr>
          <w:lang w:val="en-MY"/>
        </w:rPr>
        <w:t xml:space="preserve"> Loughran &amp; Ritter, 2004;</w:t>
      </w:r>
      <w:r w:rsidR="002D602C">
        <w:rPr>
          <w:lang w:val="en-GB"/>
        </w:rPr>
        <w:t xml:space="preserve"> Mehmood</w:t>
      </w:r>
      <w:r w:rsidRPr="00B51B14">
        <w:rPr>
          <w:lang w:val="en-GB"/>
        </w:rPr>
        <w:t xml:space="preserve"> </w:t>
      </w:r>
      <w:r w:rsidR="002D602C">
        <w:rPr>
          <w:lang w:val="en-GB"/>
        </w:rPr>
        <w:t>et al.</w:t>
      </w:r>
      <w:r w:rsidRPr="00B51B14">
        <w:rPr>
          <w:lang w:val="en-GB"/>
        </w:rPr>
        <w:t xml:space="preserve">, 2021; Wang &amp; Wang, 2021), the attention on studies of companies’ survival </w:t>
      </w:r>
      <w:r>
        <w:rPr>
          <w:lang w:val="en-GB"/>
        </w:rPr>
        <w:t>time</w:t>
      </w:r>
      <w:r w:rsidRPr="00B51B14">
        <w:rPr>
          <w:lang w:val="en-GB"/>
        </w:rPr>
        <w:t xml:space="preserve"> can only be seen to grow recently, especially in the emerging markets (Iwasaki &amp; Kočenda, 2019). Although companies’ survival </w:t>
      </w:r>
      <w:r>
        <w:rPr>
          <w:lang w:val="en-GB"/>
        </w:rPr>
        <w:t>time</w:t>
      </w:r>
      <w:r w:rsidRPr="00B51B14">
        <w:rPr>
          <w:lang w:val="en-GB"/>
        </w:rPr>
        <w:t xml:space="preserve"> seems to be </w:t>
      </w:r>
      <w:r w:rsidRPr="00B51B14">
        <w:rPr>
          <w:lang w:val="en-GB"/>
        </w:rPr>
        <w:lastRenderedPageBreak/>
        <w:t xml:space="preserve">consistent with the examination of post-IPO performance, the examination of companies’ survival </w:t>
      </w:r>
      <w:r>
        <w:rPr>
          <w:lang w:val="en-GB"/>
        </w:rPr>
        <w:t>time</w:t>
      </w:r>
      <w:r w:rsidRPr="00B51B14">
        <w:rPr>
          <w:lang w:val="en-GB"/>
        </w:rPr>
        <w:t xml:space="preserve"> represents an unambiguous companies’ performance measurement, which is the inclusion of time element during the estimation (Chancharat </w:t>
      </w:r>
      <w:r w:rsidR="002D602C">
        <w:rPr>
          <w:lang w:val="en-GB"/>
        </w:rPr>
        <w:t>et al.</w:t>
      </w:r>
      <w:r w:rsidRPr="00B51B14">
        <w:rPr>
          <w:lang w:val="en-GB"/>
        </w:rPr>
        <w:t xml:space="preserve">, 2012). As opposed to the studies on short-term and long-term performance that relies on stock returns for a proxy to companies’ post-IPO performance at a specified point of time, Shumway (2001) states that the advantage of conducting studies using the survival analysis model is that it incorporates time-varying covariates that change with time for a higher accuracy of long-run post-IPO prediction. </w:t>
      </w:r>
    </w:p>
    <w:p w14:paraId="432ACAD5" w14:textId="77777777" w:rsidR="00B51B14" w:rsidRDefault="00B51B14" w:rsidP="00B51B14">
      <w:pPr>
        <w:pStyle w:val="BodyText"/>
        <w:rPr>
          <w:lang w:val="en-GB"/>
        </w:rPr>
      </w:pPr>
    </w:p>
    <w:p w14:paraId="5172E3D2" w14:textId="77777777" w:rsidR="00B51B14" w:rsidRPr="00B51B14" w:rsidRDefault="00B51B14" w:rsidP="00B51B14">
      <w:pPr>
        <w:widowControl w:val="0"/>
        <w:autoSpaceDE w:val="0"/>
        <w:autoSpaceDN w:val="0"/>
        <w:spacing w:before="1"/>
        <w:ind w:right="-36" w:hanging="10"/>
        <w:rPr>
          <w:sz w:val="22"/>
          <w:szCs w:val="22"/>
        </w:rPr>
      </w:pPr>
      <w:r w:rsidRPr="00B51B14">
        <w:rPr>
          <w:noProof/>
          <w:sz w:val="22"/>
          <w:szCs w:val="22"/>
          <w:lang w:val="id-ID" w:eastAsia="id-ID"/>
        </w:rPr>
        <w:drawing>
          <wp:inline distT="0" distB="0" distL="0" distR="0" wp14:anchorId="31BAF64C" wp14:editId="52334A5C">
            <wp:extent cx="6617970" cy="2631440"/>
            <wp:effectExtent l="0" t="0" r="1143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9AD3C5" w14:textId="772BEB22" w:rsidR="00B51B14" w:rsidRDefault="00B51B14" w:rsidP="00B51B14">
      <w:pPr>
        <w:widowControl w:val="0"/>
        <w:autoSpaceDE w:val="0"/>
        <w:autoSpaceDN w:val="0"/>
        <w:spacing w:before="1"/>
        <w:ind w:right="-36" w:hanging="10"/>
        <w:jc w:val="both"/>
        <w:rPr>
          <w:sz w:val="18"/>
          <w:szCs w:val="18"/>
        </w:rPr>
      </w:pPr>
      <w:r w:rsidRPr="00B51B14">
        <w:rPr>
          <w:sz w:val="18"/>
          <w:szCs w:val="18"/>
        </w:rPr>
        <w:t>Source: Bursa Malaysia website (2021)</w:t>
      </w:r>
    </w:p>
    <w:p w14:paraId="392F24ED" w14:textId="7B20C630" w:rsidR="00B51B14" w:rsidRPr="00B51B14" w:rsidRDefault="00B51B14" w:rsidP="00B51B14">
      <w:pPr>
        <w:pStyle w:val="BodyText"/>
        <w:spacing w:before="1"/>
        <w:ind w:right="-36" w:hanging="10"/>
        <w:rPr>
          <w:lang w:val="en-GB"/>
        </w:rPr>
      </w:pPr>
      <w:r>
        <w:rPr>
          <w:sz w:val="18"/>
          <w:szCs w:val="18"/>
        </w:rPr>
        <w:t xml:space="preserve">Fig. 1. </w:t>
      </w:r>
      <w:r w:rsidRPr="007521EC">
        <w:rPr>
          <w:lang w:val="en-GB"/>
        </w:rPr>
        <w:t>Listed companies in all three markets of Bursa Malaysia</w:t>
      </w:r>
      <w:r>
        <w:rPr>
          <w:lang w:val="en-GB"/>
        </w:rPr>
        <w:t xml:space="preserve"> </w:t>
      </w:r>
      <w:r w:rsidRPr="007521EC">
        <w:rPr>
          <w:lang w:val="en-GB"/>
        </w:rPr>
        <w:t>(Main Market, ACE Market and LEAP Market)</w:t>
      </w:r>
    </w:p>
    <w:p w14:paraId="7003CDE8" w14:textId="77777777" w:rsidR="00B51B14" w:rsidRDefault="00B51B14" w:rsidP="00B51B14">
      <w:pPr>
        <w:pStyle w:val="BodyText"/>
        <w:rPr>
          <w:lang w:val="en-GB"/>
        </w:rPr>
      </w:pPr>
    </w:p>
    <w:p w14:paraId="28490483" w14:textId="00A924EC" w:rsidR="00E64E58" w:rsidRDefault="00EC32FF" w:rsidP="00E64E58">
      <w:pPr>
        <w:pStyle w:val="BodyText"/>
        <w:spacing w:line="240" w:lineRule="auto"/>
        <w:rPr>
          <w:lang w:val="en-GB"/>
        </w:rPr>
      </w:pPr>
      <w:r>
        <w:rPr>
          <w:lang w:val="en-GB"/>
        </w:rPr>
        <w:t xml:space="preserve">Numerous </w:t>
      </w:r>
      <w:r w:rsidR="00B51B14" w:rsidRPr="00B51B14">
        <w:rPr>
          <w:lang w:val="en-GB"/>
        </w:rPr>
        <w:t>studies on the survival of companies post-IPO from the developed markets, usually adopting on the role of companies’ characteristics (company size and age) and issuance characteristics (underwriter reputation, venture capitalist and issuance size), have be</w:t>
      </w:r>
      <w:r w:rsidR="00B51B14">
        <w:rPr>
          <w:lang w:val="en-GB"/>
        </w:rPr>
        <w:t>en widely explained (Espenlaub et al.</w:t>
      </w:r>
      <w:r w:rsidR="00B51B14" w:rsidRPr="00B51B14">
        <w:rPr>
          <w:lang w:val="en-GB"/>
        </w:rPr>
        <w:t xml:space="preserve">, 2012; Kooli &amp; Meknassi, 2007; Lamberto &amp; Rath, 2010; Peristiani &amp; Hong, 2004). As far as the review of limited literature is concerned, </w:t>
      </w:r>
      <w:r w:rsidR="00B51B14">
        <w:rPr>
          <w:lang w:val="en-GB"/>
        </w:rPr>
        <w:t xml:space="preserve">Amor and Kooli (2017), and </w:t>
      </w:r>
      <w:r w:rsidR="00B51B14" w:rsidRPr="00B51B14">
        <w:rPr>
          <w:lang w:val="en-GB"/>
        </w:rPr>
        <w:t>Wyatt (2014)</w:t>
      </w:r>
      <w:r w:rsidR="00B51B14">
        <w:rPr>
          <w:lang w:val="en-GB"/>
        </w:rPr>
        <w:t xml:space="preserve"> are</w:t>
      </w:r>
      <w:r w:rsidR="00B51B14" w:rsidRPr="00B51B14">
        <w:rPr>
          <w:lang w:val="en-GB"/>
        </w:rPr>
        <w:t xml:space="preserve"> the only </w:t>
      </w:r>
      <w:r w:rsidR="00B51B14">
        <w:rPr>
          <w:lang w:val="en-GB"/>
        </w:rPr>
        <w:t>studies</w:t>
      </w:r>
      <w:r w:rsidR="00B51B14" w:rsidRPr="00B51B14">
        <w:rPr>
          <w:lang w:val="en-GB"/>
        </w:rPr>
        <w:t xml:space="preserve"> found to consider the information of IPO proceeds as the determinant of companies’ survival. In the Securities Commission of Malaysia (SCM) 9</w:t>
      </w:r>
      <w:r w:rsidR="00B51B14" w:rsidRPr="00B51B14">
        <w:rPr>
          <w:vertAlign w:val="superscript"/>
          <w:lang w:val="en-GB"/>
        </w:rPr>
        <w:t>th</w:t>
      </w:r>
      <w:r w:rsidR="00B51B14" w:rsidRPr="00B51B14">
        <w:rPr>
          <w:lang w:val="en-GB"/>
        </w:rPr>
        <w:t xml:space="preserve"> Revision Prospectus Guidelines (P.G.) Part II Division 1, the application of companies to go for public listing includes requirements for the companies to mandatorily disclose information on the expected amount of IPO proceeds ra</w:t>
      </w:r>
      <w:r w:rsidR="00B51B14">
        <w:rPr>
          <w:lang w:val="en-GB"/>
        </w:rPr>
        <w:t>ised during the exercise of IPO.</w:t>
      </w:r>
      <w:r w:rsidR="00B51B14" w:rsidRPr="00B51B14">
        <w:rPr>
          <w:lang w:val="en-GB"/>
        </w:rPr>
        <w:t xml:space="preserve"> </w:t>
      </w:r>
      <w:r w:rsidR="00B51B14">
        <w:rPr>
          <w:lang w:val="en-GB"/>
        </w:rPr>
        <w:t xml:space="preserve">They are </w:t>
      </w:r>
      <w:r w:rsidR="00B51B14" w:rsidRPr="00B51B14">
        <w:rPr>
          <w:lang w:val="en-GB"/>
        </w:rPr>
        <w:t>the disclosure of both the proportion of proceeds for utilization and the time frame of the proceeds to be fully utilized</w:t>
      </w:r>
      <w:r w:rsidR="00B51B14">
        <w:rPr>
          <w:lang w:val="en-GB"/>
        </w:rPr>
        <w:t xml:space="preserve"> for several categories, which are the growth opportunities, debt repayment and working capital</w:t>
      </w:r>
      <w:r w:rsidR="00B51B14" w:rsidRPr="00B51B14">
        <w:rPr>
          <w:lang w:val="en-GB"/>
        </w:rPr>
        <w:t xml:space="preserve">. The objective of the mandatory requirement is to serve as protection for investors’ interest through information transparency and to ensure a stable stock market (SCM, 2020). </w:t>
      </w:r>
    </w:p>
    <w:p w14:paraId="7DEEE2E5" w14:textId="53F986CC" w:rsidR="00B51B14" w:rsidRDefault="00B51B14" w:rsidP="00B51B14">
      <w:pPr>
        <w:pStyle w:val="BodyText"/>
      </w:pPr>
      <w:r>
        <w:t xml:space="preserve">The survival time of companies carries positive implications because as long as the companies are listed on the Stock Exchange, they can raise capital publicly from the investors. This will enable the companies to finance investment opportunities with high positive net present value and achieve better long-term performance (Andriansyah, 2017). The positive implications of survival extend to other parties such as the investors. Companies that </w:t>
      </w:r>
      <w:r w:rsidR="00EC32FF">
        <w:t>can</w:t>
      </w:r>
      <w:r>
        <w:t xml:space="preserve"> survive longer in the aftermarket will shape a good sentiment from investors as it indicates security for the investors to execute appropriate investments strategies for potential capital appreciation in the long-run (Baluja, 2018). The survival time of companies is also crucial to policymakers as they can assess the effectiveness of the rules and guidelines being imposed in the capital mark</w:t>
      </w:r>
      <w:r w:rsidR="002D602C">
        <w:t>et (Gémar et al.</w:t>
      </w:r>
      <w:r>
        <w:t>, 2016). In the context of the Malaysian market, for instance, Bursa Malaysia has developed a framework for the public listed companies with a provision stipulating that companies facing financial difficulties or insufficient level of operations to be under Practice Note 17 (PN17), rule 8.04 of Main Market l</w:t>
      </w:r>
      <w:r w:rsidR="00EC32FF">
        <w:t>isting and Guidance Note 3(GN3)</w:t>
      </w:r>
      <w:r>
        <w:t>, rule 8.04 of ACE Market listing. This framework serves as a platform that extends the survival time of the companies listed in the Malaysian market (Shari, 2019).</w:t>
      </w:r>
    </w:p>
    <w:p w14:paraId="2AF19D76" w14:textId="0B2782AC" w:rsidR="002B3D1B" w:rsidRDefault="00B51B14" w:rsidP="002B3D1B">
      <w:pPr>
        <w:pStyle w:val="Heading1"/>
      </w:pPr>
      <w:r>
        <w:t>METHODOLO</w:t>
      </w:r>
      <w:r w:rsidR="00EC32FF">
        <w:t>G</w:t>
      </w:r>
      <w:r>
        <w:t>Y</w:t>
      </w:r>
    </w:p>
    <w:p w14:paraId="12328B6A" w14:textId="4B076FED" w:rsidR="002B3D1B" w:rsidRDefault="00B51B14" w:rsidP="002B3D1B">
      <w:pPr>
        <w:pStyle w:val="Heading2"/>
      </w:pPr>
      <w:r>
        <w:t>Sample</w:t>
      </w:r>
      <w:r w:rsidR="0092430A">
        <w:t xml:space="preserve"> Selection</w:t>
      </w:r>
    </w:p>
    <w:p w14:paraId="381B294A" w14:textId="426DCD96" w:rsidR="002B3D1B" w:rsidRDefault="00813326" w:rsidP="002B3D1B">
      <w:pPr>
        <w:pStyle w:val="BodyText"/>
      </w:pPr>
      <w:r>
        <w:t xml:space="preserve">The population in this study comprises all IPO companies issued in the ACE and Main Market from </w:t>
      </w:r>
      <w:r w:rsidR="00EC32FF">
        <w:t xml:space="preserve">the </w:t>
      </w:r>
      <w:r>
        <w:t xml:space="preserve">beginning of 2000 to 31 August 2014. There were a total of 527 companies. This study excludes </w:t>
      </w:r>
      <w:r w:rsidRPr="00813326">
        <w:t>offered by Real Estate Investment Trust (REITs), financial institutions and insurance companies due to the financial statement format of presentation and regulatory framework differences.</w:t>
      </w:r>
      <w:r>
        <w:t xml:space="preserve"> This study also excludes companies with missing values and outliers. After excluding 104 companies, the final sample is 423 companies.</w:t>
      </w:r>
    </w:p>
    <w:p w14:paraId="050BD62D" w14:textId="5F24D979" w:rsidR="002B3D1B" w:rsidRDefault="00813326" w:rsidP="002B3D1B">
      <w:pPr>
        <w:pStyle w:val="Heading2"/>
      </w:pPr>
      <w:r>
        <w:t>Measurement of Variables</w:t>
      </w:r>
    </w:p>
    <w:p w14:paraId="11096539" w14:textId="4AAC86C0" w:rsidR="00813326" w:rsidRDefault="00813326" w:rsidP="00C245CB">
      <w:pPr>
        <w:pStyle w:val="BodyText"/>
      </w:pPr>
      <w:r w:rsidRPr="00813326">
        <w:t>Companies’ survival is the dependent variable of this study. This study defines surviving companies as companies that are actively trading and are at their ultimate performance post-IPO. Com</w:t>
      </w:r>
      <w:r>
        <w:t>panies encountering any hiccups (e.g. failure to adhere to listing requirements)</w:t>
      </w:r>
      <w:r w:rsidRPr="00813326">
        <w:t xml:space="preserve"> along their journey as listed companies are indicated as non-surviving companies. In line with past studies (Espenlaub et al., 2012; Neneh &amp; Smit, 2014; Pour, 2015; Pommet, 2017), the companies’ survival is the companies’ time-to-survive, which is the duration from companies’ listing date until the end time that the companies have survived, expressed in months.</w:t>
      </w:r>
      <w:r w:rsidRPr="00813326">
        <w:rPr>
          <w:rFonts w:eastAsia="Times New Roman"/>
          <w:spacing w:val="0"/>
        </w:rPr>
        <w:t xml:space="preserve"> </w:t>
      </w:r>
      <w:r w:rsidRPr="00813326">
        <w:t>In measuring the companies’ survival time, this study requires to include not only the companies’ time-to-survive but also the binary variable (“1” or “0”)</w:t>
      </w:r>
      <w:r>
        <w:t xml:space="preserve"> as </w:t>
      </w:r>
      <w:r w:rsidR="00EC32FF">
        <w:t xml:space="preserve">a </w:t>
      </w:r>
      <w:r>
        <w:t>denotation of survive or otherwise</w:t>
      </w:r>
      <w:r w:rsidRPr="00813326">
        <w:t xml:space="preserve">. </w:t>
      </w:r>
      <w:r w:rsidR="00C245CB">
        <w:t xml:space="preserve">Table </w:t>
      </w:r>
      <w:r w:rsidR="00EC32FF">
        <w:t>I</w:t>
      </w:r>
      <w:r w:rsidR="00C245CB">
        <w:t xml:space="preserve"> summarizes the measurements of all variables in this study.</w:t>
      </w:r>
    </w:p>
    <w:p w14:paraId="6CD8B9C8" w14:textId="46ED7726" w:rsidR="00C245CB" w:rsidRDefault="00C245CB" w:rsidP="00C245CB">
      <w:pPr>
        <w:pStyle w:val="BodyText"/>
        <w:ind w:firstLine="0"/>
        <w:jc w:val="center"/>
      </w:pPr>
      <w:r>
        <w:t>TABLE I</w:t>
      </w:r>
      <w:r>
        <w:tab/>
        <w:t>MEASUREMENTS OF VARIABLES IN THIS STUDY</w:t>
      </w:r>
    </w:p>
    <w:tbl>
      <w:tblPr>
        <w:tblStyle w:val="TableGrid"/>
        <w:tblW w:w="10386" w:type="dxa"/>
        <w:tblLook w:val="04A0" w:firstRow="1" w:lastRow="0" w:firstColumn="1" w:lastColumn="0" w:noHBand="0" w:noVBand="1"/>
      </w:tblPr>
      <w:tblGrid>
        <w:gridCol w:w="933"/>
        <w:gridCol w:w="1793"/>
        <w:gridCol w:w="1196"/>
        <w:gridCol w:w="3875"/>
        <w:gridCol w:w="2589"/>
      </w:tblGrid>
      <w:tr w:rsidR="00286713" w:rsidRPr="00286713" w14:paraId="44AEAB74" w14:textId="77777777" w:rsidTr="00C245CB">
        <w:trPr>
          <w:trHeight w:val="282"/>
        </w:trPr>
        <w:tc>
          <w:tcPr>
            <w:tcW w:w="933" w:type="dxa"/>
            <w:tcBorders>
              <w:left w:val="nil"/>
              <w:right w:val="nil"/>
            </w:tcBorders>
            <w:vAlign w:val="center"/>
          </w:tcPr>
          <w:p w14:paraId="745A128E" w14:textId="77777777" w:rsidR="00C245CB" w:rsidRPr="00286713" w:rsidRDefault="00C245CB" w:rsidP="00C245CB">
            <w:pPr>
              <w:pStyle w:val="BodyText"/>
              <w:jc w:val="center"/>
              <w:rPr>
                <w:lang w:val="en-GB"/>
              </w:rPr>
            </w:pPr>
            <w:r w:rsidRPr="00286713">
              <w:rPr>
                <w:lang w:val="en-GB"/>
              </w:rPr>
              <w:t>No.</w:t>
            </w:r>
          </w:p>
        </w:tc>
        <w:tc>
          <w:tcPr>
            <w:tcW w:w="1793" w:type="dxa"/>
            <w:tcBorders>
              <w:left w:val="nil"/>
              <w:right w:val="nil"/>
            </w:tcBorders>
            <w:vAlign w:val="center"/>
          </w:tcPr>
          <w:p w14:paraId="3E86B71D" w14:textId="77777777" w:rsidR="00C245CB" w:rsidRPr="00286713" w:rsidRDefault="00C245CB" w:rsidP="00C245CB">
            <w:pPr>
              <w:pStyle w:val="BodyText"/>
              <w:jc w:val="center"/>
              <w:rPr>
                <w:lang w:val="en-GB"/>
              </w:rPr>
            </w:pPr>
            <w:r w:rsidRPr="00286713">
              <w:rPr>
                <w:lang w:val="en-GB"/>
              </w:rPr>
              <w:t>Variables</w:t>
            </w:r>
          </w:p>
        </w:tc>
        <w:tc>
          <w:tcPr>
            <w:tcW w:w="1196" w:type="dxa"/>
            <w:tcBorders>
              <w:left w:val="nil"/>
              <w:right w:val="nil"/>
            </w:tcBorders>
            <w:vAlign w:val="center"/>
          </w:tcPr>
          <w:p w14:paraId="512BB22B" w14:textId="77777777" w:rsidR="00C245CB" w:rsidRPr="00286713" w:rsidRDefault="00C245CB" w:rsidP="00C245CB">
            <w:pPr>
              <w:pStyle w:val="BodyText"/>
              <w:jc w:val="center"/>
              <w:rPr>
                <w:lang w:val="en-GB"/>
              </w:rPr>
            </w:pPr>
            <w:r w:rsidRPr="00286713">
              <w:rPr>
                <w:lang w:val="en-GB"/>
              </w:rPr>
              <w:t>Notation</w:t>
            </w:r>
          </w:p>
        </w:tc>
        <w:tc>
          <w:tcPr>
            <w:tcW w:w="3875" w:type="dxa"/>
            <w:tcBorders>
              <w:left w:val="nil"/>
              <w:right w:val="nil"/>
            </w:tcBorders>
            <w:vAlign w:val="center"/>
          </w:tcPr>
          <w:p w14:paraId="145F0546" w14:textId="77777777" w:rsidR="00C245CB" w:rsidRPr="00286713" w:rsidRDefault="00C245CB" w:rsidP="00C245CB">
            <w:pPr>
              <w:pStyle w:val="BodyText"/>
              <w:jc w:val="center"/>
              <w:rPr>
                <w:lang w:val="en-GB"/>
              </w:rPr>
            </w:pPr>
            <w:r w:rsidRPr="00286713">
              <w:rPr>
                <w:lang w:val="en-GB"/>
              </w:rPr>
              <w:t>Definition</w:t>
            </w:r>
          </w:p>
        </w:tc>
        <w:tc>
          <w:tcPr>
            <w:tcW w:w="2589" w:type="dxa"/>
            <w:tcBorders>
              <w:left w:val="nil"/>
              <w:right w:val="nil"/>
            </w:tcBorders>
            <w:vAlign w:val="center"/>
          </w:tcPr>
          <w:p w14:paraId="1C5A0641" w14:textId="77777777" w:rsidR="00C245CB" w:rsidRPr="00286713" w:rsidRDefault="00C245CB" w:rsidP="00C245CB">
            <w:pPr>
              <w:pStyle w:val="BodyText"/>
              <w:jc w:val="center"/>
              <w:rPr>
                <w:lang w:val="en-GB"/>
              </w:rPr>
            </w:pPr>
            <w:r w:rsidRPr="00286713">
              <w:rPr>
                <w:lang w:val="en-GB"/>
              </w:rPr>
              <w:t>Measurements</w:t>
            </w:r>
          </w:p>
        </w:tc>
      </w:tr>
      <w:tr w:rsidR="00286713" w:rsidRPr="00286713" w14:paraId="18147B20" w14:textId="77777777" w:rsidTr="00C245CB">
        <w:trPr>
          <w:trHeight w:val="282"/>
        </w:trPr>
        <w:tc>
          <w:tcPr>
            <w:tcW w:w="933" w:type="dxa"/>
            <w:vMerge w:val="restart"/>
            <w:tcBorders>
              <w:left w:val="nil"/>
              <w:right w:val="nil"/>
            </w:tcBorders>
            <w:vAlign w:val="center"/>
          </w:tcPr>
          <w:p w14:paraId="7BF451AF" w14:textId="77777777" w:rsidR="00C245CB" w:rsidRPr="00286713" w:rsidRDefault="00C245CB" w:rsidP="00C245CB">
            <w:pPr>
              <w:pStyle w:val="BodyText"/>
              <w:jc w:val="center"/>
              <w:rPr>
                <w:lang w:val="en-GB"/>
              </w:rPr>
            </w:pPr>
            <w:r w:rsidRPr="00286713">
              <w:rPr>
                <w:lang w:val="en-GB"/>
              </w:rPr>
              <w:t>1.</w:t>
            </w:r>
          </w:p>
        </w:tc>
        <w:tc>
          <w:tcPr>
            <w:tcW w:w="1793" w:type="dxa"/>
            <w:vMerge w:val="restart"/>
            <w:tcBorders>
              <w:left w:val="nil"/>
              <w:right w:val="nil"/>
            </w:tcBorders>
            <w:vAlign w:val="center"/>
          </w:tcPr>
          <w:p w14:paraId="66EEB0E4" w14:textId="4C826EAD" w:rsidR="00C245CB" w:rsidRPr="00286713" w:rsidRDefault="00C245CB" w:rsidP="004A6B30">
            <w:pPr>
              <w:pStyle w:val="BodyText"/>
              <w:ind w:firstLine="0"/>
              <w:jc w:val="center"/>
              <w:rPr>
                <w:lang w:val="en-GB"/>
              </w:rPr>
            </w:pPr>
            <w:r w:rsidRPr="00286713">
              <w:rPr>
                <w:lang w:val="en-GB"/>
              </w:rPr>
              <w:t xml:space="preserve">Companies Survival </w:t>
            </w:r>
            <w:r w:rsidR="004A6B30" w:rsidRPr="00286713">
              <w:rPr>
                <w:lang w:val="en-GB"/>
              </w:rPr>
              <w:t>Time</w:t>
            </w:r>
          </w:p>
        </w:tc>
        <w:tc>
          <w:tcPr>
            <w:tcW w:w="1196" w:type="dxa"/>
            <w:vMerge w:val="restart"/>
            <w:tcBorders>
              <w:left w:val="nil"/>
              <w:right w:val="nil"/>
            </w:tcBorders>
            <w:vAlign w:val="center"/>
          </w:tcPr>
          <w:p w14:paraId="6E0500A7" w14:textId="37806FC4" w:rsidR="00C245CB" w:rsidRPr="00286713" w:rsidRDefault="00A471F7" w:rsidP="004A6B30">
            <w:pPr>
              <w:pStyle w:val="BodyText"/>
              <w:ind w:firstLine="0"/>
              <w:jc w:val="center"/>
              <w:rPr>
                <w:lang w:val="en-GB"/>
              </w:rPr>
            </w:pPr>
            <w:r>
              <w:rPr>
                <w:lang w:val="en-GB"/>
              </w:rPr>
              <w:t>ST</w:t>
            </w:r>
          </w:p>
        </w:tc>
        <w:tc>
          <w:tcPr>
            <w:tcW w:w="3875" w:type="dxa"/>
            <w:tcBorders>
              <w:left w:val="nil"/>
              <w:bottom w:val="nil"/>
              <w:right w:val="nil"/>
            </w:tcBorders>
            <w:vAlign w:val="center"/>
          </w:tcPr>
          <w:p w14:paraId="50F7011A" w14:textId="77777777" w:rsidR="00C245CB" w:rsidRPr="00286713" w:rsidRDefault="00C245CB" w:rsidP="004A6B30">
            <w:pPr>
              <w:pStyle w:val="BodyText"/>
              <w:ind w:firstLine="0"/>
              <w:jc w:val="center"/>
              <w:rPr>
                <w:lang w:val="en-GB"/>
              </w:rPr>
            </w:pPr>
            <w:r w:rsidRPr="00286713">
              <w:rPr>
                <w:lang w:val="en-GB"/>
              </w:rPr>
              <w:t>Time-to-Survive (months)</w:t>
            </w:r>
          </w:p>
        </w:tc>
        <w:tc>
          <w:tcPr>
            <w:tcW w:w="2589" w:type="dxa"/>
            <w:tcBorders>
              <w:left w:val="nil"/>
              <w:bottom w:val="nil"/>
              <w:right w:val="nil"/>
            </w:tcBorders>
            <w:vAlign w:val="center"/>
          </w:tcPr>
          <w:p w14:paraId="2EF214CB" w14:textId="179147C5" w:rsidR="00C245CB" w:rsidRPr="00286713" w:rsidRDefault="00C245CB" w:rsidP="00C245CB">
            <w:pPr>
              <w:pStyle w:val="BodyText"/>
              <w:ind w:firstLine="0"/>
              <w:rPr>
                <w:lang w:val="en-GB"/>
              </w:rPr>
            </w:pPr>
            <m:oMathPara>
              <m:oMath>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w:rPr>
                            <w:rFonts w:ascii="Cambria Math" w:hAnsi="Cambria Math"/>
                            <w:lang w:val="en-GB"/>
                          </w:rPr>
                          <m:t>Ln</m:t>
                        </m:r>
                      </m:e>
                      <m:sub>
                        <m:r>
                          <w:rPr>
                            <w:rFonts w:ascii="Cambria Math" w:hAnsi="Cambria Math"/>
                            <w:lang w:val="en-GB"/>
                          </w:rPr>
                          <m:t>i</m:t>
                        </m:r>
                      </m:sub>
                    </m:sSub>
                    <m:r>
                      <m:rPr>
                        <m:sty m:val="p"/>
                      </m:rPr>
                      <w:rPr>
                        <w:rFonts w:ascii="Cambria Math" w:hAnsi="Cambria Math"/>
                        <w:lang w:val="en-GB"/>
                      </w:rPr>
                      <m:t>(</m:t>
                    </m:r>
                    <m:r>
                      <w:rPr>
                        <w:rFonts w:ascii="Cambria Math" w:hAnsi="Cambria Math"/>
                        <w:lang w:val="en-GB"/>
                      </w:rPr>
                      <m:t>t</m:t>
                    </m:r>
                  </m:e>
                  <m:sub>
                    <m:r>
                      <m:rPr>
                        <m:sty m:val="p"/>
                      </m:rPr>
                      <w:rPr>
                        <w:rFonts w:ascii="Cambria Math" w:hAnsi="Cambria Math"/>
                        <w:lang w:val="en-GB"/>
                      </w:rPr>
                      <m:t>1,</m:t>
                    </m:r>
                    <m:r>
                      <w:rPr>
                        <w:rFonts w:ascii="Cambria Math" w:hAnsi="Cambria Math"/>
                        <w:lang w:val="en-GB"/>
                      </w:rPr>
                      <m:t>i</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m:rPr>
                        <m:sty m:val="p"/>
                      </m:rPr>
                      <w:rPr>
                        <w:rFonts w:ascii="Cambria Math" w:hAnsi="Cambria Math"/>
                        <w:lang w:val="en-GB"/>
                      </w:rPr>
                      <m:t>0,</m:t>
                    </m:r>
                    <m:r>
                      <w:rPr>
                        <w:rFonts w:ascii="Cambria Math" w:hAnsi="Cambria Math"/>
                        <w:lang w:val="en-GB"/>
                      </w:rPr>
                      <m:t>i</m:t>
                    </m:r>
                  </m:sub>
                </m:sSub>
                <m:r>
                  <m:rPr>
                    <m:sty m:val="p"/>
                  </m:rPr>
                  <w:rPr>
                    <w:rFonts w:ascii="Cambria Math" w:hAnsi="Cambria Math"/>
                    <w:lang w:val="en-GB"/>
                  </w:rPr>
                  <m:t>)</m:t>
                </m:r>
              </m:oMath>
            </m:oMathPara>
          </w:p>
        </w:tc>
      </w:tr>
      <w:tr w:rsidR="00286713" w:rsidRPr="00286713" w14:paraId="6443628D" w14:textId="77777777" w:rsidTr="00C245CB">
        <w:trPr>
          <w:trHeight w:val="282"/>
        </w:trPr>
        <w:tc>
          <w:tcPr>
            <w:tcW w:w="933" w:type="dxa"/>
            <w:vMerge/>
            <w:tcBorders>
              <w:left w:val="nil"/>
              <w:right w:val="nil"/>
            </w:tcBorders>
            <w:vAlign w:val="center"/>
          </w:tcPr>
          <w:p w14:paraId="64C44A1F" w14:textId="77777777" w:rsidR="00C245CB" w:rsidRPr="00286713" w:rsidRDefault="00C245CB" w:rsidP="00C245CB">
            <w:pPr>
              <w:pStyle w:val="BodyText"/>
              <w:jc w:val="center"/>
              <w:rPr>
                <w:lang w:val="en-GB"/>
              </w:rPr>
            </w:pPr>
          </w:p>
        </w:tc>
        <w:tc>
          <w:tcPr>
            <w:tcW w:w="1793" w:type="dxa"/>
            <w:vMerge/>
            <w:tcBorders>
              <w:left w:val="nil"/>
              <w:right w:val="nil"/>
            </w:tcBorders>
            <w:vAlign w:val="center"/>
          </w:tcPr>
          <w:p w14:paraId="595C7CC0" w14:textId="77777777" w:rsidR="00C245CB" w:rsidRPr="00286713" w:rsidRDefault="00C245CB" w:rsidP="00C245CB">
            <w:pPr>
              <w:pStyle w:val="BodyText"/>
              <w:jc w:val="center"/>
              <w:rPr>
                <w:lang w:val="en-GB"/>
              </w:rPr>
            </w:pPr>
          </w:p>
        </w:tc>
        <w:tc>
          <w:tcPr>
            <w:tcW w:w="1196" w:type="dxa"/>
            <w:vMerge/>
            <w:tcBorders>
              <w:left w:val="nil"/>
              <w:right w:val="nil"/>
            </w:tcBorders>
            <w:vAlign w:val="center"/>
          </w:tcPr>
          <w:p w14:paraId="4C2AA465" w14:textId="77777777" w:rsidR="00C245CB" w:rsidRPr="00286713" w:rsidRDefault="00C245CB" w:rsidP="004A6B30">
            <w:pPr>
              <w:pStyle w:val="BodyText"/>
              <w:ind w:firstLine="0"/>
              <w:jc w:val="center"/>
              <w:rPr>
                <w:lang w:val="en-GB"/>
              </w:rPr>
            </w:pPr>
          </w:p>
        </w:tc>
        <w:tc>
          <w:tcPr>
            <w:tcW w:w="3875" w:type="dxa"/>
            <w:tcBorders>
              <w:top w:val="nil"/>
              <w:left w:val="nil"/>
              <w:right w:val="nil"/>
            </w:tcBorders>
            <w:vAlign w:val="center"/>
          </w:tcPr>
          <w:p w14:paraId="1AF19DF2" w14:textId="77777777" w:rsidR="00C245CB" w:rsidRPr="00286713" w:rsidRDefault="00C245CB" w:rsidP="004A6B30">
            <w:pPr>
              <w:pStyle w:val="BodyText"/>
              <w:ind w:firstLine="0"/>
              <w:jc w:val="center"/>
              <w:rPr>
                <w:lang w:val="en-GB"/>
              </w:rPr>
            </w:pPr>
            <w:r w:rsidRPr="00286713">
              <w:rPr>
                <w:lang w:val="en-GB"/>
              </w:rPr>
              <w:t>Binary variable (“1” or “0”)</w:t>
            </w:r>
          </w:p>
        </w:tc>
        <w:tc>
          <w:tcPr>
            <w:tcW w:w="2589" w:type="dxa"/>
            <w:tcBorders>
              <w:top w:val="nil"/>
              <w:left w:val="nil"/>
              <w:right w:val="nil"/>
            </w:tcBorders>
            <w:vAlign w:val="center"/>
          </w:tcPr>
          <w:p w14:paraId="42450BEE" w14:textId="40F1699B" w:rsidR="00C245CB" w:rsidRPr="00286713" w:rsidRDefault="00C245CB" w:rsidP="00C245CB">
            <w:pPr>
              <w:pStyle w:val="BodyText"/>
              <w:rPr>
                <w:lang w:val="en-GB"/>
              </w:rPr>
            </w:pPr>
            <w:r w:rsidRPr="00286713">
              <w:rPr>
                <w:lang w:val="en-GB"/>
              </w:rPr>
              <w:t xml:space="preserve"> = IF, Censored         = “1”</w:t>
            </w:r>
          </w:p>
          <w:p w14:paraId="6DE77A15" w14:textId="6459DCDC" w:rsidR="00C245CB" w:rsidRPr="00286713" w:rsidRDefault="00C245CB" w:rsidP="00C245CB">
            <w:pPr>
              <w:pStyle w:val="BodyText"/>
              <w:rPr>
                <w:lang w:val="en-GB"/>
              </w:rPr>
            </w:pPr>
            <w:r w:rsidRPr="00286713">
              <w:rPr>
                <w:lang w:val="en-GB"/>
              </w:rPr>
              <w:t xml:space="preserve">    IF, Non-censored  = “0”</w:t>
            </w:r>
          </w:p>
        </w:tc>
      </w:tr>
      <w:tr w:rsidR="00286713" w:rsidRPr="00286713" w14:paraId="02D0E317" w14:textId="77777777" w:rsidTr="00C245CB">
        <w:trPr>
          <w:trHeight w:val="282"/>
        </w:trPr>
        <w:tc>
          <w:tcPr>
            <w:tcW w:w="933" w:type="dxa"/>
            <w:tcBorders>
              <w:left w:val="nil"/>
              <w:right w:val="nil"/>
            </w:tcBorders>
            <w:vAlign w:val="center"/>
          </w:tcPr>
          <w:p w14:paraId="08289CDC" w14:textId="77777777" w:rsidR="00C245CB" w:rsidRPr="00286713" w:rsidRDefault="00C245CB" w:rsidP="00C245CB">
            <w:pPr>
              <w:pStyle w:val="BodyText"/>
              <w:jc w:val="center"/>
              <w:rPr>
                <w:lang w:val="en-GB"/>
              </w:rPr>
            </w:pPr>
            <w:r w:rsidRPr="00286713">
              <w:rPr>
                <w:lang w:val="en-GB"/>
              </w:rPr>
              <w:t>2.</w:t>
            </w:r>
          </w:p>
        </w:tc>
        <w:tc>
          <w:tcPr>
            <w:tcW w:w="1793" w:type="dxa"/>
            <w:tcBorders>
              <w:left w:val="nil"/>
              <w:right w:val="nil"/>
            </w:tcBorders>
            <w:vAlign w:val="center"/>
          </w:tcPr>
          <w:p w14:paraId="19164B0A" w14:textId="77777777" w:rsidR="00C245CB" w:rsidRPr="00286713" w:rsidRDefault="00C245CB" w:rsidP="004A6B30">
            <w:pPr>
              <w:pStyle w:val="BodyText"/>
              <w:ind w:firstLine="0"/>
              <w:jc w:val="center"/>
              <w:rPr>
                <w:lang w:val="en-GB"/>
              </w:rPr>
            </w:pPr>
            <w:r w:rsidRPr="00286713">
              <w:rPr>
                <w:lang w:val="en-GB"/>
              </w:rPr>
              <w:t>Proportion for Growth Opportunities</w:t>
            </w:r>
          </w:p>
        </w:tc>
        <w:tc>
          <w:tcPr>
            <w:tcW w:w="1196" w:type="dxa"/>
            <w:tcBorders>
              <w:left w:val="nil"/>
              <w:right w:val="nil"/>
            </w:tcBorders>
            <w:vAlign w:val="center"/>
          </w:tcPr>
          <w:p w14:paraId="07496B12" w14:textId="77777777" w:rsidR="00C245CB" w:rsidRPr="00286713" w:rsidRDefault="00C245CB" w:rsidP="004A6B30">
            <w:pPr>
              <w:pStyle w:val="BodyText"/>
              <w:ind w:firstLine="0"/>
              <w:jc w:val="center"/>
              <w:rPr>
                <w:lang w:val="en-GB"/>
              </w:rPr>
            </w:pPr>
            <w:r w:rsidRPr="00286713">
              <w:rPr>
                <w:lang w:val="en-GB"/>
              </w:rPr>
              <w:t>POPG</w:t>
            </w:r>
          </w:p>
        </w:tc>
        <w:tc>
          <w:tcPr>
            <w:tcW w:w="3875" w:type="dxa"/>
            <w:tcBorders>
              <w:left w:val="nil"/>
              <w:right w:val="nil"/>
            </w:tcBorders>
            <w:vAlign w:val="center"/>
          </w:tcPr>
          <w:p w14:paraId="269D3A01" w14:textId="77777777" w:rsidR="00C245CB" w:rsidRPr="00286713" w:rsidRDefault="00C245CB" w:rsidP="004A6B30">
            <w:pPr>
              <w:pStyle w:val="BodyText"/>
              <w:ind w:firstLine="0"/>
              <w:jc w:val="center"/>
              <w:rPr>
                <w:lang w:val="en-GB"/>
              </w:rPr>
            </w:pPr>
            <w:r w:rsidRPr="00286713">
              <w:rPr>
                <w:lang w:val="en-GB"/>
              </w:rPr>
              <w:t>IPO proceeds for growth activities (%)</w:t>
            </w:r>
          </w:p>
        </w:tc>
        <w:tc>
          <w:tcPr>
            <w:tcW w:w="2589" w:type="dxa"/>
            <w:tcBorders>
              <w:left w:val="nil"/>
              <w:right w:val="nil"/>
            </w:tcBorders>
            <w:vAlign w:val="center"/>
          </w:tcPr>
          <w:p w14:paraId="78C6EF22" w14:textId="49729352" w:rsidR="00C245CB" w:rsidRPr="00286713" w:rsidRDefault="00C245CB" w:rsidP="00C245CB">
            <w:pPr>
              <w:pStyle w:val="BodyText"/>
              <w:rPr>
                <w:lang w:val="en-GB"/>
              </w:rPr>
            </w:pPr>
            <m:oMathPara>
              <m:oMath>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GROPP</m:t>
                        </m:r>
                      </m:e>
                      <m:sub>
                        <m:r>
                          <w:rPr>
                            <w:rFonts w:ascii="Cambria Math" w:hAnsi="Cambria Math"/>
                            <w:lang w:val="en-GB"/>
                          </w:rPr>
                          <m:t>i</m:t>
                        </m:r>
                      </m:sub>
                    </m:sSub>
                  </m:num>
                  <m:den>
                    <m:sSub>
                      <m:sSubPr>
                        <m:ctrlPr>
                          <w:rPr>
                            <w:rFonts w:ascii="Cambria Math" w:hAnsi="Cambria Math"/>
                            <w:lang w:val="en-GB"/>
                          </w:rPr>
                        </m:ctrlPr>
                      </m:sSubPr>
                      <m:e>
                        <m:r>
                          <w:rPr>
                            <w:rFonts w:ascii="Cambria Math" w:hAnsi="Cambria Math"/>
                            <w:lang w:val="en-GB"/>
                          </w:rPr>
                          <m:t>TOTPRO</m:t>
                        </m:r>
                      </m:e>
                      <m:sub>
                        <m:r>
                          <w:rPr>
                            <w:rFonts w:ascii="Cambria Math" w:hAnsi="Cambria Math"/>
                            <w:lang w:val="en-GB"/>
                          </w:rPr>
                          <m:t>i</m:t>
                        </m:r>
                      </m:sub>
                    </m:sSub>
                  </m:den>
                </m:f>
                <m:r>
                  <m:rPr>
                    <m:sty m:val="p"/>
                  </m:rPr>
                  <w:rPr>
                    <w:rFonts w:ascii="Cambria Math" w:hAnsi="Cambria Math"/>
                    <w:lang w:val="en-GB"/>
                  </w:rPr>
                  <m:t xml:space="preserve"> </m:t>
                </m:r>
                <m:r>
                  <w:rPr>
                    <w:rFonts w:ascii="Cambria Math" w:hAnsi="Cambria Math"/>
                    <w:lang w:val="en-GB"/>
                  </w:rPr>
                  <m:t>X</m:t>
                </m:r>
                <m:r>
                  <m:rPr>
                    <m:sty m:val="p"/>
                  </m:rPr>
                  <w:rPr>
                    <w:rFonts w:ascii="Cambria Math" w:hAnsi="Cambria Math"/>
                    <w:lang w:val="en-GB"/>
                  </w:rPr>
                  <m:t xml:space="preserve"> 100</m:t>
                </m:r>
              </m:oMath>
            </m:oMathPara>
          </w:p>
        </w:tc>
      </w:tr>
      <w:tr w:rsidR="00286713" w:rsidRPr="00286713" w14:paraId="6B8B4BB8" w14:textId="77777777" w:rsidTr="00C245CB">
        <w:trPr>
          <w:trHeight w:val="282"/>
        </w:trPr>
        <w:tc>
          <w:tcPr>
            <w:tcW w:w="933" w:type="dxa"/>
            <w:tcBorders>
              <w:left w:val="nil"/>
              <w:right w:val="nil"/>
            </w:tcBorders>
            <w:vAlign w:val="center"/>
          </w:tcPr>
          <w:p w14:paraId="22A4A706" w14:textId="77777777" w:rsidR="00C245CB" w:rsidRPr="00286713" w:rsidRDefault="00C245CB" w:rsidP="00C245CB">
            <w:pPr>
              <w:pStyle w:val="BodyText"/>
              <w:jc w:val="center"/>
              <w:rPr>
                <w:lang w:val="en-GB"/>
              </w:rPr>
            </w:pPr>
            <w:r w:rsidRPr="00286713">
              <w:rPr>
                <w:lang w:val="en-GB"/>
              </w:rPr>
              <w:t>3.</w:t>
            </w:r>
          </w:p>
        </w:tc>
        <w:tc>
          <w:tcPr>
            <w:tcW w:w="1793" w:type="dxa"/>
            <w:tcBorders>
              <w:left w:val="nil"/>
              <w:right w:val="nil"/>
            </w:tcBorders>
            <w:vAlign w:val="center"/>
          </w:tcPr>
          <w:p w14:paraId="21A85778" w14:textId="77777777" w:rsidR="00C245CB" w:rsidRPr="00286713" w:rsidRDefault="00C245CB" w:rsidP="004A6B30">
            <w:pPr>
              <w:pStyle w:val="BodyText"/>
              <w:ind w:firstLine="0"/>
              <w:jc w:val="center"/>
              <w:rPr>
                <w:lang w:val="en-GB"/>
              </w:rPr>
            </w:pPr>
            <w:r w:rsidRPr="00286713">
              <w:rPr>
                <w:lang w:val="en-GB"/>
              </w:rPr>
              <w:t>Proportion for Debt Repayment</w:t>
            </w:r>
          </w:p>
        </w:tc>
        <w:tc>
          <w:tcPr>
            <w:tcW w:w="1196" w:type="dxa"/>
            <w:tcBorders>
              <w:left w:val="nil"/>
              <w:right w:val="nil"/>
            </w:tcBorders>
            <w:vAlign w:val="center"/>
          </w:tcPr>
          <w:p w14:paraId="5230493F" w14:textId="77777777" w:rsidR="00C245CB" w:rsidRPr="00286713" w:rsidRDefault="00C245CB" w:rsidP="004A6B30">
            <w:pPr>
              <w:pStyle w:val="BodyText"/>
              <w:ind w:firstLine="0"/>
              <w:jc w:val="center"/>
              <w:rPr>
                <w:lang w:val="en-GB"/>
              </w:rPr>
            </w:pPr>
            <w:r w:rsidRPr="00286713">
              <w:rPr>
                <w:lang w:val="en-GB"/>
              </w:rPr>
              <w:t>POPD</w:t>
            </w:r>
          </w:p>
        </w:tc>
        <w:tc>
          <w:tcPr>
            <w:tcW w:w="3875" w:type="dxa"/>
            <w:tcBorders>
              <w:left w:val="nil"/>
              <w:right w:val="nil"/>
            </w:tcBorders>
            <w:vAlign w:val="center"/>
          </w:tcPr>
          <w:p w14:paraId="2176C7A3" w14:textId="77777777" w:rsidR="00C245CB" w:rsidRPr="00286713" w:rsidRDefault="00C245CB" w:rsidP="004A6B30">
            <w:pPr>
              <w:pStyle w:val="BodyText"/>
              <w:ind w:firstLine="0"/>
              <w:jc w:val="center"/>
              <w:rPr>
                <w:lang w:val="en-GB"/>
              </w:rPr>
            </w:pPr>
            <w:r w:rsidRPr="00286713">
              <w:rPr>
                <w:lang w:val="en-GB"/>
              </w:rPr>
              <w:t>IPO proceeds for relieving, reducing or retiring indebtedness (%)</w:t>
            </w:r>
          </w:p>
        </w:tc>
        <w:tc>
          <w:tcPr>
            <w:tcW w:w="2589" w:type="dxa"/>
            <w:tcBorders>
              <w:left w:val="nil"/>
              <w:right w:val="nil"/>
            </w:tcBorders>
            <w:vAlign w:val="center"/>
          </w:tcPr>
          <w:p w14:paraId="64D57235" w14:textId="188C681C" w:rsidR="00C245CB" w:rsidRPr="00286713" w:rsidRDefault="00C245CB" w:rsidP="00C245CB">
            <w:pPr>
              <w:pStyle w:val="BodyText"/>
              <w:rPr>
                <w:lang w:val="en-GB"/>
              </w:rPr>
            </w:pPr>
            <m:oMathPara>
              <m:oMath>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DERE</m:t>
                        </m:r>
                      </m:e>
                      <m:sub>
                        <m:r>
                          <w:rPr>
                            <w:rFonts w:ascii="Cambria Math" w:hAnsi="Cambria Math"/>
                            <w:lang w:val="en-GB"/>
                          </w:rPr>
                          <m:t>i</m:t>
                        </m:r>
                      </m:sub>
                    </m:sSub>
                  </m:num>
                  <m:den>
                    <m:sSub>
                      <m:sSubPr>
                        <m:ctrlPr>
                          <w:rPr>
                            <w:rFonts w:ascii="Cambria Math" w:hAnsi="Cambria Math"/>
                            <w:lang w:val="en-GB"/>
                          </w:rPr>
                        </m:ctrlPr>
                      </m:sSubPr>
                      <m:e>
                        <m:r>
                          <w:rPr>
                            <w:rFonts w:ascii="Cambria Math" w:hAnsi="Cambria Math"/>
                            <w:lang w:val="en-GB"/>
                          </w:rPr>
                          <m:t>TOTPRO</m:t>
                        </m:r>
                      </m:e>
                      <m:sub>
                        <m:r>
                          <w:rPr>
                            <w:rFonts w:ascii="Cambria Math" w:hAnsi="Cambria Math"/>
                            <w:lang w:val="en-GB"/>
                          </w:rPr>
                          <m:t>i</m:t>
                        </m:r>
                      </m:sub>
                    </m:sSub>
                  </m:den>
                </m:f>
                <m:r>
                  <m:rPr>
                    <m:sty m:val="p"/>
                  </m:rPr>
                  <w:rPr>
                    <w:rFonts w:ascii="Cambria Math" w:hAnsi="Cambria Math"/>
                    <w:lang w:val="en-GB"/>
                  </w:rPr>
                  <m:t xml:space="preserve"> </m:t>
                </m:r>
                <m:r>
                  <w:rPr>
                    <w:rFonts w:ascii="Cambria Math" w:hAnsi="Cambria Math"/>
                    <w:lang w:val="en-GB"/>
                  </w:rPr>
                  <m:t>X</m:t>
                </m:r>
                <m:r>
                  <m:rPr>
                    <m:sty m:val="p"/>
                  </m:rPr>
                  <w:rPr>
                    <w:rFonts w:ascii="Cambria Math" w:hAnsi="Cambria Math"/>
                    <w:lang w:val="en-GB"/>
                  </w:rPr>
                  <m:t xml:space="preserve"> 100</m:t>
                </m:r>
              </m:oMath>
            </m:oMathPara>
          </w:p>
        </w:tc>
      </w:tr>
      <w:tr w:rsidR="00286713" w:rsidRPr="00286713" w14:paraId="2F84461B" w14:textId="77777777" w:rsidTr="00C245CB">
        <w:trPr>
          <w:trHeight w:val="282"/>
        </w:trPr>
        <w:tc>
          <w:tcPr>
            <w:tcW w:w="933" w:type="dxa"/>
            <w:tcBorders>
              <w:left w:val="nil"/>
              <w:right w:val="nil"/>
            </w:tcBorders>
            <w:vAlign w:val="center"/>
          </w:tcPr>
          <w:p w14:paraId="59E4C455" w14:textId="77777777" w:rsidR="00C245CB" w:rsidRPr="00286713" w:rsidRDefault="00C245CB" w:rsidP="00C245CB">
            <w:pPr>
              <w:pStyle w:val="BodyText"/>
              <w:jc w:val="center"/>
              <w:rPr>
                <w:lang w:val="en-GB"/>
              </w:rPr>
            </w:pPr>
            <w:r w:rsidRPr="00286713">
              <w:rPr>
                <w:lang w:val="en-GB"/>
              </w:rPr>
              <w:t>4.</w:t>
            </w:r>
          </w:p>
        </w:tc>
        <w:tc>
          <w:tcPr>
            <w:tcW w:w="1793" w:type="dxa"/>
            <w:tcBorders>
              <w:left w:val="nil"/>
              <w:right w:val="nil"/>
            </w:tcBorders>
            <w:vAlign w:val="center"/>
          </w:tcPr>
          <w:p w14:paraId="384CDFB3" w14:textId="77777777" w:rsidR="00C245CB" w:rsidRPr="00286713" w:rsidRDefault="00C245CB" w:rsidP="004A6B30">
            <w:pPr>
              <w:pStyle w:val="BodyText"/>
              <w:ind w:firstLine="0"/>
              <w:jc w:val="center"/>
              <w:rPr>
                <w:lang w:val="en-GB"/>
              </w:rPr>
            </w:pPr>
            <w:r w:rsidRPr="00286713">
              <w:rPr>
                <w:lang w:val="en-GB"/>
              </w:rPr>
              <w:t>Proportion for Working Capital</w:t>
            </w:r>
          </w:p>
        </w:tc>
        <w:tc>
          <w:tcPr>
            <w:tcW w:w="1196" w:type="dxa"/>
            <w:tcBorders>
              <w:left w:val="nil"/>
              <w:right w:val="nil"/>
            </w:tcBorders>
            <w:vAlign w:val="center"/>
          </w:tcPr>
          <w:p w14:paraId="782EA24D" w14:textId="77777777" w:rsidR="00C245CB" w:rsidRPr="00286713" w:rsidRDefault="00C245CB" w:rsidP="004A6B30">
            <w:pPr>
              <w:pStyle w:val="BodyText"/>
              <w:ind w:firstLine="0"/>
              <w:jc w:val="center"/>
              <w:rPr>
                <w:lang w:val="en-GB"/>
              </w:rPr>
            </w:pPr>
            <w:r w:rsidRPr="00286713">
              <w:rPr>
                <w:lang w:val="en-GB"/>
              </w:rPr>
              <w:t>POPW</w:t>
            </w:r>
          </w:p>
        </w:tc>
        <w:tc>
          <w:tcPr>
            <w:tcW w:w="3875" w:type="dxa"/>
            <w:tcBorders>
              <w:left w:val="nil"/>
              <w:right w:val="nil"/>
            </w:tcBorders>
            <w:vAlign w:val="center"/>
          </w:tcPr>
          <w:p w14:paraId="301560BB" w14:textId="77777777" w:rsidR="00C245CB" w:rsidRPr="00286713" w:rsidRDefault="00C245CB" w:rsidP="004A6B30">
            <w:pPr>
              <w:pStyle w:val="BodyText"/>
              <w:ind w:firstLine="0"/>
              <w:jc w:val="center"/>
              <w:rPr>
                <w:lang w:val="en-GB"/>
              </w:rPr>
            </w:pPr>
            <w:r w:rsidRPr="00286713">
              <w:rPr>
                <w:lang w:val="en-GB"/>
              </w:rPr>
              <w:t>IPO proceeds for working capital and daily activities (%)</w:t>
            </w:r>
          </w:p>
        </w:tc>
        <w:tc>
          <w:tcPr>
            <w:tcW w:w="2589" w:type="dxa"/>
            <w:tcBorders>
              <w:left w:val="nil"/>
              <w:right w:val="nil"/>
            </w:tcBorders>
            <w:vAlign w:val="center"/>
          </w:tcPr>
          <w:p w14:paraId="3F2CAA0B" w14:textId="6918022C" w:rsidR="00C245CB" w:rsidRPr="00286713" w:rsidRDefault="00C245CB" w:rsidP="00C245CB">
            <w:pPr>
              <w:pStyle w:val="BodyText"/>
              <w:rPr>
                <w:lang w:val="en-GB"/>
              </w:rPr>
            </w:pPr>
            <m:oMathPara>
              <m:oMath>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WOCA</m:t>
                        </m:r>
                      </m:e>
                      <m:sub>
                        <m:r>
                          <w:rPr>
                            <w:rFonts w:ascii="Cambria Math" w:hAnsi="Cambria Math"/>
                            <w:lang w:val="en-GB"/>
                          </w:rPr>
                          <m:t>i</m:t>
                        </m:r>
                      </m:sub>
                    </m:sSub>
                  </m:num>
                  <m:den>
                    <m:sSub>
                      <m:sSubPr>
                        <m:ctrlPr>
                          <w:rPr>
                            <w:rFonts w:ascii="Cambria Math" w:hAnsi="Cambria Math"/>
                            <w:lang w:val="en-GB"/>
                          </w:rPr>
                        </m:ctrlPr>
                      </m:sSubPr>
                      <m:e>
                        <m:r>
                          <w:rPr>
                            <w:rFonts w:ascii="Cambria Math" w:hAnsi="Cambria Math"/>
                            <w:lang w:val="en-GB"/>
                          </w:rPr>
                          <m:t>TOTPRO</m:t>
                        </m:r>
                      </m:e>
                      <m:sub>
                        <m:r>
                          <w:rPr>
                            <w:rFonts w:ascii="Cambria Math" w:hAnsi="Cambria Math"/>
                            <w:lang w:val="en-GB"/>
                          </w:rPr>
                          <m:t>i</m:t>
                        </m:r>
                      </m:sub>
                    </m:sSub>
                  </m:den>
                </m:f>
                <m:r>
                  <m:rPr>
                    <m:sty m:val="p"/>
                  </m:rPr>
                  <w:rPr>
                    <w:rFonts w:ascii="Cambria Math" w:hAnsi="Cambria Math"/>
                    <w:lang w:val="en-GB"/>
                  </w:rPr>
                  <m:t xml:space="preserve"> </m:t>
                </m:r>
                <m:r>
                  <w:rPr>
                    <w:rFonts w:ascii="Cambria Math" w:hAnsi="Cambria Math"/>
                    <w:lang w:val="en-GB"/>
                  </w:rPr>
                  <m:t>X</m:t>
                </m:r>
                <m:r>
                  <m:rPr>
                    <m:sty m:val="p"/>
                  </m:rPr>
                  <w:rPr>
                    <w:rFonts w:ascii="Cambria Math" w:hAnsi="Cambria Math"/>
                    <w:lang w:val="en-GB"/>
                  </w:rPr>
                  <m:t xml:space="preserve"> 100</m:t>
                </m:r>
              </m:oMath>
            </m:oMathPara>
          </w:p>
        </w:tc>
      </w:tr>
      <w:tr w:rsidR="00286713" w:rsidRPr="00286713" w14:paraId="08409D35" w14:textId="77777777" w:rsidTr="00C245CB">
        <w:trPr>
          <w:trHeight w:val="282"/>
        </w:trPr>
        <w:tc>
          <w:tcPr>
            <w:tcW w:w="933" w:type="dxa"/>
            <w:tcBorders>
              <w:left w:val="nil"/>
              <w:right w:val="nil"/>
            </w:tcBorders>
            <w:vAlign w:val="center"/>
          </w:tcPr>
          <w:p w14:paraId="0082590C" w14:textId="77777777" w:rsidR="00C245CB" w:rsidRPr="00286713" w:rsidRDefault="00C245CB" w:rsidP="00C245CB">
            <w:pPr>
              <w:pStyle w:val="BodyText"/>
              <w:jc w:val="center"/>
              <w:rPr>
                <w:lang w:val="en-GB"/>
              </w:rPr>
            </w:pPr>
            <w:r w:rsidRPr="00286713">
              <w:rPr>
                <w:lang w:val="en-GB"/>
              </w:rPr>
              <w:t>5.</w:t>
            </w:r>
          </w:p>
        </w:tc>
        <w:tc>
          <w:tcPr>
            <w:tcW w:w="1793" w:type="dxa"/>
            <w:tcBorders>
              <w:left w:val="nil"/>
              <w:right w:val="nil"/>
            </w:tcBorders>
            <w:vAlign w:val="center"/>
          </w:tcPr>
          <w:p w14:paraId="239ECFAB" w14:textId="77777777" w:rsidR="00C245CB" w:rsidRPr="00286713" w:rsidRDefault="00C245CB" w:rsidP="004A6B30">
            <w:pPr>
              <w:pStyle w:val="BodyText"/>
              <w:ind w:firstLine="0"/>
              <w:jc w:val="center"/>
              <w:rPr>
                <w:lang w:val="en-GB"/>
              </w:rPr>
            </w:pPr>
            <w:r w:rsidRPr="00286713">
              <w:rPr>
                <w:lang w:val="en-GB"/>
              </w:rPr>
              <w:t>Time Frame for Growth Opportunities</w:t>
            </w:r>
          </w:p>
        </w:tc>
        <w:tc>
          <w:tcPr>
            <w:tcW w:w="1196" w:type="dxa"/>
            <w:tcBorders>
              <w:left w:val="nil"/>
              <w:right w:val="nil"/>
            </w:tcBorders>
            <w:vAlign w:val="center"/>
          </w:tcPr>
          <w:p w14:paraId="1E919057" w14:textId="77777777" w:rsidR="00C245CB" w:rsidRPr="00286713" w:rsidRDefault="00C245CB" w:rsidP="004A6B30">
            <w:pPr>
              <w:pStyle w:val="BodyText"/>
              <w:ind w:firstLine="0"/>
              <w:jc w:val="center"/>
              <w:rPr>
                <w:lang w:val="en-GB"/>
              </w:rPr>
            </w:pPr>
            <w:r w:rsidRPr="00286713">
              <w:rPr>
                <w:lang w:val="en-GB"/>
              </w:rPr>
              <w:t>TFG</w:t>
            </w:r>
          </w:p>
        </w:tc>
        <w:tc>
          <w:tcPr>
            <w:tcW w:w="3875" w:type="dxa"/>
            <w:tcBorders>
              <w:left w:val="nil"/>
              <w:right w:val="nil"/>
            </w:tcBorders>
            <w:vAlign w:val="center"/>
          </w:tcPr>
          <w:p w14:paraId="515B27F1" w14:textId="77777777" w:rsidR="00C245CB" w:rsidRPr="00286713" w:rsidRDefault="00C245CB" w:rsidP="004A6B30">
            <w:pPr>
              <w:pStyle w:val="BodyText"/>
              <w:ind w:firstLine="0"/>
              <w:jc w:val="center"/>
              <w:rPr>
                <w:lang w:val="en-GB"/>
              </w:rPr>
            </w:pPr>
            <w:r w:rsidRPr="00286713">
              <w:rPr>
                <w:lang w:val="en-GB"/>
              </w:rPr>
              <w:t>Growth opportunities utilization (months)</w:t>
            </w:r>
          </w:p>
        </w:tc>
        <w:tc>
          <w:tcPr>
            <w:tcW w:w="2589" w:type="dxa"/>
            <w:tcBorders>
              <w:left w:val="nil"/>
              <w:right w:val="nil"/>
            </w:tcBorders>
            <w:vAlign w:val="center"/>
          </w:tcPr>
          <w:p w14:paraId="311831F0" w14:textId="68EA5534" w:rsidR="00C245CB" w:rsidRPr="00286713" w:rsidRDefault="00C245CB" w:rsidP="00C245CB">
            <w:pPr>
              <w:pStyle w:val="BodyText"/>
              <w:rPr>
                <w:lang w:val="en-GB"/>
              </w:rPr>
            </w:pPr>
            <m:oMathPara>
              <m:oMath>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TF</m:t>
                    </m:r>
                  </m:e>
                  <m:sub>
                    <m:r>
                      <w:rPr>
                        <w:rFonts w:ascii="Cambria Math" w:hAnsi="Cambria Math"/>
                        <w:lang w:val="en-GB"/>
                      </w:rPr>
                      <m:t>g</m:t>
                    </m:r>
                    <m:r>
                      <m:rPr>
                        <m:sty m:val="p"/>
                      </m:rPr>
                      <w:rPr>
                        <w:rFonts w:ascii="Cambria Math" w:hAnsi="Cambria Math"/>
                        <w:lang w:val="en-GB"/>
                      </w:rPr>
                      <m:t>,</m:t>
                    </m:r>
                    <m:r>
                      <w:rPr>
                        <w:rFonts w:ascii="Cambria Math" w:hAnsi="Cambria Math"/>
                        <w:lang w:val="en-GB"/>
                      </w:rPr>
                      <m:t>i</m:t>
                    </m:r>
                  </m:sub>
                </m:sSub>
              </m:oMath>
            </m:oMathPara>
          </w:p>
        </w:tc>
      </w:tr>
      <w:tr w:rsidR="00286713" w:rsidRPr="00286713" w14:paraId="5E46E53B" w14:textId="77777777" w:rsidTr="00C245CB">
        <w:trPr>
          <w:trHeight w:val="282"/>
        </w:trPr>
        <w:tc>
          <w:tcPr>
            <w:tcW w:w="933" w:type="dxa"/>
            <w:tcBorders>
              <w:left w:val="nil"/>
              <w:right w:val="nil"/>
            </w:tcBorders>
            <w:vAlign w:val="center"/>
          </w:tcPr>
          <w:p w14:paraId="31DBA5A3" w14:textId="77777777" w:rsidR="00C245CB" w:rsidRPr="00286713" w:rsidRDefault="00C245CB" w:rsidP="00C245CB">
            <w:pPr>
              <w:pStyle w:val="BodyText"/>
              <w:jc w:val="center"/>
              <w:rPr>
                <w:lang w:val="en-GB"/>
              </w:rPr>
            </w:pPr>
            <w:r w:rsidRPr="00286713">
              <w:rPr>
                <w:lang w:val="en-GB"/>
              </w:rPr>
              <w:t>6.</w:t>
            </w:r>
          </w:p>
        </w:tc>
        <w:tc>
          <w:tcPr>
            <w:tcW w:w="1793" w:type="dxa"/>
            <w:tcBorders>
              <w:left w:val="nil"/>
              <w:right w:val="nil"/>
            </w:tcBorders>
            <w:vAlign w:val="center"/>
          </w:tcPr>
          <w:p w14:paraId="526E3E92" w14:textId="77777777" w:rsidR="00C245CB" w:rsidRPr="00286713" w:rsidRDefault="00C245CB" w:rsidP="004A6B30">
            <w:pPr>
              <w:pStyle w:val="BodyText"/>
              <w:ind w:firstLine="0"/>
              <w:jc w:val="center"/>
              <w:rPr>
                <w:lang w:val="en-GB"/>
              </w:rPr>
            </w:pPr>
            <w:r w:rsidRPr="00286713">
              <w:rPr>
                <w:lang w:val="en-GB"/>
              </w:rPr>
              <w:t>Time Frame for Debt Repayment</w:t>
            </w:r>
          </w:p>
        </w:tc>
        <w:tc>
          <w:tcPr>
            <w:tcW w:w="1196" w:type="dxa"/>
            <w:tcBorders>
              <w:left w:val="nil"/>
              <w:right w:val="nil"/>
            </w:tcBorders>
            <w:vAlign w:val="center"/>
          </w:tcPr>
          <w:p w14:paraId="6A635781" w14:textId="77777777" w:rsidR="00C245CB" w:rsidRPr="00286713" w:rsidRDefault="00C245CB" w:rsidP="004A6B30">
            <w:pPr>
              <w:pStyle w:val="BodyText"/>
              <w:ind w:firstLine="0"/>
              <w:jc w:val="center"/>
              <w:rPr>
                <w:lang w:val="en-GB"/>
              </w:rPr>
            </w:pPr>
            <w:r w:rsidRPr="00286713">
              <w:rPr>
                <w:lang w:val="en-GB"/>
              </w:rPr>
              <w:t>TFD</w:t>
            </w:r>
          </w:p>
        </w:tc>
        <w:tc>
          <w:tcPr>
            <w:tcW w:w="3875" w:type="dxa"/>
            <w:tcBorders>
              <w:left w:val="nil"/>
              <w:right w:val="nil"/>
            </w:tcBorders>
            <w:vAlign w:val="center"/>
          </w:tcPr>
          <w:p w14:paraId="0020E25C" w14:textId="77777777" w:rsidR="00C245CB" w:rsidRPr="00286713" w:rsidRDefault="00C245CB" w:rsidP="004A6B30">
            <w:pPr>
              <w:pStyle w:val="BodyText"/>
              <w:ind w:firstLine="0"/>
              <w:jc w:val="center"/>
              <w:rPr>
                <w:lang w:val="en-GB"/>
              </w:rPr>
            </w:pPr>
            <w:r w:rsidRPr="00286713">
              <w:rPr>
                <w:lang w:val="en-GB"/>
              </w:rPr>
              <w:t>Debt repayment utilization (months)</w:t>
            </w:r>
          </w:p>
        </w:tc>
        <w:tc>
          <w:tcPr>
            <w:tcW w:w="2589" w:type="dxa"/>
            <w:tcBorders>
              <w:left w:val="nil"/>
              <w:right w:val="nil"/>
            </w:tcBorders>
            <w:vAlign w:val="center"/>
          </w:tcPr>
          <w:p w14:paraId="08988585" w14:textId="6F426D88" w:rsidR="00C245CB" w:rsidRPr="00286713" w:rsidRDefault="00C245CB" w:rsidP="00C245CB">
            <w:pPr>
              <w:pStyle w:val="BodyText"/>
              <w:rPr>
                <w:lang w:val="en-GB"/>
              </w:rPr>
            </w:pPr>
            <m:oMathPara>
              <m:oMath>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TF</m:t>
                    </m:r>
                  </m:e>
                  <m:sub>
                    <m:r>
                      <w:rPr>
                        <w:rFonts w:ascii="Cambria Math" w:hAnsi="Cambria Math"/>
                        <w:lang w:val="en-GB"/>
                      </w:rPr>
                      <m:t>d</m:t>
                    </m:r>
                    <m:r>
                      <m:rPr>
                        <m:sty m:val="p"/>
                      </m:rPr>
                      <w:rPr>
                        <w:rFonts w:ascii="Cambria Math" w:hAnsi="Cambria Math"/>
                        <w:lang w:val="en-GB"/>
                      </w:rPr>
                      <m:t>,</m:t>
                    </m:r>
                    <m:r>
                      <w:rPr>
                        <w:rFonts w:ascii="Cambria Math" w:hAnsi="Cambria Math"/>
                        <w:lang w:val="en-GB"/>
                      </w:rPr>
                      <m:t>i</m:t>
                    </m:r>
                  </m:sub>
                </m:sSub>
              </m:oMath>
            </m:oMathPara>
          </w:p>
        </w:tc>
      </w:tr>
      <w:tr w:rsidR="00286713" w:rsidRPr="00286713" w14:paraId="68F9E705" w14:textId="77777777" w:rsidTr="00C245CB">
        <w:trPr>
          <w:trHeight w:val="282"/>
        </w:trPr>
        <w:tc>
          <w:tcPr>
            <w:tcW w:w="933" w:type="dxa"/>
            <w:tcBorders>
              <w:left w:val="nil"/>
              <w:right w:val="nil"/>
            </w:tcBorders>
            <w:vAlign w:val="center"/>
          </w:tcPr>
          <w:p w14:paraId="60D4ED33" w14:textId="77777777" w:rsidR="00C245CB" w:rsidRPr="00286713" w:rsidRDefault="00C245CB" w:rsidP="00C245CB">
            <w:pPr>
              <w:pStyle w:val="BodyText"/>
              <w:jc w:val="center"/>
              <w:rPr>
                <w:lang w:val="en-GB"/>
              </w:rPr>
            </w:pPr>
            <w:r w:rsidRPr="00286713">
              <w:rPr>
                <w:lang w:val="en-GB"/>
              </w:rPr>
              <w:t>7.</w:t>
            </w:r>
          </w:p>
        </w:tc>
        <w:tc>
          <w:tcPr>
            <w:tcW w:w="1793" w:type="dxa"/>
            <w:tcBorders>
              <w:left w:val="nil"/>
              <w:right w:val="nil"/>
            </w:tcBorders>
            <w:vAlign w:val="center"/>
          </w:tcPr>
          <w:p w14:paraId="639CBA35" w14:textId="77777777" w:rsidR="00C245CB" w:rsidRPr="00286713" w:rsidRDefault="00C245CB" w:rsidP="004A6B30">
            <w:pPr>
              <w:pStyle w:val="BodyText"/>
              <w:ind w:firstLine="0"/>
              <w:jc w:val="center"/>
              <w:rPr>
                <w:lang w:val="en-GB"/>
              </w:rPr>
            </w:pPr>
            <w:r w:rsidRPr="00286713">
              <w:rPr>
                <w:lang w:val="en-GB"/>
              </w:rPr>
              <w:t>Time Frame for Working Capital</w:t>
            </w:r>
          </w:p>
        </w:tc>
        <w:tc>
          <w:tcPr>
            <w:tcW w:w="1196" w:type="dxa"/>
            <w:tcBorders>
              <w:left w:val="nil"/>
              <w:right w:val="nil"/>
            </w:tcBorders>
            <w:vAlign w:val="center"/>
          </w:tcPr>
          <w:p w14:paraId="0EA066B0" w14:textId="77777777" w:rsidR="00C245CB" w:rsidRPr="00286713" w:rsidRDefault="00C245CB" w:rsidP="004A6B30">
            <w:pPr>
              <w:pStyle w:val="BodyText"/>
              <w:ind w:firstLine="0"/>
              <w:jc w:val="center"/>
              <w:rPr>
                <w:lang w:val="en-GB"/>
              </w:rPr>
            </w:pPr>
            <w:r w:rsidRPr="00286713">
              <w:rPr>
                <w:lang w:val="en-GB"/>
              </w:rPr>
              <w:t>TFW</w:t>
            </w:r>
          </w:p>
        </w:tc>
        <w:tc>
          <w:tcPr>
            <w:tcW w:w="3875" w:type="dxa"/>
            <w:tcBorders>
              <w:left w:val="nil"/>
              <w:right w:val="nil"/>
            </w:tcBorders>
            <w:vAlign w:val="center"/>
          </w:tcPr>
          <w:p w14:paraId="3A9022D6" w14:textId="77777777" w:rsidR="00C245CB" w:rsidRPr="00286713" w:rsidRDefault="00C245CB" w:rsidP="004A6B30">
            <w:pPr>
              <w:pStyle w:val="BodyText"/>
              <w:ind w:firstLine="0"/>
              <w:jc w:val="center"/>
              <w:rPr>
                <w:lang w:val="en-GB"/>
              </w:rPr>
            </w:pPr>
            <w:r w:rsidRPr="00286713">
              <w:rPr>
                <w:lang w:val="en-GB"/>
              </w:rPr>
              <w:t>Working capital utilization (months)</w:t>
            </w:r>
          </w:p>
        </w:tc>
        <w:tc>
          <w:tcPr>
            <w:tcW w:w="2589" w:type="dxa"/>
            <w:tcBorders>
              <w:left w:val="nil"/>
              <w:right w:val="nil"/>
            </w:tcBorders>
            <w:vAlign w:val="center"/>
          </w:tcPr>
          <w:p w14:paraId="46954EB9" w14:textId="572F200D" w:rsidR="00C245CB" w:rsidRPr="00286713" w:rsidRDefault="00C245CB" w:rsidP="00C245CB">
            <w:pPr>
              <w:pStyle w:val="BodyText"/>
              <w:rPr>
                <w:lang w:val="en-GB"/>
              </w:rPr>
            </w:pPr>
            <m:oMathPara>
              <m:oMath>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TF</m:t>
                    </m:r>
                  </m:e>
                  <m:sub>
                    <m:r>
                      <w:rPr>
                        <w:rFonts w:ascii="Cambria Math" w:hAnsi="Cambria Math"/>
                        <w:lang w:val="en-GB"/>
                      </w:rPr>
                      <m:t>w</m:t>
                    </m:r>
                    <m:r>
                      <m:rPr>
                        <m:sty m:val="p"/>
                      </m:rPr>
                      <w:rPr>
                        <w:rFonts w:ascii="Cambria Math" w:hAnsi="Cambria Math"/>
                        <w:lang w:val="en-GB"/>
                      </w:rPr>
                      <m:t>,</m:t>
                    </m:r>
                    <m:r>
                      <w:rPr>
                        <w:rFonts w:ascii="Cambria Math" w:hAnsi="Cambria Math"/>
                        <w:lang w:val="en-GB"/>
                      </w:rPr>
                      <m:t>i</m:t>
                    </m:r>
                  </m:sub>
                </m:sSub>
              </m:oMath>
            </m:oMathPara>
          </w:p>
        </w:tc>
      </w:tr>
    </w:tbl>
    <w:p w14:paraId="6663E591" w14:textId="63250ECB" w:rsidR="00AD477C" w:rsidRDefault="00AD477C" w:rsidP="00AD477C">
      <w:pPr>
        <w:pStyle w:val="Heading2"/>
      </w:pPr>
      <w:r>
        <w:t>Methodology</w:t>
      </w:r>
    </w:p>
    <w:p w14:paraId="5790BB07" w14:textId="768CD3B5" w:rsidR="00AD477C" w:rsidRDefault="00AD477C" w:rsidP="00AD477C">
      <w:pPr>
        <w:ind w:firstLine="284"/>
        <w:jc w:val="both"/>
      </w:pPr>
      <w:r w:rsidRPr="00AD477C">
        <w:t xml:space="preserve">This study adopts the Kaplan-Meier (K-M) model for its </w:t>
      </w:r>
      <w:r w:rsidR="00E64E58">
        <w:t xml:space="preserve">survival </w:t>
      </w:r>
      <w:r w:rsidRPr="00AD477C">
        <w:t xml:space="preserve">analysis. The K-M model </w:t>
      </w:r>
      <w:r>
        <w:t>estimates companies’ survivability</w:t>
      </w:r>
      <w:r w:rsidRPr="00AD477C">
        <w:t xml:space="preserve"> non-parametrically (non-normality of data). Following Ahmad and Jelic (2014) and Baluja (20</w:t>
      </w:r>
      <w:r>
        <w:t>18), this study not only analyze</w:t>
      </w:r>
      <w:r w:rsidR="00E64E58">
        <w:t>s</w:t>
      </w:r>
      <w:r w:rsidRPr="00AD477C">
        <w:t xml:space="preserve"> the survival rate in an overall outlook (full sample) but also by the stratification of independent variables. In this case, the K-M survival rates</w:t>
      </w:r>
      <w:r>
        <w:t xml:space="preserve"> and median survival time</w:t>
      </w:r>
      <w:r w:rsidRPr="00AD477C">
        <w:t xml:space="preserve"> </w:t>
      </w:r>
      <w:r>
        <w:t xml:space="preserve">are </w:t>
      </w:r>
      <w:r w:rsidRPr="00AD477C">
        <w:t xml:space="preserve">stratified </w:t>
      </w:r>
      <w:r w:rsidR="00E64E58">
        <w:t>for each IPO proceeds category (POPG, POPD, POPW, TFG, TFD, and TFW) for a seven-year</w:t>
      </w:r>
      <w:r w:rsidRPr="00AD477C">
        <w:t xml:space="preserve"> observation period. The K-M survival analysis model is a preferred test to describe companies’ survival rate as it holds no assumption on the normality of data</w:t>
      </w:r>
      <w:r>
        <w:t xml:space="preserve"> (Cleves et al., 2016)</w:t>
      </w:r>
      <w:r w:rsidRPr="00AD477C">
        <w:t>. Equation 1 defines the K-M model.</w:t>
      </w:r>
    </w:p>
    <w:p w14:paraId="795D05CA" w14:textId="77777777" w:rsidR="00AD477C" w:rsidRDefault="00AD477C" w:rsidP="00AD477C">
      <w:pPr>
        <w:ind w:firstLine="284"/>
      </w:pPr>
      <w:r>
        <w:t xml:space="preserve">                                                                             </w:t>
      </w:r>
    </w:p>
    <w:p w14:paraId="2C29D5E4" w14:textId="7A66CD05" w:rsidR="00AD477C" w:rsidRDefault="00AD477C" w:rsidP="00AD477C">
      <w:pPr>
        <w:ind w:firstLine="284"/>
        <w:rPr>
          <w:rFonts w:ascii="Cambria Math" w:hAnsi="Cambria Math" w:cs="Cambria Math"/>
        </w:rPr>
      </w:pPr>
      <w:r>
        <w:t xml:space="preserve">                                                                              </w:t>
      </w:r>
      <m:oMath>
        <m:r>
          <w:rPr>
            <w:rFonts w:ascii="Cambria Math" w:hAnsi="Cambria Math" w:cs="Cambria Math"/>
          </w:rPr>
          <m:t>S</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i</m:t>
                </m:r>
              </m:sub>
            </m:sSub>
          </m:e>
        </m:d>
        <m:r>
          <w:rPr>
            <w:rFonts w:ascii="Cambria Math" w:hAnsi="Cambria Math" w:cs="Cambria Math"/>
          </w:rPr>
          <m:t>=S(</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i-1</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d</m:t>
                    </m:r>
                  </m:e>
                  <m:sub>
                    <m:r>
                      <w:rPr>
                        <w:rFonts w:ascii="Cambria Math" w:hAnsi="Cambria Math" w:cs="Cambria Math"/>
                      </w:rPr>
                      <m:t>i</m:t>
                    </m:r>
                  </m:sub>
                </m:sSub>
              </m:num>
              <m:den>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i</m:t>
                    </m:r>
                  </m:sub>
                </m:sSub>
              </m:den>
            </m:f>
          </m:e>
        </m:d>
      </m:oMath>
      <w:r>
        <w:rPr>
          <w:rFonts w:ascii="Cambria Math" w:hAnsi="Cambria Math" w:cs="Cambria Math"/>
        </w:rPr>
        <w:t xml:space="preserve">                                                                                            </w:t>
      </w:r>
      <w:r>
        <w:t>(1</w:t>
      </w:r>
      <w:r w:rsidRPr="00AD477C">
        <w:t>)</w:t>
      </w:r>
    </w:p>
    <w:p w14:paraId="30966B79" w14:textId="2C7EC851" w:rsidR="002B3D1B" w:rsidRPr="00CB1404" w:rsidRDefault="00AD477C" w:rsidP="002B3D1B">
      <w:pPr>
        <w:pStyle w:val="Heading1"/>
      </w:pPr>
      <w:r>
        <w:t xml:space="preserve">FINDINGS AND </w:t>
      </w:r>
      <w:r w:rsidR="00A471F7">
        <w:t>DISCUSSIONS</w:t>
      </w:r>
    </w:p>
    <w:p w14:paraId="29683EB7" w14:textId="52C01572" w:rsidR="002B3D1B" w:rsidRDefault="00AD477C" w:rsidP="002B3D1B">
      <w:pPr>
        <w:pStyle w:val="Heading2"/>
      </w:pPr>
      <w:r>
        <w:t>Kaplan-Meier Survival</w:t>
      </w:r>
    </w:p>
    <w:p w14:paraId="007157BD" w14:textId="32B540CE" w:rsidR="00AD477C" w:rsidRDefault="002B3D1B" w:rsidP="004F7F40">
      <w:pPr>
        <w:ind w:firstLine="288"/>
        <w:jc w:val="both"/>
      </w:pPr>
      <w:r>
        <w:t xml:space="preserve">Define </w:t>
      </w:r>
      <w:r w:rsidR="00AD477C" w:rsidRPr="004724D2">
        <w:t xml:space="preserve">Using </w:t>
      </w:r>
      <w:r w:rsidR="00AD477C">
        <w:t>the K-M model</w:t>
      </w:r>
      <w:r w:rsidR="00AD477C" w:rsidRPr="004724D2">
        <w:t xml:space="preserve">, this study estimates </w:t>
      </w:r>
      <w:r w:rsidR="00AD477C" w:rsidRPr="00AD477C">
        <w:t xml:space="preserve">the companies’ survival rates and the median survival </w:t>
      </w:r>
      <w:r w:rsidR="00AD477C">
        <w:t>time (ST</w:t>
      </w:r>
      <w:r w:rsidR="00AD477C" w:rsidRPr="00AD477C">
        <w:t xml:space="preserve">) over seven years, from 2000 to 2014, between full sample (Panel A), </w:t>
      </w:r>
      <w:r w:rsidR="00AD477C">
        <w:t>proportion of IPO proceeds</w:t>
      </w:r>
      <w:r w:rsidR="00AD477C" w:rsidRPr="00AD477C">
        <w:t xml:space="preserve"> (Panel B) and </w:t>
      </w:r>
      <w:r w:rsidR="00AD477C">
        <w:t xml:space="preserve">time frame of proceeds utilization </w:t>
      </w:r>
      <w:r w:rsidR="00AD477C" w:rsidRPr="00AD477C">
        <w:t xml:space="preserve">(Panel C). The survival rates across panels vary substantially. Table </w:t>
      </w:r>
      <w:r w:rsidR="00AD477C">
        <w:t>II</w:t>
      </w:r>
      <w:r w:rsidR="00AD477C" w:rsidRPr="00AD477C">
        <w:t xml:space="preserve"> reports the survival </w:t>
      </w:r>
      <w:r w:rsidR="00AD477C">
        <w:t>time (ST</w:t>
      </w:r>
      <w:r w:rsidR="00AD477C" w:rsidRPr="00AD477C">
        <w:t>) median in months. Following Espenlaub et al. (2012), and Ahmad and Jelic (2014), this study u</w:t>
      </w:r>
      <w:r w:rsidR="00AD477C">
        <w:t>ses 50 percent for the median ST</w:t>
      </w:r>
      <w:r w:rsidR="00AD477C" w:rsidRPr="00AD477C">
        <w:t xml:space="preserve"> to show how long (in months)</w:t>
      </w:r>
      <w:r w:rsidR="00AD477C" w:rsidRPr="0082070E">
        <w:t xml:space="preserve"> the companies fall below 50 percent post-IPO. In Panel A, any value in the pare</w:t>
      </w:r>
      <w:r w:rsidR="00AD477C">
        <w:t>ntheses indicates the minimum ST</w:t>
      </w:r>
      <w:r w:rsidR="00AD477C" w:rsidRPr="0082070E">
        <w:t xml:space="preserve">, i.e., the remaining time from the IPO companies’ listing year to the end of this study’s observation period (August 2021). </w:t>
      </w:r>
    </w:p>
    <w:p w14:paraId="736A4647" w14:textId="77777777" w:rsidR="00AD477C" w:rsidRDefault="00AD477C" w:rsidP="00AD477C">
      <w:pPr>
        <w:ind w:firstLine="720"/>
        <w:jc w:val="both"/>
        <w:sectPr w:rsidR="00AD477C" w:rsidSect="002B3D1B">
          <w:type w:val="continuous"/>
          <w:pgSz w:w="11909" w:h="16834" w:code="9"/>
          <w:pgMar w:top="1080" w:right="734" w:bottom="2434" w:left="734" w:header="720" w:footer="720" w:gutter="0"/>
          <w:cols w:space="360"/>
          <w:docGrid w:linePitch="360"/>
        </w:sectPr>
      </w:pPr>
    </w:p>
    <w:p w14:paraId="2C50324E" w14:textId="7637F2D9" w:rsidR="00AD477C" w:rsidRPr="00AD477C" w:rsidRDefault="00AD477C" w:rsidP="00AD477C">
      <w:pPr>
        <w:ind w:firstLine="720"/>
        <w:rPr>
          <w:lang w:val="en-MY"/>
        </w:rPr>
      </w:pPr>
      <w:r>
        <w:t>TABLE II</w:t>
      </w:r>
      <w:r>
        <w:tab/>
      </w:r>
      <w:r w:rsidRPr="00AD477C">
        <w:rPr>
          <w:lang w:val="en-MY"/>
        </w:rPr>
        <w:t xml:space="preserve">KAPLAN-MEIER SURVIVAL: </w:t>
      </w:r>
      <w:r>
        <w:rPr>
          <w:lang w:val="en-MY"/>
        </w:rPr>
        <w:t xml:space="preserve">FULL SAMPLE AND </w:t>
      </w:r>
      <w:r w:rsidRPr="00AD477C">
        <w:rPr>
          <w:lang w:val="en-MY"/>
        </w:rPr>
        <w:t>STRATIFICATION OF IPO PROCEEDS CATEGORIES</w:t>
      </w:r>
    </w:p>
    <w:p w14:paraId="6E83FC0B" w14:textId="37E0C50A" w:rsidR="00AD477C" w:rsidRDefault="00AD477C" w:rsidP="00AD477C">
      <w:pPr>
        <w:ind w:firstLine="720"/>
        <w:jc w:val="both"/>
      </w:pPr>
    </w:p>
    <w:tbl>
      <w:tblPr>
        <w:tblW w:w="14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76"/>
        <w:gridCol w:w="1701"/>
        <w:gridCol w:w="1275"/>
        <w:gridCol w:w="114"/>
        <w:gridCol w:w="1275"/>
        <w:gridCol w:w="114"/>
        <w:gridCol w:w="1275"/>
        <w:gridCol w:w="114"/>
        <w:gridCol w:w="1275"/>
        <w:gridCol w:w="114"/>
        <w:gridCol w:w="1275"/>
        <w:gridCol w:w="114"/>
        <w:gridCol w:w="1275"/>
        <w:gridCol w:w="114"/>
        <w:gridCol w:w="1275"/>
        <w:gridCol w:w="30"/>
        <w:gridCol w:w="84"/>
        <w:gridCol w:w="1617"/>
      </w:tblGrid>
      <w:tr w:rsidR="00774B3C" w:rsidRPr="00EB6425" w14:paraId="0BD1285C" w14:textId="77777777" w:rsidTr="00AD477C">
        <w:trPr>
          <w:trHeight w:val="167"/>
        </w:trPr>
        <w:tc>
          <w:tcPr>
            <w:tcW w:w="1276" w:type="dxa"/>
            <w:vMerge w:val="restart"/>
            <w:shd w:val="clear" w:color="auto" w:fill="auto"/>
            <w:vAlign w:val="center"/>
          </w:tcPr>
          <w:p w14:paraId="185AAC51" w14:textId="77777777" w:rsidR="00774B3C" w:rsidRPr="00971713" w:rsidRDefault="00774B3C" w:rsidP="00AD477C">
            <w:pPr>
              <w:ind w:firstLine="142"/>
              <w:jc w:val="left"/>
              <w:rPr>
                <w:b/>
              </w:rPr>
            </w:pPr>
            <w:r w:rsidRPr="00971713">
              <w:rPr>
                <w:b/>
              </w:rPr>
              <w:t>Categories</w:t>
            </w:r>
          </w:p>
        </w:tc>
        <w:tc>
          <w:tcPr>
            <w:tcW w:w="1701" w:type="dxa"/>
            <w:vMerge w:val="restart"/>
            <w:shd w:val="clear" w:color="auto" w:fill="auto"/>
            <w:vAlign w:val="center"/>
          </w:tcPr>
          <w:p w14:paraId="69916974" w14:textId="77777777" w:rsidR="00774B3C" w:rsidRPr="00971713" w:rsidRDefault="00774B3C" w:rsidP="00451AA0">
            <w:pPr>
              <w:rPr>
                <w:b/>
              </w:rPr>
            </w:pPr>
            <w:r w:rsidRPr="00971713">
              <w:rPr>
                <w:b/>
              </w:rPr>
              <w:t>No. of Companies</w:t>
            </w:r>
          </w:p>
        </w:tc>
        <w:tc>
          <w:tcPr>
            <w:tcW w:w="9639" w:type="dxa"/>
            <w:gridSpan w:val="14"/>
            <w:shd w:val="clear" w:color="auto" w:fill="auto"/>
            <w:vAlign w:val="center"/>
          </w:tcPr>
          <w:p w14:paraId="0A8772AB" w14:textId="77777777" w:rsidR="00774B3C" w:rsidRPr="00971713" w:rsidRDefault="00774B3C" w:rsidP="00451AA0">
            <w:pPr>
              <w:rPr>
                <w:b/>
              </w:rPr>
            </w:pPr>
            <w:r w:rsidRPr="00971713">
              <w:rPr>
                <w:b/>
              </w:rPr>
              <w:t>Cumulative Survival Rates (%)</w:t>
            </w:r>
          </w:p>
        </w:tc>
        <w:tc>
          <w:tcPr>
            <w:tcW w:w="1701" w:type="dxa"/>
            <w:gridSpan w:val="2"/>
            <w:vMerge w:val="restart"/>
            <w:shd w:val="clear" w:color="auto" w:fill="auto"/>
            <w:vAlign w:val="center"/>
          </w:tcPr>
          <w:p w14:paraId="0946B057" w14:textId="5958CA08" w:rsidR="00774B3C" w:rsidRPr="00971713" w:rsidRDefault="00774B3C" w:rsidP="00451AA0">
            <w:pPr>
              <w:rPr>
                <w:b/>
              </w:rPr>
            </w:pPr>
            <w:r w:rsidRPr="00971713">
              <w:rPr>
                <w:b/>
              </w:rPr>
              <w:t>S</w:t>
            </w:r>
            <w:r>
              <w:rPr>
                <w:b/>
              </w:rPr>
              <w:t>T</w:t>
            </w:r>
            <w:r w:rsidRPr="00971713">
              <w:rPr>
                <w:b/>
              </w:rPr>
              <w:t xml:space="preserve"> Median </w:t>
            </w:r>
          </w:p>
          <w:p w14:paraId="77E79F24" w14:textId="77777777" w:rsidR="00774B3C" w:rsidRPr="00971713" w:rsidRDefault="00774B3C" w:rsidP="00451AA0">
            <w:pPr>
              <w:rPr>
                <w:b/>
              </w:rPr>
            </w:pPr>
            <w:r w:rsidRPr="00971713">
              <w:rPr>
                <w:b/>
              </w:rPr>
              <w:t>(50%)</w:t>
            </w:r>
          </w:p>
        </w:tc>
      </w:tr>
      <w:tr w:rsidR="00774B3C" w:rsidRPr="00EB6425" w14:paraId="1AFAD104" w14:textId="77777777" w:rsidTr="00AD477C">
        <w:trPr>
          <w:trHeight w:val="167"/>
        </w:trPr>
        <w:tc>
          <w:tcPr>
            <w:tcW w:w="1276" w:type="dxa"/>
            <w:vMerge/>
            <w:shd w:val="clear" w:color="auto" w:fill="auto"/>
            <w:vAlign w:val="center"/>
          </w:tcPr>
          <w:p w14:paraId="720603B2" w14:textId="77777777" w:rsidR="00774B3C" w:rsidRPr="00971713" w:rsidRDefault="00774B3C" w:rsidP="00451AA0">
            <w:pPr>
              <w:rPr>
                <w:b/>
              </w:rPr>
            </w:pPr>
          </w:p>
        </w:tc>
        <w:tc>
          <w:tcPr>
            <w:tcW w:w="1701" w:type="dxa"/>
            <w:vMerge/>
            <w:shd w:val="clear" w:color="auto" w:fill="auto"/>
            <w:vAlign w:val="center"/>
          </w:tcPr>
          <w:p w14:paraId="6BC8BF4B" w14:textId="77777777" w:rsidR="00774B3C" w:rsidRPr="00971713" w:rsidRDefault="00774B3C" w:rsidP="00451AA0">
            <w:pPr>
              <w:rPr>
                <w:b/>
              </w:rPr>
            </w:pPr>
          </w:p>
        </w:tc>
        <w:tc>
          <w:tcPr>
            <w:tcW w:w="1389" w:type="dxa"/>
            <w:gridSpan w:val="2"/>
            <w:shd w:val="clear" w:color="auto" w:fill="auto"/>
            <w:vAlign w:val="center"/>
          </w:tcPr>
          <w:p w14:paraId="0F5F955D" w14:textId="77777777" w:rsidR="00774B3C" w:rsidRPr="00971713" w:rsidRDefault="00774B3C" w:rsidP="00451AA0">
            <w:pPr>
              <w:rPr>
                <w:b/>
              </w:rPr>
            </w:pPr>
            <w:r w:rsidRPr="00971713">
              <w:rPr>
                <w:b/>
              </w:rPr>
              <w:t>Year 1</w:t>
            </w:r>
          </w:p>
        </w:tc>
        <w:tc>
          <w:tcPr>
            <w:tcW w:w="1389" w:type="dxa"/>
            <w:gridSpan w:val="2"/>
            <w:shd w:val="clear" w:color="auto" w:fill="auto"/>
            <w:vAlign w:val="center"/>
          </w:tcPr>
          <w:p w14:paraId="60F1C0AA" w14:textId="77777777" w:rsidR="00774B3C" w:rsidRPr="00971713" w:rsidRDefault="00774B3C" w:rsidP="00451AA0">
            <w:pPr>
              <w:rPr>
                <w:b/>
              </w:rPr>
            </w:pPr>
            <w:r w:rsidRPr="00971713">
              <w:rPr>
                <w:b/>
              </w:rPr>
              <w:t>Year 2</w:t>
            </w:r>
          </w:p>
        </w:tc>
        <w:tc>
          <w:tcPr>
            <w:tcW w:w="1389" w:type="dxa"/>
            <w:gridSpan w:val="2"/>
            <w:shd w:val="clear" w:color="auto" w:fill="auto"/>
            <w:vAlign w:val="center"/>
          </w:tcPr>
          <w:p w14:paraId="35791638" w14:textId="77777777" w:rsidR="00774B3C" w:rsidRPr="00971713" w:rsidRDefault="00774B3C" w:rsidP="00451AA0">
            <w:pPr>
              <w:rPr>
                <w:b/>
              </w:rPr>
            </w:pPr>
            <w:r w:rsidRPr="00971713">
              <w:rPr>
                <w:b/>
              </w:rPr>
              <w:t>Year 3</w:t>
            </w:r>
          </w:p>
        </w:tc>
        <w:tc>
          <w:tcPr>
            <w:tcW w:w="1389" w:type="dxa"/>
            <w:gridSpan w:val="2"/>
            <w:shd w:val="clear" w:color="auto" w:fill="auto"/>
            <w:vAlign w:val="center"/>
          </w:tcPr>
          <w:p w14:paraId="015641BB" w14:textId="77777777" w:rsidR="00774B3C" w:rsidRPr="00971713" w:rsidRDefault="00774B3C" w:rsidP="00451AA0">
            <w:pPr>
              <w:rPr>
                <w:b/>
              </w:rPr>
            </w:pPr>
            <w:r w:rsidRPr="00971713">
              <w:rPr>
                <w:b/>
              </w:rPr>
              <w:t>Year 4</w:t>
            </w:r>
          </w:p>
        </w:tc>
        <w:tc>
          <w:tcPr>
            <w:tcW w:w="1389" w:type="dxa"/>
            <w:gridSpan w:val="2"/>
            <w:shd w:val="clear" w:color="auto" w:fill="auto"/>
            <w:vAlign w:val="center"/>
          </w:tcPr>
          <w:p w14:paraId="65245F2D" w14:textId="77777777" w:rsidR="00774B3C" w:rsidRPr="00971713" w:rsidRDefault="00774B3C" w:rsidP="00451AA0">
            <w:pPr>
              <w:rPr>
                <w:b/>
              </w:rPr>
            </w:pPr>
            <w:r w:rsidRPr="00971713">
              <w:rPr>
                <w:b/>
              </w:rPr>
              <w:t>Year 5</w:t>
            </w:r>
          </w:p>
        </w:tc>
        <w:tc>
          <w:tcPr>
            <w:tcW w:w="1389" w:type="dxa"/>
            <w:gridSpan w:val="2"/>
            <w:shd w:val="clear" w:color="auto" w:fill="auto"/>
            <w:vAlign w:val="center"/>
          </w:tcPr>
          <w:p w14:paraId="3F641CB0" w14:textId="77777777" w:rsidR="00774B3C" w:rsidRPr="00971713" w:rsidRDefault="00774B3C" w:rsidP="00451AA0">
            <w:pPr>
              <w:rPr>
                <w:b/>
              </w:rPr>
            </w:pPr>
            <w:r w:rsidRPr="00971713">
              <w:rPr>
                <w:b/>
              </w:rPr>
              <w:t>Year 6</w:t>
            </w:r>
          </w:p>
        </w:tc>
        <w:tc>
          <w:tcPr>
            <w:tcW w:w="1305" w:type="dxa"/>
            <w:gridSpan w:val="2"/>
            <w:shd w:val="clear" w:color="auto" w:fill="auto"/>
            <w:vAlign w:val="center"/>
          </w:tcPr>
          <w:p w14:paraId="7EAD5AFC" w14:textId="77777777" w:rsidR="00774B3C" w:rsidRPr="00971713" w:rsidRDefault="00774B3C" w:rsidP="00451AA0">
            <w:pPr>
              <w:rPr>
                <w:b/>
              </w:rPr>
            </w:pPr>
            <w:r w:rsidRPr="00971713">
              <w:rPr>
                <w:b/>
              </w:rPr>
              <w:t>Year 7</w:t>
            </w:r>
          </w:p>
        </w:tc>
        <w:tc>
          <w:tcPr>
            <w:tcW w:w="1701" w:type="dxa"/>
            <w:gridSpan w:val="2"/>
            <w:vMerge/>
            <w:shd w:val="clear" w:color="auto" w:fill="auto"/>
            <w:vAlign w:val="center"/>
          </w:tcPr>
          <w:p w14:paraId="5B886796" w14:textId="77777777" w:rsidR="00774B3C" w:rsidRPr="00971713" w:rsidRDefault="00774B3C" w:rsidP="00451AA0">
            <w:pPr>
              <w:rPr>
                <w:b/>
              </w:rPr>
            </w:pPr>
          </w:p>
        </w:tc>
      </w:tr>
      <w:tr w:rsidR="00AD477C" w:rsidRPr="00EB6425" w14:paraId="364B25CF" w14:textId="77777777" w:rsidTr="00AD477C">
        <w:trPr>
          <w:trHeight w:val="167"/>
        </w:trPr>
        <w:tc>
          <w:tcPr>
            <w:tcW w:w="14317" w:type="dxa"/>
            <w:gridSpan w:val="18"/>
            <w:shd w:val="clear" w:color="auto" w:fill="auto"/>
            <w:vAlign w:val="center"/>
          </w:tcPr>
          <w:p w14:paraId="23315308" w14:textId="77777777" w:rsidR="00AD477C" w:rsidRPr="007F4955" w:rsidRDefault="00AD477C" w:rsidP="00451AA0">
            <w:pPr>
              <w:spacing w:line="276" w:lineRule="auto"/>
              <w:rPr>
                <w:b/>
              </w:rPr>
            </w:pPr>
          </w:p>
        </w:tc>
      </w:tr>
      <w:tr w:rsidR="00AD477C" w:rsidRPr="00EB6425" w14:paraId="54792D0B" w14:textId="77777777" w:rsidTr="00AD477C">
        <w:trPr>
          <w:trHeight w:val="167"/>
        </w:trPr>
        <w:tc>
          <w:tcPr>
            <w:tcW w:w="14317" w:type="dxa"/>
            <w:gridSpan w:val="18"/>
            <w:shd w:val="clear" w:color="auto" w:fill="auto"/>
            <w:vAlign w:val="center"/>
          </w:tcPr>
          <w:p w14:paraId="1578C062" w14:textId="1088BAF9" w:rsidR="00AD477C" w:rsidRPr="007F4955" w:rsidRDefault="00AD477C" w:rsidP="00AD477C">
            <w:pPr>
              <w:spacing w:line="276" w:lineRule="auto"/>
              <w:rPr>
                <w:b/>
              </w:rPr>
            </w:pPr>
            <w:r>
              <w:rPr>
                <w:b/>
              </w:rPr>
              <w:t>Panel A</w:t>
            </w:r>
            <w:r w:rsidRPr="007F4955">
              <w:rPr>
                <w:b/>
              </w:rPr>
              <w:t xml:space="preserve">: </w:t>
            </w:r>
            <w:r>
              <w:rPr>
                <w:b/>
              </w:rPr>
              <w:t>Full Sample</w:t>
            </w:r>
          </w:p>
        </w:tc>
      </w:tr>
      <w:tr w:rsidR="00AD477C" w:rsidRPr="00EB6425" w14:paraId="663068FC" w14:textId="77777777" w:rsidTr="00AD477C">
        <w:trPr>
          <w:trHeight w:val="167"/>
        </w:trPr>
        <w:tc>
          <w:tcPr>
            <w:tcW w:w="14317" w:type="dxa"/>
            <w:gridSpan w:val="18"/>
            <w:shd w:val="clear" w:color="auto" w:fill="auto"/>
            <w:vAlign w:val="center"/>
          </w:tcPr>
          <w:p w14:paraId="233FEB3E" w14:textId="77777777" w:rsidR="00AD477C" w:rsidRPr="007F4955" w:rsidRDefault="00AD477C" w:rsidP="00451AA0">
            <w:pPr>
              <w:spacing w:line="276" w:lineRule="auto"/>
              <w:rPr>
                <w:b/>
              </w:rPr>
            </w:pPr>
          </w:p>
        </w:tc>
      </w:tr>
      <w:tr w:rsidR="00AD477C" w:rsidRPr="00EB6425" w14:paraId="44E74B85" w14:textId="77777777" w:rsidTr="00AD477C">
        <w:trPr>
          <w:trHeight w:val="167"/>
        </w:trPr>
        <w:tc>
          <w:tcPr>
            <w:tcW w:w="1276" w:type="dxa"/>
            <w:shd w:val="clear" w:color="auto" w:fill="auto"/>
            <w:vAlign w:val="center"/>
          </w:tcPr>
          <w:p w14:paraId="2B569DE1" w14:textId="1A25395B" w:rsidR="00AD477C" w:rsidRPr="00AD477C" w:rsidRDefault="00AD477C" w:rsidP="00AD477C">
            <w:pPr>
              <w:spacing w:line="276" w:lineRule="auto"/>
              <w:ind w:left="142"/>
              <w:jc w:val="left"/>
              <w:rPr>
                <w:b/>
              </w:rPr>
            </w:pPr>
            <w:r w:rsidRPr="00AD477C">
              <w:t>Total</w:t>
            </w:r>
          </w:p>
        </w:tc>
        <w:tc>
          <w:tcPr>
            <w:tcW w:w="1701" w:type="dxa"/>
            <w:shd w:val="clear" w:color="auto" w:fill="auto"/>
            <w:vAlign w:val="center"/>
          </w:tcPr>
          <w:p w14:paraId="34F38333" w14:textId="2116168D" w:rsidR="00AD477C" w:rsidRPr="00AD477C" w:rsidRDefault="00AD477C" w:rsidP="00AD477C">
            <w:pPr>
              <w:spacing w:line="276" w:lineRule="auto"/>
              <w:rPr>
                <w:b/>
              </w:rPr>
            </w:pPr>
            <w:r w:rsidRPr="00AD477C">
              <w:t>423</w:t>
            </w:r>
          </w:p>
        </w:tc>
        <w:tc>
          <w:tcPr>
            <w:tcW w:w="1275" w:type="dxa"/>
            <w:shd w:val="clear" w:color="auto" w:fill="auto"/>
            <w:vAlign w:val="center"/>
          </w:tcPr>
          <w:p w14:paraId="7CFD19C9" w14:textId="676BE56E" w:rsidR="00AD477C" w:rsidRPr="00AD477C" w:rsidRDefault="00AD477C" w:rsidP="00AD477C">
            <w:pPr>
              <w:spacing w:line="276" w:lineRule="auto"/>
              <w:rPr>
                <w:b/>
              </w:rPr>
            </w:pPr>
            <w:r w:rsidRPr="00AD477C">
              <w:t>81.80</w:t>
            </w:r>
          </w:p>
        </w:tc>
        <w:tc>
          <w:tcPr>
            <w:tcW w:w="1389" w:type="dxa"/>
            <w:gridSpan w:val="2"/>
            <w:shd w:val="clear" w:color="auto" w:fill="auto"/>
            <w:vAlign w:val="center"/>
          </w:tcPr>
          <w:p w14:paraId="14D32131" w14:textId="314D8E5E" w:rsidR="00AD477C" w:rsidRPr="00AD477C" w:rsidRDefault="00AD477C" w:rsidP="00AD477C">
            <w:pPr>
              <w:spacing w:line="276" w:lineRule="auto"/>
              <w:rPr>
                <w:b/>
              </w:rPr>
            </w:pPr>
            <w:r w:rsidRPr="00AD477C">
              <w:t>74.23</w:t>
            </w:r>
          </w:p>
        </w:tc>
        <w:tc>
          <w:tcPr>
            <w:tcW w:w="1389" w:type="dxa"/>
            <w:gridSpan w:val="2"/>
            <w:shd w:val="clear" w:color="auto" w:fill="auto"/>
            <w:vAlign w:val="center"/>
          </w:tcPr>
          <w:p w14:paraId="02AD214E" w14:textId="075B8B16" w:rsidR="00AD477C" w:rsidRPr="00AD477C" w:rsidRDefault="00AD477C" w:rsidP="00AD477C">
            <w:pPr>
              <w:spacing w:line="276" w:lineRule="auto"/>
              <w:rPr>
                <w:b/>
              </w:rPr>
            </w:pPr>
            <w:r w:rsidRPr="00AD477C">
              <w:t>69.03</w:t>
            </w:r>
          </w:p>
        </w:tc>
        <w:tc>
          <w:tcPr>
            <w:tcW w:w="1389" w:type="dxa"/>
            <w:gridSpan w:val="2"/>
            <w:shd w:val="clear" w:color="auto" w:fill="auto"/>
            <w:vAlign w:val="center"/>
          </w:tcPr>
          <w:p w14:paraId="46E37245" w14:textId="5DF383C9" w:rsidR="00AD477C" w:rsidRPr="00AD477C" w:rsidRDefault="00AD477C" w:rsidP="00AD477C">
            <w:pPr>
              <w:spacing w:line="276" w:lineRule="auto"/>
              <w:rPr>
                <w:b/>
              </w:rPr>
            </w:pPr>
            <w:r w:rsidRPr="00AD477C">
              <w:t>62.88</w:t>
            </w:r>
          </w:p>
        </w:tc>
        <w:tc>
          <w:tcPr>
            <w:tcW w:w="1389" w:type="dxa"/>
            <w:gridSpan w:val="2"/>
            <w:shd w:val="clear" w:color="auto" w:fill="auto"/>
            <w:vAlign w:val="center"/>
          </w:tcPr>
          <w:p w14:paraId="1EA39F1B" w14:textId="6213AA15" w:rsidR="00AD477C" w:rsidRPr="00AD477C" w:rsidRDefault="00AD477C" w:rsidP="00AD477C">
            <w:pPr>
              <w:spacing w:line="276" w:lineRule="auto"/>
              <w:rPr>
                <w:b/>
              </w:rPr>
            </w:pPr>
            <w:r w:rsidRPr="00AD477C">
              <w:t>59.81</w:t>
            </w:r>
          </w:p>
        </w:tc>
        <w:tc>
          <w:tcPr>
            <w:tcW w:w="1389" w:type="dxa"/>
            <w:gridSpan w:val="2"/>
            <w:shd w:val="clear" w:color="auto" w:fill="auto"/>
            <w:vAlign w:val="center"/>
          </w:tcPr>
          <w:p w14:paraId="061B97B8" w14:textId="2770CF55" w:rsidR="00AD477C" w:rsidRPr="00AD477C" w:rsidRDefault="00AD477C" w:rsidP="00AD477C">
            <w:pPr>
              <w:spacing w:line="276" w:lineRule="auto"/>
              <w:rPr>
                <w:b/>
              </w:rPr>
            </w:pPr>
            <w:r w:rsidRPr="00AD477C">
              <w:t>56.26</w:t>
            </w:r>
          </w:p>
        </w:tc>
        <w:tc>
          <w:tcPr>
            <w:tcW w:w="1389" w:type="dxa"/>
            <w:gridSpan w:val="2"/>
            <w:shd w:val="clear" w:color="auto" w:fill="auto"/>
            <w:vAlign w:val="center"/>
          </w:tcPr>
          <w:p w14:paraId="6B981734" w14:textId="2DCEB257" w:rsidR="00AD477C" w:rsidRPr="00AD477C" w:rsidRDefault="00AD477C" w:rsidP="00AD477C">
            <w:pPr>
              <w:spacing w:line="276" w:lineRule="auto"/>
              <w:rPr>
                <w:b/>
              </w:rPr>
            </w:pPr>
            <w:r w:rsidRPr="00AD477C">
              <w:t>53.18</w:t>
            </w:r>
          </w:p>
        </w:tc>
        <w:tc>
          <w:tcPr>
            <w:tcW w:w="1731" w:type="dxa"/>
            <w:gridSpan w:val="3"/>
            <w:shd w:val="clear" w:color="auto" w:fill="auto"/>
            <w:vAlign w:val="center"/>
          </w:tcPr>
          <w:p w14:paraId="66AAE385" w14:textId="6D9C91DD" w:rsidR="00AD477C" w:rsidRPr="00AD477C" w:rsidRDefault="00AD477C" w:rsidP="00AD477C">
            <w:pPr>
              <w:spacing w:line="276" w:lineRule="auto"/>
              <w:rPr>
                <w:b/>
              </w:rPr>
            </w:pPr>
            <w:r w:rsidRPr="00AD477C">
              <w:t>101</w:t>
            </w:r>
          </w:p>
        </w:tc>
      </w:tr>
      <w:tr w:rsidR="00AD477C" w:rsidRPr="00EB6425" w14:paraId="336C412D" w14:textId="77777777" w:rsidTr="00AD477C">
        <w:trPr>
          <w:trHeight w:val="167"/>
        </w:trPr>
        <w:tc>
          <w:tcPr>
            <w:tcW w:w="14317" w:type="dxa"/>
            <w:gridSpan w:val="18"/>
            <w:shd w:val="clear" w:color="auto" w:fill="auto"/>
            <w:vAlign w:val="center"/>
          </w:tcPr>
          <w:p w14:paraId="7BF6501C" w14:textId="495E9DA0" w:rsidR="00AD477C" w:rsidRPr="007F4955" w:rsidRDefault="00AD477C" w:rsidP="00451AA0">
            <w:pPr>
              <w:spacing w:line="276" w:lineRule="auto"/>
              <w:rPr>
                <w:b/>
              </w:rPr>
            </w:pPr>
            <w:r>
              <w:rPr>
                <w:b/>
              </w:rPr>
              <w:t>Panel B</w:t>
            </w:r>
            <w:r w:rsidRPr="007F4955">
              <w:rPr>
                <w:b/>
              </w:rPr>
              <w:t>: Proportions of IPO Proceeds</w:t>
            </w:r>
          </w:p>
        </w:tc>
      </w:tr>
      <w:tr w:rsidR="00AD477C" w:rsidRPr="00EB6425" w14:paraId="59C6EE1F" w14:textId="77777777" w:rsidTr="00AD477C">
        <w:trPr>
          <w:trHeight w:val="167"/>
        </w:trPr>
        <w:tc>
          <w:tcPr>
            <w:tcW w:w="12616" w:type="dxa"/>
            <w:gridSpan w:val="16"/>
            <w:shd w:val="clear" w:color="auto" w:fill="auto"/>
            <w:vAlign w:val="center"/>
          </w:tcPr>
          <w:p w14:paraId="5B0D30B1" w14:textId="77777777" w:rsidR="00AD477C" w:rsidRPr="004C5FCD" w:rsidRDefault="00AD477C" w:rsidP="00AD477C">
            <w:pPr>
              <w:spacing w:line="276" w:lineRule="auto"/>
              <w:ind w:left="142" w:right="-1697"/>
              <w:jc w:val="left"/>
            </w:pPr>
            <w:r w:rsidRPr="004C5FCD">
              <w:t xml:space="preserve">Growth Opportunities </w:t>
            </w:r>
            <w:r>
              <w:t>(%)</w:t>
            </w:r>
          </w:p>
        </w:tc>
        <w:tc>
          <w:tcPr>
            <w:tcW w:w="1701" w:type="dxa"/>
            <w:gridSpan w:val="2"/>
            <w:shd w:val="clear" w:color="auto" w:fill="auto"/>
            <w:vAlign w:val="center"/>
          </w:tcPr>
          <w:p w14:paraId="2411CBDF" w14:textId="77777777" w:rsidR="00AD477C" w:rsidRPr="004C5FCD" w:rsidRDefault="00AD477C" w:rsidP="00451AA0">
            <w:pPr>
              <w:spacing w:line="276" w:lineRule="auto"/>
            </w:pPr>
          </w:p>
        </w:tc>
      </w:tr>
      <w:tr w:rsidR="00AD477C" w:rsidRPr="00EB6425" w14:paraId="294523FA" w14:textId="77777777" w:rsidTr="00AD477C">
        <w:trPr>
          <w:trHeight w:val="167"/>
        </w:trPr>
        <w:tc>
          <w:tcPr>
            <w:tcW w:w="1276" w:type="dxa"/>
            <w:shd w:val="clear" w:color="auto" w:fill="auto"/>
            <w:vAlign w:val="center"/>
          </w:tcPr>
          <w:p w14:paraId="3FA9F95F" w14:textId="77777777" w:rsidR="00AD477C" w:rsidRPr="004C5FCD" w:rsidRDefault="00AD477C" w:rsidP="00AD477C">
            <w:pPr>
              <w:spacing w:line="276" w:lineRule="auto"/>
              <w:ind w:left="142"/>
              <w:jc w:val="left"/>
            </w:pPr>
            <w:r>
              <w:t>(0 – 50)</w:t>
            </w:r>
            <w:r w:rsidRPr="004C5FCD">
              <w:t xml:space="preserve"> </w:t>
            </w:r>
          </w:p>
        </w:tc>
        <w:tc>
          <w:tcPr>
            <w:tcW w:w="1701" w:type="dxa"/>
            <w:shd w:val="clear" w:color="auto" w:fill="auto"/>
          </w:tcPr>
          <w:p w14:paraId="76D090BE" w14:textId="77777777" w:rsidR="00AD477C" w:rsidRPr="004C5FCD" w:rsidRDefault="00AD477C" w:rsidP="00451AA0">
            <w:pPr>
              <w:spacing w:line="276" w:lineRule="auto"/>
            </w:pPr>
            <w:r w:rsidRPr="004C5FCD">
              <w:t>2</w:t>
            </w:r>
            <w:r>
              <w:t>48</w:t>
            </w:r>
          </w:p>
        </w:tc>
        <w:tc>
          <w:tcPr>
            <w:tcW w:w="1389" w:type="dxa"/>
            <w:gridSpan w:val="2"/>
            <w:shd w:val="clear" w:color="auto" w:fill="auto"/>
            <w:vAlign w:val="center"/>
          </w:tcPr>
          <w:p w14:paraId="3A4DC40E" w14:textId="77777777" w:rsidR="00AD477C" w:rsidRPr="004C5FCD" w:rsidRDefault="00AD477C" w:rsidP="00451AA0">
            <w:pPr>
              <w:spacing w:line="276" w:lineRule="auto"/>
            </w:pPr>
            <w:r>
              <w:t>83.06</w:t>
            </w:r>
          </w:p>
        </w:tc>
        <w:tc>
          <w:tcPr>
            <w:tcW w:w="1389" w:type="dxa"/>
            <w:gridSpan w:val="2"/>
            <w:shd w:val="clear" w:color="auto" w:fill="auto"/>
            <w:vAlign w:val="center"/>
          </w:tcPr>
          <w:p w14:paraId="546730D1" w14:textId="77777777" w:rsidR="00AD477C" w:rsidRPr="004C5FCD" w:rsidRDefault="00AD477C" w:rsidP="00451AA0">
            <w:pPr>
              <w:spacing w:line="276" w:lineRule="auto"/>
            </w:pPr>
            <w:r>
              <w:t>73.79</w:t>
            </w:r>
          </w:p>
        </w:tc>
        <w:tc>
          <w:tcPr>
            <w:tcW w:w="1389" w:type="dxa"/>
            <w:gridSpan w:val="2"/>
            <w:shd w:val="clear" w:color="auto" w:fill="auto"/>
            <w:vAlign w:val="center"/>
          </w:tcPr>
          <w:p w14:paraId="15C892B4" w14:textId="77777777" w:rsidR="00AD477C" w:rsidRPr="004C5FCD" w:rsidRDefault="00AD477C" w:rsidP="00451AA0">
            <w:pPr>
              <w:spacing w:line="276" w:lineRule="auto"/>
            </w:pPr>
            <w:r>
              <w:t>71.37</w:t>
            </w:r>
          </w:p>
        </w:tc>
        <w:tc>
          <w:tcPr>
            <w:tcW w:w="1389" w:type="dxa"/>
            <w:gridSpan w:val="2"/>
            <w:shd w:val="clear" w:color="auto" w:fill="auto"/>
            <w:vAlign w:val="center"/>
          </w:tcPr>
          <w:p w14:paraId="4AB0AF86" w14:textId="77777777" w:rsidR="00AD477C" w:rsidRPr="004C5FCD" w:rsidRDefault="00AD477C" w:rsidP="00451AA0">
            <w:pPr>
              <w:spacing w:line="276" w:lineRule="auto"/>
            </w:pPr>
            <w:r>
              <w:t>64.11</w:t>
            </w:r>
          </w:p>
        </w:tc>
        <w:tc>
          <w:tcPr>
            <w:tcW w:w="1389" w:type="dxa"/>
            <w:gridSpan w:val="2"/>
            <w:shd w:val="clear" w:color="auto" w:fill="auto"/>
            <w:vAlign w:val="center"/>
          </w:tcPr>
          <w:p w14:paraId="774A80FE" w14:textId="77777777" w:rsidR="00AD477C" w:rsidRPr="004C5FCD" w:rsidRDefault="00AD477C" w:rsidP="00451AA0">
            <w:pPr>
              <w:spacing w:line="276" w:lineRule="auto"/>
            </w:pPr>
            <w:r>
              <w:t>60.89</w:t>
            </w:r>
          </w:p>
        </w:tc>
        <w:tc>
          <w:tcPr>
            <w:tcW w:w="1389" w:type="dxa"/>
            <w:gridSpan w:val="2"/>
            <w:shd w:val="clear" w:color="auto" w:fill="auto"/>
            <w:vAlign w:val="center"/>
          </w:tcPr>
          <w:p w14:paraId="00437DE6" w14:textId="77777777" w:rsidR="00AD477C" w:rsidRPr="004C5FCD" w:rsidRDefault="00AD477C" w:rsidP="00451AA0">
            <w:pPr>
              <w:spacing w:line="276" w:lineRule="auto"/>
            </w:pPr>
            <w:r>
              <w:t>58.06</w:t>
            </w:r>
          </w:p>
        </w:tc>
        <w:tc>
          <w:tcPr>
            <w:tcW w:w="1305" w:type="dxa"/>
            <w:gridSpan w:val="2"/>
            <w:shd w:val="clear" w:color="auto" w:fill="auto"/>
            <w:vAlign w:val="center"/>
          </w:tcPr>
          <w:p w14:paraId="38418A24" w14:textId="77777777" w:rsidR="00AD477C" w:rsidRPr="004C5FCD" w:rsidRDefault="00AD477C" w:rsidP="00451AA0">
            <w:pPr>
              <w:spacing w:line="276" w:lineRule="auto"/>
            </w:pPr>
            <w:r>
              <w:t>55.24</w:t>
            </w:r>
          </w:p>
        </w:tc>
        <w:tc>
          <w:tcPr>
            <w:tcW w:w="1701" w:type="dxa"/>
            <w:gridSpan w:val="2"/>
            <w:shd w:val="clear" w:color="auto" w:fill="auto"/>
            <w:vAlign w:val="center"/>
          </w:tcPr>
          <w:p w14:paraId="455D59A7" w14:textId="77777777" w:rsidR="00AD477C" w:rsidRPr="004C5FCD" w:rsidRDefault="00AD477C" w:rsidP="00451AA0">
            <w:pPr>
              <w:spacing w:line="276" w:lineRule="auto"/>
            </w:pPr>
            <w:r>
              <w:t>104</w:t>
            </w:r>
          </w:p>
        </w:tc>
      </w:tr>
      <w:tr w:rsidR="00AD477C" w:rsidRPr="00EB6425" w14:paraId="7A189ABE" w14:textId="77777777" w:rsidTr="00AD477C">
        <w:trPr>
          <w:trHeight w:val="167"/>
        </w:trPr>
        <w:tc>
          <w:tcPr>
            <w:tcW w:w="1276" w:type="dxa"/>
            <w:shd w:val="clear" w:color="auto" w:fill="auto"/>
            <w:vAlign w:val="center"/>
          </w:tcPr>
          <w:p w14:paraId="5C81EC29" w14:textId="77777777" w:rsidR="00AD477C" w:rsidRPr="004C5FCD" w:rsidRDefault="00AD477C" w:rsidP="00AD477C">
            <w:pPr>
              <w:spacing w:line="276" w:lineRule="auto"/>
              <w:ind w:firstLine="142"/>
              <w:jc w:val="left"/>
            </w:pPr>
            <w:r>
              <w:t>(51 – 100)</w:t>
            </w:r>
          </w:p>
        </w:tc>
        <w:tc>
          <w:tcPr>
            <w:tcW w:w="1701" w:type="dxa"/>
            <w:shd w:val="clear" w:color="auto" w:fill="auto"/>
          </w:tcPr>
          <w:p w14:paraId="7F4DBF87" w14:textId="77777777" w:rsidR="00AD477C" w:rsidRPr="004C5FCD" w:rsidRDefault="00AD477C" w:rsidP="00451AA0">
            <w:pPr>
              <w:spacing w:line="276" w:lineRule="auto"/>
            </w:pPr>
            <w:r w:rsidRPr="004C5FCD">
              <w:t>1</w:t>
            </w:r>
            <w:r>
              <w:t>75</w:t>
            </w:r>
          </w:p>
        </w:tc>
        <w:tc>
          <w:tcPr>
            <w:tcW w:w="1389" w:type="dxa"/>
            <w:gridSpan w:val="2"/>
            <w:shd w:val="clear" w:color="auto" w:fill="auto"/>
            <w:vAlign w:val="center"/>
          </w:tcPr>
          <w:p w14:paraId="64B987B1" w14:textId="77777777" w:rsidR="00AD477C" w:rsidRPr="004C5FCD" w:rsidRDefault="00AD477C" w:rsidP="00451AA0">
            <w:pPr>
              <w:spacing w:line="276" w:lineRule="auto"/>
            </w:pPr>
            <w:r>
              <w:t>80.00</w:t>
            </w:r>
          </w:p>
        </w:tc>
        <w:tc>
          <w:tcPr>
            <w:tcW w:w="1389" w:type="dxa"/>
            <w:gridSpan w:val="2"/>
            <w:shd w:val="clear" w:color="auto" w:fill="auto"/>
            <w:vAlign w:val="center"/>
          </w:tcPr>
          <w:p w14:paraId="3C976FA3" w14:textId="77777777" w:rsidR="00AD477C" w:rsidRPr="004C5FCD" w:rsidRDefault="00AD477C" w:rsidP="00451AA0">
            <w:pPr>
              <w:spacing w:line="276" w:lineRule="auto"/>
            </w:pPr>
            <w:r>
              <w:t>74.86</w:t>
            </w:r>
          </w:p>
        </w:tc>
        <w:tc>
          <w:tcPr>
            <w:tcW w:w="1389" w:type="dxa"/>
            <w:gridSpan w:val="2"/>
            <w:shd w:val="clear" w:color="auto" w:fill="auto"/>
            <w:vAlign w:val="center"/>
          </w:tcPr>
          <w:p w14:paraId="18A28DFE" w14:textId="77777777" w:rsidR="00AD477C" w:rsidRPr="004C5FCD" w:rsidRDefault="00AD477C" w:rsidP="00451AA0">
            <w:pPr>
              <w:spacing w:line="276" w:lineRule="auto"/>
            </w:pPr>
            <w:r>
              <w:t>65.71</w:t>
            </w:r>
          </w:p>
        </w:tc>
        <w:tc>
          <w:tcPr>
            <w:tcW w:w="1389" w:type="dxa"/>
            <w:gridSpan w:val="2"/>
            <w:shd w:val="clear" w:color="auto" w:fill="auto"/>
            <w:vAlign w:val="center"/>
          </w:tcPr>
          <w:p w14:paraId="2F2E1195" w14:textId="77777777" w:rsidR="00AD477C" w:rsidRPr="004C5FCD" w:rsidRDefault="00AD477C" w:rsidP="00451AA0">
            <w:pPr>
              <w:spacing w:line="276" w:lineRule="auto"/>
            </w:pPr>
            <w:r>
              <w:t>61.14</w:t>
            </w:r>
          </w:p>
        </w:tc>
        <w:tc>
          <w:tcPr>
            <w:tcW w:w="1389" w:type="dxa"/>
            <w:gridSpan w:val="2"/>
            <w:shd w:val="clear" w:color="auto" w:fill="auto"/>
            <w:vAlign w:val="center"/>
          </w:tcPr>
          <w:p w14:paraId="15653F79" w14:textId="77777777" w:rsidR="00AD477C" w:rsidRPr="004C5FCD" w:rsidRDefault="00AD477C" w:rsidP="00451AA0">
            <w:pPr>
              <w:spacing w:line="276" w:lineRule="auto"/>
            </w:pPr>
            <w:r>
              <w:t>58.29</w:t>
            </w:r>
          </w:p>
        </w:tc>
        <w:tc>
          <w:tcPr>
            <w:tcW w:w="1389" w:type="dxa"/>
            <w:gridSpan w:val="2"/>
            <w:shd w:val="clear" w:color="auto" w:fill="auto"/>
            <w:vAlign w:val="center"/>
          </w:tcPr>
          <w:p w14:paraId="6840BD3A" w14:textId="77777777" w:rsidR="00AD477C" w:rsidRPr="004C5FCD" w:rsidRDefault="00AD477C" w:rsidP="00451AA0">
            <w:pPr>
              <w:spacing w:line="276" w:lineRule="auto"/>
            </w:pPr>
            <w:r>
              <w:t>53.71</w:t>
            </w:r>
          </w:p>
        </w:tc>
        <w:tc>
          <w:tcPr>
            <w:tcW w:w="1305" w:type="dxa"/>
            <w:gridSpan w:val="2"/>
            <w:shd w:val="clear" w:color="auto" w:fill="auto"/>
            <w:vAlign w:val="center"/>
          </w:tcPr>
          <w:p w14:paraId="16A843B9" w14:textId="77777777" w:rsidR="00AD477C" w:rsidRPr="004C5FCD" w:rsidRDefault="00AD477C" w:rsidP="00451AA0">
            <w:pPr>
              <w:spacing w:line="276" w:lineRule="auto"/>
            </w:pPr>
            <w:r>
              <w:t>50.27</w:t>
            </w:r>
          </w:p>
        </w:tc>
        <w:tc>
          <w:tcPr>
            <w:tcW w:w="1701" w:type="dxa"/>
            <w:gridSpan w:val="2"/>
            <w:shd w:val="clear" w:color="auto" w:fill="auto"/>
            <w:vAlign w:val="center"/>
          </w:tcPr>
          <w:p w14:paraId="503AC807" w14:textId="77777777" w:rsidR="00AD477C" w:rsidRPr="004C5FCD" w:rsidRDefault="00AD477C" w:rsidP="00451AA0">
            <w:pPr>
              <w:spacing w:line="276" w:lineRule="auto"/>
            </w:pPr>
            <w:r>
              <w:t>90</w:t>
            </w:r>
          </w:p>
        </w:tc>
      </w:tr>
      <w:tr w:rsidR="00AD477C" w:rsidRPr="00EB6425" w14:paraId="7ADD24D7" w14:textId="77777777" w:rsidTr="00AD477C">
        <w:trPr>
          <w:trHeight w:val="167"/>
        </w:trPr>
        <w:tc>
          <w:tcPr>
            <w:tcW w:w="12616" w:type="dxa"/>
            <w:gridSpan w:val="16"/>
            <w:shd w:val="clear" w:color="auto" w:fill="auto"/>
            <w:vAlign w:val="center"/>
          </w:tcPr>
          <w:p w14:paraId="1CF561F0" w14:textId="77777777" w:rsidR="00AD477C" w:rsidRPr="004C5FCD" w:rsidRDefault="00AD477C" w:rsidP="00AD477C">
            <w:pPr>
              <w:spacing w:line="276" w:lineRule="auto"/>
              <w:ind w:left="142" w:right="-1697"/>
              <w:jc w:val="left"/>
            </w:pPr>
            <w:r w:rsidRPr="004C5FCD">
              <w:t>Debt Repayment</w:t>
            </w:r>
            <w:r>
              <w:t xml:space="preserve"> (%)</w:t>
            </w:r>
          </w:p>
        </w:tc>
        <w:tc>
          <w:tcPr>
            <w:tcW w:w="1701" w:type="dxa"/>
            <w:gridSpan w:val="2"/>
            <w:shd w:val="clear" w:color="auto" w:fill="auto"/>
            <w:vAlign w:val="center"/>
          </w:tcPr>
          <w:p w14:paraId="0CBAF1DB" w14:textId="77777777" w:rsidR="00AD477C" w:rsidRPr="004C5FCD" w:rsidRDefault="00AD477C" w:rsidP="00451AA0">
            <w:pPr>
              <w:spacing w:line="276" w:lineRule="auto"/>
            </w:pPr>
          </w:p>
        </w:tc>
      </w:tr>
      <w:tr w:rsidR="00AD477C" w:rsidRPr="00EB6425" w14:paraId="50A87EF9" w14:textId="77777777" w:rsidTr="00AD477C">
        <w:trPr>
          <w:trHeight w:val="167"/>
        </w:trPr>
        <w:tc>
          <w:tcPr>
            <w:tcW w:w="1276" w:type="dxa"/>
            <w:shd w:val="clear" w:color="auto" w:fill="auto"/>
            <w:vAlign w:val="center"/>
          </w:tcPr>
          <w:p w14:paraId="10DB347C" w14:textId="77777777" w:rsidR="00AD477C" w:rsidRPr="004C5FCD" w:rsidRDefault="00AD477C" w:rsidP="00AD477C">
            <w:pPr>
              <w:spacing w:line="276" w:lineRule="auto"/>
              <w:ind w:left="142"/>
              <w:jc w:val="left"/>
            </w:pPr>
            <w:r>
              <w:t>(0 – 50)</w:t>
            </w:r>
            <w:r w:rsidRPr="004C5FCD">
              <w:t xml:space="preserve"> </w:t>
            </w:r>
          </w:p>
        </w:tc>
        <w:tc>
          <w:tcPr>
            <w:tcW w:w="1701" w:type="dxa"/>
            <w:shd w:val="clear" w:color="auto" w:fill="auto"/>
          </w:tcPr>
          <w:p w14:paraId="44792D92" w14:textId="77777777" w:rsidR="00AD477C" w:rsidRPr="004C5FCD" w:rsidRDefault="00AD477C" w:rsidP="00451AA0">
            <w:pPr>
              <w:spacing w:line="276" w:lineRule="auto"/>
            </w:pPr>
            <w:r>
              <w:t>374</w:t>
            </w:r>
          </w:p>
        </w:tc>
        <w:tc>
          <w:tcPr>
            <w:tcW w:w="1389" w:type="dxa"/>
            <w:gridSpan w:val="2"/>
            <w:shd w:val="clear" w:color="auto" w:fill="auto"/>
            <w:vAlign w:val="center"/>
          </w:tcPr>
          <w:p w14:paraId="77D6208A" w14:textId="77777777" w:rsidR="00AD477C" w:rsidRPr="004C5FCD" w:rsidRDefault="00AD477C" w:rsidP="00451AA0">
            <w:pPr>
              <w:spacing w:line="276" w:lineRule="auto"/>
            </w:pPr>
            <w:r>
              <w:t>81.28</w:t>
            </w:r>
          </w:p>
        </w:tc>
        <w:tc>
          <w:tcPr>
            <w:tcW w:w="1389" w:type="dxa"/>
            <w:gridSpan w:val="2"/>
            <w:shd w:val="clear" w:color="auto" w:fill="auto"/>
            <w:vAlign w:val="center"/>
          </w:tcPr>
          <w:p w14:paraId="6CAB3A8D" w14:textId="77777777" w:rsidR="00AD477C" w:rsidRPr="004C5FCD" w:rsidRDefault="00AD477C" w:rsidP="00451AA0">
            <w:pPr>
              <w:spacing w:line="276" w:lineRule="auto"/>
            </w:pPr>
            <w:r>
              <w:t>74.06</w:t>
            </w:r>
          </w:p>
        </w:tc>
        <w:tc>
          <w:tcPr>
            <w:tcW w:w="1389" w:type="dxa"/>
            <w:gridSpan w:val="2"/>
            <w:shd w:val="clear" w:color="auto" w:fill="auto"/>
            <w:vAlign w:val="center"/>
          </w:tcPr>
          <w:p w14:paraId="7FF22D21" w14:textId="77777777" w:rsidR="00AD477C" w:rsidRPr="004C5FCD" w:rsidRDefault="00AD477C" w:rsidP="00451AA0">
            <w:pPr>
              <w:spacing w:line="276" w:lineRule="auto"/>
            </w:pPr>
            <w:r>
              <w:t>68.45</w:t>
            </w:r>
          </w:p>
        </w:tc>
        <w:tc>
          <w:tcPr>
            <w:tcW w:w="1389" w:type="dxa"/>
            <w:gridSpan w:val="2"/>
            <w:shd w:val="clear" w:color="auto" w:fill="auto"/>
            <w:vAlign w:val="center"/>
          </w:tcPr>
          <w:p w14:paraId="08BA3936" w14:textId="77777777" w:rsidR="00AD477C" w:rsidRPr="004C5FCD" w:rsidRDefault="00AD477C" w:rsidP="00451AA0">
            <w:pPr>
              <w:spacing w:line="276" w:lineRule="auto"/>
            </w:pPr>
            <w:r>
              <w:t>62.83</w:t>
            </w:r>
          </w:p>
        </w:tc>
        <w:tc>
          <w:tcPr>
            <w:tcW w:w="1389" w:type="dxa"/>
            <w:gridSpan w:val="2"/>
            <w:shd w:val="clear" w:color="auto" w:fill="auto"/>
            <w:vAlign w:val="center"/>
          </w:tcPr>
          <w:p w14:paraId="6B318795" w14:textId="77777777" w:rsidR="00AD477C" w:rsidRPr="004C5FCD" w:rsidRDefault="00AD477C" w:rsidP="00451AA0">
            <w:pPr>
              <w:spacing w:line="276" w:lineRule="auto"/>
            </w:pPr>
            <w:r>
              <w:t>59.63</w:t>
            </w:r>
          </w:p>
        </w:tc>
        <w:tc>
          <w:tcPr>
            <w:tcW w:w="1389" w:type="dxa"/>
            <w:gridSpan w:val="2"/>
            <w:shd w:val="clear" w:color="auto" w:fill="auto"/>
            <w:vAlign w:val="center"/>
          </w:tcPr>
          <w:p w14:paraId="662B5D75" w14:textId="77777777" w:rsidR="00AD477C" w:rsidRPr="004C5FCD" w:rsidRDefault="00AD477C" w:rsidP="00451AA0">
            <w:pPr>
              <w:spacing w:line="276" w:lineRule="auto"/>
            </w:pPr>
            <w:r>
              <w:t>56.42</w:t>
            </w:r>
          </w:p>
        </w:tc>
        <w:tc>
          <w:tcPr>
            <w:tcW w:w="1305" w:type="dxa"/>
            <w:gridSpan w:val="2"/>
            <w:shd w:val="clear" w:color="auto" w:fill="auto"/>
            <w:vAlign w:val="center"/>
          </w:tcPr>
          <w:p w14:paraId="28AD34EF" w14:textId="77777777" w:rsidR="00AD477C" w:rsidRPr="004C5FCD" w:rsidRDefault="00AD477C" w:rsidP="00451AA0">
            <w:pPr>
              <w:spacing w:line="276" w:lineRule="auto"/>
            </w:pPr>
            <w:r>
              <w:t>53.73</w:t>
            </w:r>
          </w:p>
        </w:tc>
        <w:tc>
          <w:tcPr>
            <w:tcW w:w="1701" w:type="dxa"/>
            <w:gridSpan w:val="2"/>
            <w:shd w:val="clear" w:color="auto" w:fill="auto"/>
            <w:vAlign w:val="center"/>
          </w:tcPr>
          <w:p w14:paraId="17D49017" w14:textId="77777777" w:rsidR="00AD477C" w:rsidRPr="004C5FCD" w:rsidRDefault="00AD477C" w:rsidP="00451AA0">
            <w:pPr>
              <w:spacing w:line="276" w:lineRule="auto"/>
            </w:pPr>
            <w:r>
              <w:t>104</w:t>
            </w:r>
          </w:p>
        </w:tc>
      </w:tr>
      <w:tr w:rsidR="00AD477C" w:rsidRPr="00EB6425" w14:paraId="47466083" w14:textId="77777777" w:rsidTr="00AD477C">
        <w:trPr>
          <w:trHeight w:val="167"/>
        </w:trPr>
        <w:tc>
          <w:tcPr>
            <w:tcW w:w="1276" w:type="dxa"/>
            <w:shd w:val="clear" w:color="auto" w:fill="auto"/>
            <w:vAlign w:val="center"/>
          </w:tcPr>
          <w:p w14:paraId="6B1BEE45" w14:textId="77777777" w:rsidR="00AD477C" w:rsidRPr="004C5FCD" w:rsidRDefault="00AD477C" w:rsidP="00AD477C">
            <w:pPr>
              <w:spacing w:line="276" w:lineRule="auto"/>
              <w:ind w:firstLine="142"/>
              <w:jc w:val="left"/>
            </w:pPr>
            <w:r>
              <w:t>(51 – 100)</w:t>
            </w:r>
          </w:p>
        </w:tc>
        <w:tc>
          <w:tcPr>
            <w:tcW w:w="1701" w:type="dxa"/>
            <w:shd w:val="clear" w:color="auto" w:fill="auto"/>
          </w:tcPr>
          <w:p w14:paraId="2990C8C6" w14:textId="77777777" w:rsidR="00AD477C" w:rsidRPr="004C5FCD" w:rsidRDefault="00AD477C" w:rsidP="00451AA0">
            <w:pPr>
              <w:spacing w:line="276" w:lineRule="auto"/>
            </w:pPr>
            <w:r>
              <w:t>49</w:t>
            </w:r>
          </w:p>
        </w:tc>
        <w:tc>
          <w:tcPr>
            <w:tcW w:w="1389" w:type="dxa"/>
            <w:gridSpan w:val="2"/>
            <w:shd w:val="clear" w:color="auto" w:fill="auto"/>
            <w:vAlign w:val="center"/>
          </w:tcPr>
          <w:p w14:paraId="32732993" w14:textId="77777777" w:rsidR="00AD477C" w:rsidRPr="004C5FCD" w:rsidRDefault="00AD477C" w:rsidP="00451AA0">
            <w:pPr>
              <w:spacing w:line="276" w:lineRule="auto"/>
            </w:pPr>
            <w:r>
              <w:t>85.71</w:t>
            </w:r>
          </w:p>
        </w:tc>
        <w:tc>
          <w:tcPr>
            <w:tcW w:w="1389" w:type="dxa"/>
            <w:gridSpan w:val="2"/>
            <w:shd w:val="clear" w:color="auto" w:fill="auto"/>
            <w:vAlign w:val="center"/>
          </w:tcPr>
          <w:p w14:paraId="070EB77C" w14:textId="77777777" w:rsidR="00AD477C" w:rsidRPr="004C5FCD" w:rsidRDefault="00AD477C" w:rsidP="00451AA0">
            <w:pPr>
              <w:spacing w:line="276" w:lineRule="auto"/>
            </w:pPr>
            <w:r>
              <w:t>75.51</w:t>
            </w:r>
          </w:p>
        </w:tc>
        <w:tc>
          <w:tcPr>
            <w:tcW w:w="1389" w:type="dxa"/>
            <w:gridSpan w:val="2"/>
            <w:shd w:val="clear" w:color="auto" w:fill="auto"/>
            <w:vAlign w:val="center"/>
          </w:tcPr>
          <w:p w14:paraId="5AA1C3AC" w14:textId="77777777" w:rsidR="00AD477C" w:rsidRPr="004C5FCD" w:rsidRDefault="00AD477C" w:rsidP="00451AA0">
            <w:pPr>
              <w:spacing w:line="276" w:lineRule="auto"/>
            </w:pPr>
            <w:r>
              <w:t>73.47</w:t>
            </w:r>
          </w:p>
        </w:tc>
        <w:tc>
          <w:tcPr>
            <w:tcW w:w="1389" w:type="dxa"/>
            <w:gridSpan w:val="2"/>
            <w:shd w:val="clear" w:color="auto" w:fill="auto"/>
            <w:vAlign w:val="center"/>
          </w:tcPr>
          <w:p w14:paraId="0ADC7D19" w14:textId="77777777" w:rsidR="00AD477C" w:rsidRPr="004C5FCD" w:rsidRDefault="00AD477C" w:rsidP="00451AA0">
            <w:pPr>
              <w:spacing w:line="276" w:lineRule="auto"/>
            </w:pPr>
            <w:r>
              <w:t>63.27</w:t>
            </w:r>
          </w:p>
        </w:tc>
        <w:tc>
          <w:tcPr>
            <w:tcW w:w="1389" w:type="dxa"/>
            <w:gridSpan w:val="2"/>
            <w:shd w:val="clear" w:color="auto" w:fill="auto"/>
            <w:vAlign w:val="center"/>
          </w:tcPr>
          <w:p w14:paraId="47B7D2DE" w14:textId="77777777" w:rsidR="00AD477C" w:rsidRPr="004C5FCD" w:rsidRDefault="00AD477C" w:rsidP="00451AA0">
            <w:pPr>
              <w:spacing w:line="276" w:lineRule="auto"/>
            </w:pPr>
            <w:r>
              <w:t>61.22</w:t>
            </w:r>
          </w:p>
        </w:tc>
        <w:tc>
          <w:tcPr>
            <w:tcW w:w="1389" w:type="dxa"/>
            <w:gridSpan w:val="2"/>
            <w:shd w:val="clear" w:color="auto" w:fill="auto"/>
            <w:vAlign w:val="center"/>
          </w:tcPr>
          <w:p w14:paraId="72215D9F" w14:textId="77777777" w:rsidR="00AD477C" w:rsidRPr="004C5FCD" w:rsidRDefault="00AD477C" w:rsidP="00451AA0">
            <w:pPr>
              <w:spacing w:line="276" w:lineRule="auto"/>
            </w:pPr>
            <w:r>
              <w:t>55.10</w:t>
            </w:r>
          </w:p>
        </w:tc>
        <w:tc>
          <w:tcPr>
            <w:tcW w:w="1305" w:type="dxa"/>
            <w:gridSpan w:val="2"/>
            <w:shd w:val="clear" w:color="auto" w:fill="auto"/>
            <w:vAlign w:val="center"/>
          </w:tcPr>
          <w:p w14:paraId="051187D7" w14:textId="77777777" w:rsidR="00AD477C" w:rsidRPr="004C5FCD" w:rsidRDefault="00AD477C" w:rsidP="00451AA0">
            <w:pPr>
              <w:spacing w:line="276" w:lineRule="auto"/>
            </w:pPr>
            <w:r>
              <w:t>48.98</w:t>
            </w:r>
          </w:p>
        </w:tc>
        <w:tc>
          <w:tcPr>
            <w:tcW w:w="1701" w:type="dxa"/>
            <w:gridSpan w:val="2"/>
            <w:shd w:val="clear" w:color="auto" w:fill="auto"/>
            <w:vAlign w:val="center"/>
          </w:tcPr>
          <w:p w14:paraId="0C94E5F3" w14:textId="77777777" w:rsidR="00AD477C" w:rsidRPr="004C5FCD" w:rsidRDefault="00AD477C" w:rsidP="00451AA0">
            <w:pPr>
              <w:spacing w:line="276" w:lineRule="auto"/>
            </w:pPr>
            <w:r>
              <w:t>82</w:t>
            </w:r>
          </w:p>
        </w:tc>
      </w:tr>
      <w:tr w:rsidR="00AD477C" w:rsidRPr="00EB6425" w14:paraId="2ACCCD94" w14:textId="77777777" w:rsidTr="00AD477C">
        <w:trPr>
          <w:trHeight w:val="167"/>
        </w:trPr>
        <w:tc>
          <w:tcPr>
            <w:tcW w:w="12616" w:type="dxa"/>
            <w:gridSpan w:val="16"/>
            <w:shd w:val="clear" w:color="auto" w:fill="auto"/>
            <w:vAlign w:val="center"/>
          </w:tcPr>
          <w:p w14:paraId="71F15522" w14:textId="77777777" w:rsidR="00AD477C" w:rsidRPr="004C5FCD" w:rsidRDefault="00AD477C" w:rsidP="00AD477C">
            <w:pPr>
              <w:spacing w:line="276" w:lineRule="auto"/>
              <w:ind w:left="142" w:right="-1697"/>
              <w:jc w:val="left"/>
            </w:pPr>
            <w:r w:rsidRPr="004C5FCD">
              <w:t>Working Capital</w:t>
            </w:r>
            <w:r>
              <w:t xml:space="preserve"> (%)</w:t>
            </w:r>
          </w:p>
        </w:tc>
        <w:tc>
          <w:tcPr>
            <w:tcW w:w="1701" w:type="dxa"/>
            <w:gridSpan w:val="2"/>
            <w:shd w:val="clear" w:color="auto" w:fill="auto"/>
            <w:vAlign w:val="center"/>
          </w:tcPr>
          <w:p w14:paraId="525BE77F" w14:textId="77777777" w:rsidR="00AD477C" w:rsidRPr="004C5FCD" w:rsidRDefault="00AD477C" w:rsidP="00451AA0">
            <w:pPr>
              <w:spacing w:line="276" w:lineRule="auto"/>
            </w:pPr>
          </w:p>
        </w:tc>
      </w:tr>
      <w:tr w:rsidR="00AD477C" w:rsidRPr="00EB6425" w14:paraId="26953AC9" w14:textId="77777777" w:rsidTr="00AD477C">
        <w:trPr>
          <w:trHeight w:val="167"/>
        </w:trPr>
        <w:tc>
          <w:tcPr>
            <w:tcW w:w="1276" w:type="dxa"/>
            <w:shd w:val="clear" w:color="auto" w:fill="auto"/>
            <w:vAlign w:val="center"/>
          </w:tcPr>
          <w:p w14:paraId="0DF76376" w14:textId="77777777" w:rsidR="00AD477C" w:rsidRPr="004C5FCD" w:rsidRDefault="00AD477C" w:rsidP="00AD477C">
            <w:pPr>
              <w:spacing w:line="276" w:lineRule="auto"/>
              <w:ind w:left="142"/>
              <w:jc w:val="left"/>
            </w:pPr>
            <w:r>
              <w:t>(0 – 50)</w:t>
            </w:r>
            <w:r w:rsidRPr="004C5FCD">
              <w:t xml:space="preserve"> </w:t>
            </w:r>
          </w:p>
        </w:tc>
        <w:tc>
          <w:tcPr>
            <w:tcW w:w="1701" w:type="dxa"/>
            <w:shd w:val="clear" w:color="auto" w:fill="auto"/>
            <w:vAlign w:val="center"/>
          </w:tcPr>
          <w:p w14:paraId="66AF5E49" w14:textId="77777777" w:rsidR="00AD477C" w:rsidRPr="004C5FCD" w:rsidRDefault="00AD477C" w:rsidP="00451AA0">
            <w:pPr>
              <w:spacing w:line="276" w:lineRule="auto"/>
            </w:pPr>
            <w:r>
              <w:t>308</w:t>
            </w:r>
          </w:p>
        </w:tc>
        <w:tc>
          <w:tcPr>
            <w:tcW w:w="1389" w:type="dxa"/>
            <w:gridSpan w:val="2"/>
            <w:shd w:val="clear" w:color="auto" w:fill="auto"/>
            <w:vAlign w:val="center"/>
          </w:tcPr>
          <w:p w14:paraId="70C10E1A" w14:textId="77777777" w:rsidR="00AD477C" w:rsidRPr="004C5FCD" w:rsidRDefault="00AD477C" w:rsidP="00451AA0">
            <w:pPr>
              <w:spacing w:line="276" w:lineRule="auto"/>
            </w:pPr>
            <w:r>
              <w:t>81.17</w:t>
            </w:r>
          </w:p>
        </w:tc>
        <w:tc>
          <w:tcPr>
            <w:tcW w:w="1389" w:type="dxa"/>
            <w:gridSpan w:val="2"/>
            <w:shd w:val="clear" w:color="auto" w:fill="auto"/>
            <w:vAlign w:val="center"/>
          </w:tcPr>
          <w:p w14:paraId="3946F7C1" w14:textId="77777777" w:rsidR="00AD477C" w:rsidRPr="004C5FCD" w:rsidRDefault="00AD477C" w:rsidP="00451AA0">
            <w:pPr>
              <w:spacing w:line="276" w:lineRule="auto"/>
            </w:pPr>
            <w:r>
              <w:t>76.30</w:t>
            </w:r>
          </w:p>
        </w:tc>
        <w:tc>
          <w:tcPr>
            <w:tcW w:w="1389" w:type="dxa"/>
            <w:gridSpan w:val="2"/>
            <w:shd w:val="clear" w:color="auto" w:fill="auto"/>
            <w:vAlign w:val="center"/>
          </w:tcPr>
          <w:p w14:paraId="729B67C6" w14:textId="77777777" w:rsidR="00AD477C" w:rsidRPr="004C5FCD" w:rsidRDefault="00AD477C" w:rsidP="00451AA0">
            <w:pPr>
              <w:spacing w:line="276" w:lineRule="auto"/>
            </w:pPr>
            <w:r>
              <w:t>70.13</w:t>
            </w:r>
          </w:p>
        </w:tc>
        <w:tc>
          <w:tcPr>
            <w:tcW w:w="1389" w:type="dxa"/>
            <w:gridSpan w:val="2"/>
            <w:shd w:val="clear" w:color="auto" w:fill="auto"/>
            <w:vAlign w:val="center"/>
          </w:tcPr>
          <w:p w14:paraId="4EE90DC4" w14:textId="77777777" w:rsidR="00AD477C" w:rsidRPr="004C5FCD" w:rsidRDefault="00AD477C" w:rsidP="00451AA0">
            <w:pPr>
              <w:spacing w:line="276" w:lineRule="auto"/>
            </w:pPr>
            <w:r>
              <w:t>64.61</w:t>
            </w:r>
          </w:p>
        </w:tc>
        <w:tc>
          <w:tcPr>
            <w:tcW w:w="1389" w:type="dxa"/>
            <w:gridSpan w:val="2"/>
            <w:shd w:val="clear" w:color="auto" w:fill="auto"/>
            <w:vAlign w:val="center"/>
          </w:tcPr>
          <w:p w14:paraId="5DC1F556" w14:textId="77777777" w:rsidR="00AD477C" w:rsidRPr="004C5FCD" w:rsidRDefault="00AD477C" w:rsidP="00451AA0">
            <w:pPr>
              <w:spacing w:line="276" w:lineRule="auto"/>
            </w:pPr>
            <w:r>
              <w:t>61.69</w:t>
            </w:r>
          </w:p>
        </w:tc>
        <w:tc>
          <w:tcPr>
            <w:tcW w:w="1389" w:type="dxa"/>
            <w:gridSpan w:val="2"/>
            <w:shd w:val="clear" w:color="auto" w:fill="auto"/>
            <w:vAlign w:val="center"/>
          </w:tcPr>
          <w:p w14:paraId="74EDDBFA" w14:textId="77777777" w:rsidR="00AD477C" w:rsidRPr="004C5FCD" w:rsidRDefault="00AD477C" w:rsidP="00451AA0">
            <w:pPr>
              <w:spacing w:line="276" w:lineRule="auto"/>
            </w:pPr>
            <w:r>
              <w:t>57.79</w:t>
            </w:r>
          </w:p>
        </w:tc>
        <w:tc>
          <w:tcPr>
            <w:tcW w:w="1305" w:type="dxa"/>
            <w:gridSpan w:val="2"/>
            <w:shd w:val="clear" w:color="auto" w:fill="auto"/>
            <w:vAlign w:val="center"/>
          </w:tcPr>
          <w:p w14:paraId="641CE9B3" w14:textId="77777777" w:rsidR="00AD477C" w:rsidRPr="004C5FCD" w:rsidRDefault="00AD477C" w:rsidP="00451AA0">
            <w:pPr>
              <w:spacing w:line="276" w:lineRule="auto"/>
            </w:pPr>
            <w:r>
              <w:t>54.86</w:t>
            </w:r>
          </w:p>
        </w:tc>
        <w:tc>
          <w:tcPr>
            <w:tcW w:w="1701" w:type="dxa"/>
            <w:gridSpan w:val="2"/>
            <w:shd w:val="clear" w:color="auto" w:fill="auto"/>
            <w:vAlign w:val="center"/>
          </w:tcPr>
          <w:p w14:paraId="443E56D0" w14:textId="77777777" w:rsidR="00AD477C" w:rsidRPr="004C5FCD" w:rsidRDefault="00AD477C" w:rsidP="00451AA0">
            <w:pPr>
              <w:spacing w:line="276" w:lineRule="auto"/>
            </w:pPr>
            <w:r>
              <w:t>106</w:t>
            </w:r>
          </w:p>
        </w:tc>
      </w:tr>
      <w:tr w:rsidR="00AD477C" w:rsidRPr="00EB6425" w14:paraId="4B53C1BC" w14:textId="77777777" w:rsidTr="00AD477C">
        <w:trPr>
          <w:trHeight w:val="167"/>
        </w:trPr>
        <w:tc>
          <w:tcPr>
            <w:tcW w:w="1276" w:type="dxa"/>
            <w:shd w:val="clear" w:color="auto" w:fill="auto"/>
            <w:vAlign w:val="center"/>
          </w:tcPr>
          <w:p w14:paraId="45FD06F6" w14:textId="77777777" w:rsidR="00AD477C" w:rsidRPr="004C5FCD" w:rsidRDefault="00AD477C" w:rsidP="00AD477C">
            <w:pPr>
              <w:spacing w:line="276" w:lineRule="auto"/>
              <w:ind w:firstLine="142"/>
              <w:jc w:val="left"/>
            </w:pPr>
            <w:r>
              <w:t>(51 – 100)</w:t>
            </w:r>
          </w:p>
        </w:tc>
        <w:tc>
          <w:tcPr>
            <w:tcW w:w="1701" w:type="dxa"/>
            <w:shd w:val="clear" w:color="auto" w:fill="auto"/>
            <w:vAlign w:val="center"/>
          </w:tcPr>
          <w:p w14:paraId="1700F252" w14:textId="77777777" w:rsidR="00AD477C" w:rsidRPr="004C5FCD" w:rsidRDefault="00AD477C" w:rsidP="00451AA0">
            <w:pPr>
              <w:spacing w:line="276" w:lineRule="auto"/>
            </w:pPr>
            <w:r>
              <w:t>115</w:t>
            </w:r>
          </w:p>
        </w:tc>
        <w:tc>
          <w:tcPr>
            <w:tcW w:w="1389" w:type="dxa"/>
            <w:gridSpan w:val="2"/>
            <w:shd w:val="clear" w:color="auto" w:fill="auto"/>
            <w:vAlign w:val="center"/>
          </w:tcPr>
          <w:p w14:paraId="1A5CFD4C" w14:textId="77777777" w:rsidR="00AD477C" w:rsidRPr="004C5FCD" w:rsidRDefault="00AD477C" w:rsidP="00451AA0">
            <w:pPr>
              <w:spacing w:line="276" w:lineRule="auto"/>
            </w:pPr>
            <w:r>
              <w:t>83.48</w:t>
            </w:r>
          </w:p>
        </w:tc>
        <w:tc>
          <w:tcPr>
            <w:tcW w:w="1389" w:type="dxa"/>
            <w:gridSpan w:val="2"/>
            <w:shd w:val="clear" w:color="auto" w:fill="auto"/>
            <w:vAlign w:val="center"/>
          </w:tcPr>
          <w:p w14:paraId="7C6E075A" w14:textId="77777777" w:rsidR="00AD477C" w:rsidRPr="004C5FCD" w:rsidRDefault="00AD477C" w:rsidP="00451AA0">
            <w:pPr>
              <w:spacing w:line="276" w:lineRule="auto"/>
            </w:pPr>
            <w:r>
              <w:t>68.70</w:t>
            </w:r>
          </w:p>
        </w:tc>
        <w:tc>
          <w:tcPr>
            <w:tcW w:w="1389" w:type="dxa"/>
            <w:gridSpan w:val="2"/>
            <w:shd w:val="clear" w:color="auto" w:fill="auto"/>
            <w:vAlign w:val="center"/>
          </w:tcPr>
          <w:p w14:paraId="241CF11F" w14:textId="77777777" w:rsidR="00AD477C" w:rsidRPr="004C5FCD" w:rsidRDefault="00AD477C" w:rsidP="00451AA0">
            <w:pPr>
              <w:spacing w:line="276" w:lineRule="auto"/>
            </w:pPr>
            <w:r>
              <w:t>66.09</w:t>
            </w:r>
          </w:p>
        </w:tc>
        <w:tc>
          <w:tcPr>
            <w:tcW w:w="1389" w:type="dxa"/>
            <w:gridSpan w:val="2"/>
            <w:shd w:val="clear" w:color="auto" w:fill="auto"/>
            <w:vAlign w:val="center"/>
          </w:tcPr>
          <w:p w14:paraId="055AFB9F" w14:textId="77777777" w:rsidR="00AD477C" w:rsidRPr="004C5FCD" w:rsidRDefault="00AD477C" w:rsidP="00451AA0">
            <w:pPr>
              <w:spacing w:line="276" w:lineRule="auto"/>
            </w:pPr>
            <w:r>
              <w:t>58.26</w:t>
            </w:r>
          </w:p>
        </w:tc>
        <w:tc>
          <w:tcPr>
            <w:tcW w:w="1389" w:type="dxa"/>
            <w:gridSpan w:val="2"/>
            <w:shd w:val="clear" w:color="auto" w:fill="auto"/>
            <w:vAlign w:val="center"/>
          </w:tcPr>
          <w:p w14:paraId="0E73AF92" w14:textId="77777777" w:rsidR="00AD477C" w:rsidRPr="004C5FCD" w:rsidRDefault="00AD477C" w:rsidP="00451AA0">
            <w:pPr>
              <w:spacing w:line="276" w:lineRule="auto"/>
            </w:pPr>
            <w:r>
              <w:t>54.78</w:t>
            </w:r>
          </w:p>
        </w:tc>
        <w:tc>
          <w:tcPr>
            <w:tcW w:w="1389" w:type="dxa"/>
            <w:gridSpan w:val="2"/>
            <w:shd w:val="clear" w:color="auto" w:fill="auto"/>
            <w:vAlign w:val="center"/>
          </w:tcPr>
          <w:p w14:paraId="07233F59" w14:textId="77777777" w:rsidR="00AD477C" w:rsidRPr="004C5FCD" w:rsidRDefault="00AD477C" w:rsidP="00451AA0">
            <w:pPr>
              <w:spacing w:line="276" w:lineRule="auto"/>
            </w:pPr>
            <w:r>
              <w:t>52.17</w:t>
            </w:r>
          </w:p>
        </w:tc>
        <w:tc>
          <w:tcPr>
            <w:tcW w:w="1305" w:type="dxa"/>
            <w:gridSpan w:val="2"/>
            <w:shd w:val="clear" w:color="auto" w:fill="auto"/>
            <w:vAlign w:val="center"/>
          </w:tcPr>
          <w:p w14:paraId="6E41DB7F" w14:textId="77777777" w:rsidR="00AD477C" w:rsidRPr="004C5FCD" w:rsidRDefault="00AD477C" w:rsidP="00451AA0">
            <w:pPr>
              <w:spacing w:line="276" w:lineRule="auto"/>
            </w:pPr>
            <w:r>
              <w:t>48.70</w:t>
            </w:r>
          </w:p>
        </w:tc>
        <w:tc>
          <w:tcPr>
            <w:tcW w:w="1701" w:type="dxa"/>
            <w:gridSpan w:val="2"/>
            <w:shd w:val="clear" w:color="auto" w:fill="auto"/>
            <w:vAlign w:val="center"/>
          </w:tcPr>
          <w:p w14:paraId="6F8E90BE" w14:textId="77777777" w:rsidR="00AD477C" w:rsidRPr="004C5FCD" w:rsidRDefault="00AD477C" w:rsidP="00451AA0">
            <w:pPr>
              <w:spacing w:line="276" w:lineRule="auto"/>
            </w:pPr>
            <w:r>
              <w:t>81</w:t>
            </w:r>
          </w:p>
        </w:tc>
      </w:tr>
      <w:tr w:rsidR="00AD477C" w:rsidRPr="00EB6425" w14:paraId="7B99D8CE" w14:textId="77777777" w:rsidTr="00C21202">
        <w:trPr>
          <w:trHeight w:val="167"/>
        </w:trPr>
        <w:tc>
          <w:tcPr>
            <w:tcW w:w="14317" w:type="dxa"/>
            <w:gridSpan w:val="18"/>
            <w:shd w:val="clear" w:color="auto" w:fill="auto"/>
            <w:vAlign w:val="center"/>
          </w:tcPr>
          <w:p w14:paraId="14E3A0BB" w14:textId="77777777" w:rsidR="00AD477C" w:rsidRDefault="00AD477C" w:rsidP="00451AA0">
            <w:pPr>
              <w:spacing w:line="276" w:lineRule="auto"/>
            </w:pPr>
          </w:p>
        </w:tc>
      </w:tr>
      <w:tr w:rsidR="00AD477C" w:rsidRPr="00EB6425" w14:paraId="47467657" w14:textId="77777777" w:rsidTr="00AD477C">
        <w:trPr>
          <w:trHeight w:val="167"/>
        </w:trPr>
        <w:tc>
          <w:tcPr>
            <w:tcW w:w="14317" w:type="dxa"/>
            <w:gridSpan w:val="18"/>
            <w:shd w:val="clear" w:color="auto" w:fill="auto"/>
            <w:vAlign w:val="center"/>
          </w:tcPr>
          <w:p w14:paraId="581F63DA" w14:textId="322F03C6" w:rsidR="00AD477C" w:rsidRPr="007F4955" w:rsidRDefault="00AD477C" w:rsidP="00AD477C">
            <w:pPr>
              <w:spacing w:line="276" w:lineRule="auto"/>
              <w:rPr>
                <w:b/>
              </w:rPr>
            </w:pPr>
            <w:r w:rsidRPr="007F4955">
              <w:rPr>
                <w:b/>
              </w:rPr>
              <w:t xml:space="preserve">Panel </w:t>
            </w:r>
            <w:r>
              <w:rPr>
                <w:b/>
              </w:rPr>
              <w:t>C</w:t>
            </w:r>
            <w:r w:rsidRPr="007F4955">
              <w:rPr>
                <w:b/>
              </w:rPr>
              <w:t>: Time Frame of Proceeds Utilization</w:t>
            </w:r>
          </w:p>
        </w:tc>
      </w:tr>
      <w:tr w:rsidR="00AD477C" w:rsidRPr="00EB6425" w14:paraId="508E2540" w14:textId="77777777" w:rsidTr="00AD477C">
        <w:trPr>
          <w:trHeight w:val="167"/>
        </w:trPr>
        <w:tc>
          <w:tcPr>
            <w:tcW w:w="14317" w:type="dxa"/>
            <w:gridSpan w:val="18"/>
            <w:shd w:val="clear" w:color="auto" w:fill="auto"/>
            <w:vAlign w:val="center"/>
          </w:tcPr>
          <w:p w14:paraId="7536C0C4" w14:textId="50B09127" w:rsidR="00AD477C" w:rsidRDefault="00AD477C" w:rsidP="00AD477C">
            <w:pPr>
              <w:spacing w:line="276" w:lineRule="auto"/>
              <w:ind w:left="142"/>
              <w:jc w:val="left"/>
            </w:pPr>
            <w:r w:rsidRPr="004C5FCD">
              <w:t>Growth Opportunities</w:t>
            </w:r>
            <w:r>
              <w:t xml:space="preserve"> (months)</w:t>
            </w:r>
          </w:p>
        </w:tc>
      </w:tr>
      <w:tr w:rsidR="00AD477C" w:rsidRPr="00EB6425" w14:paraId="4FCF781E" w14:textId="77777777" w:rsidTr="00AD477C">
        <w:trPr>
          <w:trHeight w:val="167"/>
        </w:trPr>
        <w:tc>
          <w:tcPr>
            <w:tcW w:w="1276" w:type="dxa"/>
            <w:shd w:val="clear" w:color="auto" w:fill="auto"/>
            <w:vAlign w:val="center"/>
          </w:tcPr>
          <w:p w14:paraId="7837E070" w14:textId="77777777" w:rsidR="00AD477C" w:rsidRPr="004C5FCD" w:rsidRDefault="00AD477C" w:rsidP="00AD477C">
            <w:pPr>
              <w:spacing w:line="276" w:lineRule="auto"/>
              <w:ind w:firstLine="142"/>
              <w:jc w:val="left"/>
            </w:pPr>
            <w:r>
              <w:t>(0 – 12)</w:t>
            </w:r>
          </w:p>
        </w:tc>
        <w:tc>
          <w:tcPr>
            <w:tcW w:w="1701" w:type="dxa"/>
            <w:shd w:val="clear" w:color="auto" w:fill="auto"/>
          </w:tcPr>
          <w:p w14:paraId="12AA20E0" w14:textId="77777777" w:rsidR="00AD477C" w:rsidRPr="004C5FCD" w:rsidRDefault="00AD477C" w:rsidP="00451AA0">
            <w:pPr>
              <w:spacing w:line="276" w:lineRule="auto"/>
            </w:pPr>
            <w:r>
              <w:t>182</w:t>
            </w:r>
          </w:p>
        </w:tc>
        <w:tc>
          <w:tcPr>
            <w:tcW w:w="1389" w:type="dxa"/>
            <w:gridSpan w:val="2"/>
            <w:shd w:val="clear" w:color="auto" w:fill="auto"/>
            <w:vAlign w:val="center"/>
          </w:tcPr>
          <w:p w14:paraId="23BBF257" w14:textId="77777777" w:rsidR="00AD477C" w:rsidRPr="004C5FCD" w:rsidRDefault="00AD477C" w:rsidP="00451AA0">
            <w:pPr>
              <w:spacing w:line="276" w:lineRule="auto"/>
            </w:pPr>
            <w:r>
              <w:t>86.26</w:t>
            </w:r>
          </w:p>
        </w:tc>
        <w:tc>
          <w:tcPr>
            <w:tcW w:w="1389" w:type="dxa"/>
            <w:gridSpan w:val="2"/>
            <w:shd w:val="clear" w:color="auto" w:fill="auto"/>
            <w:vAlign w:val="center"/>
          </w:tcPr>
          <w:p w14:paraId="7C4CB996" w14:textId="77777777" w:rsidR="00AD477C" w:rsidRPr="004C5FCD" w:rsidRDefault="00AD477C" w:rsidP="00451AA0">
            <w:pPr>
              <w:spacing w:line="276" w:lineRule="auto"/>
            </w:pPr>
            <w:r>
              <w:t>77.47</w:t>
            </w:r>
          </w:p>
        </w:tc>
        <w:tc>
          <w:tcPr>
            <w:tcW w:w="1389" w:type="dxa"/>
            <w:gridSpan w:val="2"/>
            <w:shd w:val="clear" w:color="auto" w:fill="auto"/>
            <w:vAlign w:val="center"/>
          </w:tcPr>
          <w:p w14:paraId="2678A25C" w14:textId="77777777" w:rsidR="00AD477C" w:rsidRPr="004C5FCD" w:rsidRDefault="00AD477C" w:rsidP="00451AA0">
            <w:pPr>
              <w:spacing w:line="276" w:lineRule="auto"/>
            </w:pPr>
            <w:r>
              <w:t>73.63</w:t>
            </w:r>
          </w:p>
        </w:tc>
        <w:tc>
          <w:tcPr>
            <w:tcW w:w="1389" w:type="dxa"/>
            <w:gridSpan w:val="2"/>
            <w:shd w:val="clear" w:color="auto" w:fill="auto"/>
            <w:vAlign w:val="center"/>
          </w:tcPr>
          <w:p w14:paraId="7CF9686D" w14:textId="77777777" w:rsidR="00AD477C" w:rsidRPr="004C5FCD" w:rsidRDefault="00AD477C" w:rsidP="00451AA0">
            <w:pPr>
              <w:spacing w:line="276" w:lineRule="auto"/>
            </w:pPr>
            <w:r>
              <w:t>65.93</w:t>
            </w:r>
          </w:p>
        </w:tc>
        <w:tc>
          <w:tcPr>
            <w:tcW w:w="1389" w:type="dxa"/>
            <w:gridSpan w:val="2"/>
            <w:shd w:val="clear" w:color="auto" w:fill="auto"/>
            <w:vAlign w:val="center"/>
          </w:tcPr>
          <w:p w14:paraId="072828F8" w14:textId="77777777" w:rsidR="00AD477C" w:rsidRPr="004C5FCD" w:rsidRDefault="00AD477C" w:rsidP="00451AA0">
            <w:pPr>
              <w:spacing w:line="276" w:lineRule="auto"/>
            </w:pPr>
            <w:r>
              <w:t>62.09</w:t>
            </w:r>
          </w:p>
        </w:tc>
        <w:tc>
          <w:tcPr>
            <w:tcW w:w="1389" w:type="dxa"/>
            <w:gridSpan w:val="2"/>
            <w:shd w:val="clear" w:color="auto" w:fill="auto"/>
            <w:vAlign w:val="center"/>
          </w:tcPr>
          <w:p w14:paraId="2AB85FE0" w14:textId="77777777" w:rsidR="00AD477C" w:rsidRPr="004C5FCD" w:rsidRDefault="00AD477C" w:rsidP="00451AA0">
            <w:pPr>
              <w:spacing w:line="276" w:lineRule="auto"/>
            </w:pPr>
            <w:r>
              <w:t>58.24</w:t>
            </w:r>
          </w:p>
        </w:tc>
        <w:tc>
          <w:tcPr>
            <w:tcW w:w="1389" w:type="dxa"/>
            <w:gridSpan w:val="3"/>
            <w:shd w:val="clear" w:color="auto" w:fill="auto"/>
            <w:vAlign w:val="center"/>
          </w:tcPr>
          <w:p w14:paraId="7E42ED89" w14:textId="77777777" w:rsidR="00AD477C" w:rsidRPr="004C5FCD" w:rsidRDefault="00AD477C" w:rsidP="00451AA0">
            <w:pPr>
              <w:spacing w:line="276" w:lineRule="auto"/>
            </w:pPr>
            <w:r>
              <w:t>54.40</w:t>
            </w:r>
          </w:p>
        </w:tc>
        <w:tc>
          <w:tcPr>
            <w:tcW w:w="1617" w:type="dxa"/>
            <w:shd w:val="clear" w:color="auto" w:fill="auto"/>
            <w:vAlign w:val="center"/>
          </w:tcPr>
          <w:p w14:paraId="689FA6D0" w14:textId="77777777" w:rsidR="00AD477C" w:rsidRDefault="00AD477C" w:rsidP="00451AA0">
            <w:pPr>
              <w:spacing w:line="276" w:lineRule="auto"/>
            </w:pPr>
            <w:r>
              <w:t>102</w:t>
            </w:r>
          </w:p>
        </w:tc>
      </w:tr>
      <w:tr w:rsidR="00AD477C" w:rsidRPr="00EB6425" w14:paraId="44C31311" w14:textId="77777777" w:rsidTr="00AD477C">
        <w:trPr>
          <w:trHeight w:val="167"/>
        </w:trPr>
        <w:tc>
          <w:tcPr>
            <w:tcW w:w="1276" w:type="dxa"/>
            <w:shd w:val="clear" w:color="auto" w:fill="auto"/>
            <w:vAlign w:val="center"/>
          </w:tcPr>
          <w:p w14:paraId="653FE8B8" w14:textId="77777777" w:rsidR="00AD477C" w:rsidRPr="004C5FCD" w:rsidRDefault="00AD477C" w:rsidP="00AD477C">
            <w:pPr>
              <w:spacing w:line="276" w:lineRule="auto"/>
              <w:ind w:firstLine="142"/>
              <w:jc w:val="left"/>
            </w:pPr>
            <w:r>
              <w:t>(13 – 24)</w:t>
            </w:r>
          </w:p>
        </w:tc>
        <w:tc>
          <w:tcPr>
            <w:tcW w:w="1701" w:type="dxa"/>
            <w:shd w:val="clear" w:color="auto" w:fill="auto"/>
          </w:tcPr>
          <w:p w14:paraId="5FCFC22B" w14:textId="77777777" w:rsidR="00AD477C" w:rsidRPr="004C5FCD" w:rsidRDefault="00AD477C" w:rsidP="00451AA0">
            <w:pPr>
              <w:spacing w:line="276" w:lineRule="auto"/>
            </w:pPr>
            <w:r>
              <w:t>168</w:t>
            </w:r>
          </w:p>
        </w:tc>
        <w:tc>
          <w:tcPr>
            <w:tcW w:w="1389" w:type="dxa"/>
            <w:gridSpan w:val="2"/>
            <w:shd w:val="clear" w:color="auto" w:fill="auto"/>
            <w:vAlign w:val="center"/>
          </w:tcPr>
          <w:p w14:paraId="4058D7F8" w14:textId="77777777" w:rsidR="00AD477C" w:rsidRPr="004C5FCD" w:rsidRDefault="00AD477C" w:rsidP="00451AA0">
            <w:pPr>
              <w:spacing w:line="276" w:lineRule="auto"/>
            </w:pPr>
            <w:r>
              <w:t>75.60</w:t>
            </w:r>
          </w:p>
        </w:tc>
        <w:tc>
          <w:tcPr>
            <w:tcW w:w="1389" w:type="dxa"/>
            <w:gridSpan w:val="2"/>
            <w:shd w:val="clear" w:color="auto" w:fill="auto"/>
            <w:vAlign w:val="center"/>
          </w:tcPr>
          <w:p w14:paraId="2B621199" w14:textId="77777777" w:rsidR="00AD477C" w:rsidRPr="004C5FCD" w:rsidRDefault="00AD477C" w:rsidP="00451AA0">
            <w:pPr>
              <w:spacing w:line="276" w:lineRule="auto"/>
            </w:pPr>
            <w:r>
              <w:t>70.24</w:t>
            </w:r>
          </w:p>
        </w:tc>
        <w:tc>
          <w:tcPr>
            <w:tcW w:w="1389" w:type="dxa"/>
            <w:gridSpan w:val="2"/>
            <w:shd w:val="clear" w:color="auto" w:fill="auto"/>
            <w:vAlign w:val="center"/>
          </w:tcPr>
          <w:p w14:paraId="6C49DF84" w14:textId="77777777" w:rsidR="00AD477C" w:rsidRPr="004C5FCD" w:rsidRDefault="00AD477C" w:rsidP="00451AA0">
            <w:pPr>
              <w:spacing w:line="276" w:lineRule="auto"/>
            </w:pPr>
            <w:r>
              <w:t>64.88</w:t>
            </w:r>
          </w:p>
        </w:tc>
        <w:tc>
          <w:tcPr>
            <w:tcW w:w="1389" w:type="dxa"/>
            <w:gridSpan w:val="2"/>
            <w:shd w:val="clear" w:color="auto" w:fill="auto"/>
            <w:vAlign w:val="center"/>
          </w:tcPr>
          <w:p w14:paraId="6910A8FC" w14:textId="77777777" w:rsidR="00AD477C" w:rsidRPr="004C5FCD" w:rsidRDefault="00AD477C" w:rsidP="00451AA0">
            <w:pPr>
              <w:spacing w:line="276" w:lineRule="auto"/>
            </w:pPr>
            <w:r>
              <w:t>57.74</w:t>
            </w:r>
          </w:p>
        </w:tc>
        <w:tc>
          <w:tcPr>
            <w:tcW w:w="1389" w:type="dxa"/>
            <w:gridSpan w:val="2"/>
            <w:shd w:val="clear" w:color="auto" w:fill="auto"/>
            <w:vAlign w:val="center"/>
          </w:tcPr>
          <w:p w14:paraId="3F2FCA40" w14:textId="77777777" w:rsidR="00AD477C" w:rsidRPr="004C5FCD" w:rsidRDefault="00AD477C" w:rsidP="00451AA0">
            <w:pPr>
              <w:spacing w:line="276" w:lineRule="auto"/>
            </w:pPr>
            <w:r>
              <w:t>54.76</w:t>
            </w:r>
          </w:p>
        </w:tc>
        <w:tc>
          <w:tcPr>
            <w:tcW w:w="1389" w:type="dxa"/>
            <w:gridSpan w:val="2"/>
            <w:shd w:val="clear" w:color="auto" w:fill="auto"/>
            <w:vAlign w:val="center"/>
          </w:tcPr>
          <w:p w14:paraId="276ED903" w14:textId="77777777" w:rsidR="00AD477C" w:rsidRPr="004C5FCD" w:rsidRDefault="00AD477C" w:rsidP="00451AA0">
            <w:pPr>
              <w:spacing w:line="276" w:lineRule="auto"/>
            </w:pPr>
            <w:r>
              <w:t>52.38</w:t>
            </w:r>
          </w:p>
        </w:tc>
        <w:tc>
          <w:tcPr>
            <w:tcW w:w="1389" w:type="dxa"/>
            <w:gridSpan w:val="3"/>
            <w:shd w:val="clear" w:color="auto" w:fill="auto"/>
            <w:vAlign w:val="center"/>
          </w:tcPr>
          <w:p w14:paraId="628800CF" w14:textId="77777777" w:rsidR="00AD477C" w:rsidRPr="004C5FCD" w:rsidRDefault="00AD477C" w:rsidP="00451AA0">
            <w:pPr>
              <w:spacing w:line="276" w:lineRule="auto"/>
            </w:pPr>
            <w:r>
              <w:t>49.99</w:t>
            </w:r>
          </w:p>
        </w:tc>
        <w:tc>
          <w:tcPr>
            <w:tcW w:w="1617" w:type="dxa"/>
            <w:shd w:val="clear" w:color="auto" w:fill="auto"/>
            <w:vAlign w:val="center"/>
          </w:tcPr>
          <w:p w14:paraId="1693F24C" w14:textId="77777777" w:rsidR="00AD477C" w:rsidRDefault="00AD477C" w:rsidP="00451AA0">
            <w:pPr>
              <w:spacing w:line="276" w:lineRule="auto"/>
            </w:pPr>
            <w:r>
              <w:t>81</w:t>
            </w:r>
          </w:p>
        </w:tc>
      </w:tr>
      <w:tr w:rsidR="00AD477C" w:rsidRPr="00EB6425" w14:paraId="5452510B" w14:textId="77777777" w:rsidTr="00AD477C">
        <w:trPr>
          <w:trHeight w:val="167"/>
        </w:trPr>
        <w:tc>
          <w:tcPr>
            <w:tcW w:w="1276" w:type="dxa"/>
            <w:shd w:val="clear" w:color="auto" w:fill="auto"/>
            <w:vAlign w:val="center"/>
          </w:tcPr>
          <w:p w14:paraId="0ABF5BA1" w14:textId="77777777" w:rsidR="00AD477C" w:rsidRPr="004C5FCD" w:rsidRDefault="00AD477C" w:rsidP="00AD477C">
            <w:pPr>
              <w:spacing w:line="276" w:lineRule="auto"/>
              <w:ind w:firstLine="142"/>
              <w:jc w:val="left"/>
            </w:pPr>
            <w:r>
              <w:t>(&gt; 24)</w:t>
            </w:r>
          </w:p>
        </w:tc>
        <w:tc>
          <w:tcPr>
            <w:tcW w:w="1701" w:type="dxa"/>
            <w:shd w:val="clear" w:color="auto" w:fill="auto"/>
          </w:tcPr>
          <w:p w14:paraId="6A2AEAE7" w14:textId="77777777" w:rsidR="00AD477C" w:rsidRPr="004C5FCD" w:rsidRDefault="00AD477C" w:rsidP="00451AA0">
            <w:pPr>
              <w:spacing w:line="276" w:lineRule="auto"/>
            </w:pPr>
            <w:r>
              <w:t>73</w:t>
            </w:r>
          </w:p>
        </w:tc>
        <w:tc>
          <w:tcPr>
            <w:tcW w:w="1389" w:type="dxa"/>
            <w:gridSpan w:val="2"/>
            <w:shd w:val="clear" w:color="auto" w:fill="auto"/>
            <w:vAlign w:val="center"/>
          </w:tcPr>
          <w:p w14:paraId="0B82A1B3" w14:textId="77777777" w:rsidR="00AD477C" w:rsidRPr="004C5FCD" w:rsidRDefault="00AD477C" w:rsidP="00451AA0">
            <w:pPr>
              <w:spacing w:line="276" w:lineRule="auto"/>
            </w:pPr>
            <w:r>
              <w:t>84.93</w:t>
            </w:r>
          </w:p>
        </w:tc>
        <w:tc>
          <w:tcPr>
            <w:tcW w:w="1389" w:type="dxa"/>
            <w:gridSpan w:val="2"/>
            <w:shd w:val="clear" w:color="auto" w:fill="auto"/>
            <w:vAlign w:val="center"/>
          </w:tcPr>
          <w:p w14:paraId="2D81F438" w14:textId="77777777" w:rsidR="00AD477C" w:rsidRPr="004C5FCD" w:rsidRDefault="00AD477C" w:rsidP="00451AA0">
            <w:pPr>
              <w:spacing w:line="276" w:lineRule="auto"/>
            </w:pPr>
            <w:r>
              <w:t>75.34</w:t>
            </w:r>
          </w:p>
        </w:tc>
        <w:tc>
          <w:tcPr>
            <w:tcW w:w="1389" w:type="dxa"/>
            <w:gridSpan w:val="2"/>
            <w:shd w:val="clear" w:color="auto" w:fill="auto"/>
            <w:vAlign w:val="center"/>
          </w:tcPr>
          <w:p w14:paraId="6D82D7EA" w14:textId="77777777" w:rsidR="00AD477C" w:rsidRPr="004C5FCD" w:rsidRDefault="00AD477C" w:rsidP="00451AA0">
            <w:pPr>
              <w:spacing w:line="276" w:lineRule="auto"/>
            </w:pPr>
            <w:r>
              <w:t>67.12</w:t>
            </w:r>
          </w:p>
        </w:tc>
        <w:tc>
          <w:tcPr>
            <w:tcW w:w="1389" w:type="dxa"/>
            <w:gridSpan w:val="2"/>
            <w:shd w:val="clear" w:color="auto" w:fill="auto"/>
            <w:vAlign w:val="center"/>
          </w:tcPr>
          <w:p w14:paraId="4FA22877" w14:textId="77777777" w:rsidR="00AD477C" w:rsidRPr="004C5FCD" w:rsidRDefault="00AD477C" w:rsidP="00451AA0">
            <w:pPr>
              <w:spacing w:line="276" w:lineRule="auto"/>
            </w:pPr>
            <w:r>
              <w:t>67.12</w:t>
            </w:r>
          </w:p>
        </w:tc>
        <w:tc>
          <w:tcPr>
            <w:tcW w:w="1389" w:type="dxa"/>
            <w:gridSpan w:val="2"/>
            <w:shd w:val="clear" w:color="auto" w:fill="auto"/>
            <w:vAlign w:val="center"/>
          </w:tcPr>
          <w:p w14:paraId="1AF72BD5" w14:textId="77777777" w:rsidR="00AD477C" w:rsidRPr="004C5FCD" w:rsidRDefault="00AD477C" w:rsidP="00451AA0">
            <w:pPr>
              <w:spacing w:line="276" w:lineRule="auto"/>
            </w:pPr>
            <w:r>
              <w:t>65.75</w:t>
            </w:r>
          </w:p>
        </w:tc>
        <w:tc>
          <w:tcPr>
            <w:tcW w:w="1389" w:type="dxa"/>
            <w:gridSpan w:val="2"/>
            <w:shd w:val="clear" w:color="auto" w:fill="auto"/>
            <w:vAlign w:val="center"/>
          </w:tcPr>
          <w:p w14:paraId="1759529D" w14:textId="77777777" w:rsidR="00AD477C" w:rsidRPr="004C5FCD" w:rsidRDefault="00AD477C" w:rsidP="00451AA0">
            <w:pPr>
              <w:spacing w:line="276" w:lineRule="auto"/>
            </w:pPr>
            <w:r>
              <w:t>60.27</w:t>
            </w:r>
          </w:p>
        </w:tc>
        <w:tc>
          <w:tcPr>
            <w:tcW w:w="1389" w:type="dxa"/>
            <w:gridSpan w:val="3"/>
            <w:shd w:val="clear" w:color="auto" w:fill="auto"/>
            <w:vAlign w:val="center"/>
          </w:tcPr>
          <w:p w14:paraId="58C30868" w14:textId="77777777" w:rsidR="00AD477C" w:rsidRPr="004C5FCD" w:rsidRDefault="00AD477C" w:rsidP="00451AA0">
            <w:pPr>
              <w:spacing w:line="276" w:lineRule="auto"/>
            </w:pPr>
            <w:r>
              <w:t>57.50</w:t>
            </w:r>
          </w:p>
        </w:tc>
        <w:tc>
          <w:tcPr>
            <w:tcW w:w="1617" w:type="dxa"/>
            <w:shd w:val="clear" w:color="auto" w:fill="auto"/>
            <w:vAlign w:val="center"/>
          </w:tcPr>
          <w:p w14:paraId="4D266089" w14:textId="77777777" w:rsidR="00AD477C" w:rsidRDefault="00AD477C" w:rsidP="00451AA0">
            <w:pPr>
              <w:spacing w:line="276" w:lineRule="auto"/>
            </w:pPr>
            <w:r>
              <w:t>151</w:t>
            </w:r>
          </w:p>
        </w:tc>
      </w:tr>
      <w:tr w:rsidR="00AD477C" w:rsidRPr="00EB6425" w14:paraId="63D00DDD" w14:textId="77777777" w:rsidTr="00AD477C">
        <w:trPr>
          <w:trHeight w:val="167"/>
        </w:trPr>
        <w:tc>
          <w:tcPr>
            <w:tcW w:w="14317" w:type="dxa"/>
            <w:gridSpan w:val="18"/>
            <w:shd w:val="clear" w:color="auto" w:fill="auto"/>
            <w:vAlign w:val="center"/>
          </w:tcPr>
          <w:p w14:paraId="128A6EF9" w14:textId="55525C09" w:rsidR="00AD477C" w:rsidRPr="003D05C6" w:rsidRDefault="00AD477C" w:rsidP="00451AA0">
            <w:pPr>
              <w:jc w:val="both"/>
              <w:rPr>
                <w:color w:val="000000"/>
                <w:lang w:val="en-MY"/>
              </w:rPr>
            </w:pPr>
          </w:p>
        </w:tc>
      </w:tr>
      <w:tr w:rsidR="00AD477C" w:rsidRPr="00EB6425" w14:paraId="79204370" w14:textId="77777777" w:rsidTr="00AD477C">
        <w:trPr>
          <w:trHeight w:val="167"/>
        </w:trPr>
        <w:tc>
          <w:tcPr>
            <w:tcW w:w="14317" w:type="dxa"/>
            <w:gridSpan w:val="18"/>
            <w:shd w:val="clear" w:color="auto" w:fill="auto"/>
            <w:vAlign w:val="center"/>
          </w:tcPr>
          <w:p w14:paraId="3FB0B519" w14:textId="77777777" w:rsidR="00AD477C" w:rsidRDefault="00AD477C" w:rsidP="00AD477C">
            <w:pPr>
              <w:spacing w:line="276" w:lineRule="auto"/>
              <w:ind w:left="142"/>
              <w:jc w:val="left"/>
            </w:pPr>
            <w:r w:rsidRPr="004C5FCD">
              <w:t>Debt Repayment</w:t>
            </w:r>
            <w:r>
              <w:t xml:space="preserve"> (months)</w:t>
            </w:r>
          </w:p>
        </w:tc>
      </w:tr>
      <w:tr w:rsidR="00AD477C" w:rsidRPr="00EB6425" w14:paraId="6AFFBB99" w14:textId="77777777" w:rsidTr="00AD477C">
        <w:trPr>
          <w:trHeight w:val="167"/>
        </w:trPr>
        <w:tc>
          <w:tcPr>
            <w:tcW w:w="1276" w:type="dxa"/>
            <w:shd w:val="clear" w:color="auto" w:fill="auto"/>
            <w:vAlign w:val="center"/>
          </w:tcPr>
          <w:p w14:paraId="65C82B34" w14:textId="77777777" w:rsidR="00AD477C" w:rsidRPr="004C5FCD" w:rsidRDefault="00AD477C" w:rsidP="00AD477C">
            <w:pPr>
              <w:spacing w:line="276" w:lineRule="auto"/>
              <w:ind w:firstLine="142"/>
              <w:jc w:val="left"/>
            </w:pPr>
            <w:r>
              <w:t>(0 – 12)</w:t>
            </w:r>
          </w:p>
        </w:tc>
        <w:tc>
          <w:tcPr>
            <w:tcW w:w="1701" w:type="dxa"/>
            <w:shd w:val="clear" w:color="auto" w:fill="auto"/>
          </w:tcPr>
          <w:p w14:paraId="4B2E4C1F" w14:textId="77777777" w:rsidR="00AD477C" w:rsidRPr="004C5FCD" w:rsidRDefault="00AD477C" w:rsidP="00451AA0">
            <w:pPr>
              <w:spacing w:line="276" w:lineRule="auto"/>
            </w:pPr>
            <w:r>
              <w:t>403</w:t>
            </w:r>
          </w:p>
        </w:tc>
        <w:tc>
          <w:tcPr>
            <w:tcW w:w="1389" w:type="dxa"/>
            <w:gridSpan w:val="2"/>
            <w:shd w:val="clear" w:color="auto" w:fill="auto"/>
            <w:vAlign w:val="center"/>
          </w:tcPr>
          <w:p w14:paraId="4A2B201F" w14:textId="77777777" w:rsidR="00AD477C" w:rsidRPr="004C5FCD" w:rsidRDefault="00AD477C" w:rsidP="00451AA0">
            <w:pPr>
              <w:spacing w:line="276" w:lineRule="auto"/>
            </w:pPr>
            <w:r>
              <w:t>81.64</w:t>
            </w:r>
          </w:p>
        </w:tc>
        <w:tc>
          <w:tcPr>
            <w:tcW w:w="1389" w:type="dxa"/>
            <w:gridSpan w:val="2"/>
            <w:shd w:val="clear" w:color="auto" w:fill="auto"/>
            <w:vAlign w:val="center"/>
          </w:tcPr>
          <w:p w14:paraId="737C1D73" w14:textId="77777777" w:rsidR="00AD477C" w:rsidRPr="004C5FCD" w:rsidRDefault="00AD477C" w:rsidP="00451AA0">
            <w:pPr>
              <w:spacing w:line="276" w:lineRule="auto"/>
            </w:pPr>
            <w:r>
              <w:t>74.19</w:t>
            </w:r>
          </w:p>
        </w:tc>
        <w:tc>
          <w:tcPr>
            <w:tcW w:w="1389" w:type="dxa"/>
            <w:gridSpan w:val="2"/>
            <w:shd w:val="clear" w:color="auto" w:fill="auto"/>
            <w:vAlign w:val="center"/>
          </w:tcPr>
          <w:p w14:paraId="7B82BCF6" w14:textId="77777777" w:rsidR="00AD477C" w:rsidRPr="004C5FCD" w:rsidRDefault="00AD477C" w:rsidP="00451AA0">
            <w:pPr>
              <w:spacing w:line="276" w:lineRule="auto"/>
            </w:pPr>
            <w:r>
              <w:t>68.73</w:t>
            </w:r>
          </w:p>
        </w:tc>
        <w:tc>
          <w:tcPr>
            <w:tcW w:w="1389" w:type="dxa"/>
            <w:gridSpan w:val="2"/>
            <w:shd w:val="clear" w:color="auto" w:fill="auto"/>
            <w:vAlign w:val="center"/>
          </w:tcPr>
          <w:p w14:paraId="619810B1" w14:textId="77777777" w:rsidR="00AD477C" w:rsidRPr="004C5FCD" w:rsidRDefault="00AD477C" w:rsidP="00451AA0">
            <w:pPr>
              <w:spacing w:line="276" w:lineRule="auto"/>
            </w:pPr>
            <w:r>
              <w:t>62.53</w:t>
            </w:r>
          </w:p>
        </w:tc>
        <w:tc>
          <w:tcPr>
            <w:tcW w:w="1389" w:type="dxa"/>
            <w:gridSpan w:val="2"/>
            <w:shd w:val="clear" w:color="auto" w:fill="auto"/>
            <w:vAlign w:val="center"/>
          </w:tcPr>
          <w:p w14:paraId="21C542B9" w14:textId="77777777" w:rsidR="00AD477C" w:rsidRPr="004C5FCD" w:rsidRDefault="00AD477C" w:rsidP="00451AA0">
            <w:pPr>
              <w:spacing w:line="276" w:lineRule="auto"/>
            </w:pPr>
            <w:r>
              <w:t>59.31</w:t>
            </w:r>
          </w:p>
        </w:tc>
        <w:tc>
          <w:tcPr>
            <w:tcW w:w="1389" w:type="dxa"/>
            <w:gridSpan w:val="2"/>
            <w:shd w:val="clear" w:color="auto" w:fill="auto"/>
            <w:vAlign w:val="center"/>
          </w:tcPr>
          <w:p w14:paraId="279D86AE" w14:textId="77777777" w:rsidR="00AD477C" w:rsidRPr="004C5FCD" w:rsidRDefault="00AD477C" w:rsidP="00451AA0">
            <w:pPr>
              <w:spacing w:line="276" w:lineRule="auto"/>
            </w:pPr>
            <w:r>
              <w:t>55.83</w:t>
            </w:r>
          </w:p>
        </w:tc>
        <w:tc>
          <w:tcPr>
            <w:tcW w:w="1389" w:type="dxa"/>
            <w:gridSpan w:val="3"/>
            <w:shd w:val="clear" w:color="auto" w:fill="auto"/>
            <w:vAlign w:val="center"/>
          </w:tcPr>
          <w:p w14:paraId="61448206" w14:textId="77777777" w:rsidR="00AD477C" w:rsidRPr="004C5FCD" w:rsidRDefault="00AD477C" w:rsidP="00451AA0">
            <w:pPr>
              <w:spacing w:line="276" w:lineRule="auto"/>
            </w:pPr>
            <w:r>
              <w:t>52.84</w:t>
            </w:r>
          </w:p>
        </w:tc>
        <w:tc>
          <w:tcPr>
            <w:tcW w:w="1617" w:type="dxa"/>
            <w:shd w:val="clear" w:color="auto" w:fill="auto"/>
            <w:vAlign w:val="center"/>
          </w:tcPr>
          <w:p w14:paraId="1C3CFE98" w14:textId="77777777" w:rsidR="00AD477C" w:rsidRDefault="00AD477C" w:rsidP="00451AA0">
            <w:pPr>
              <w:spacing w:line="276" w:lineRule="auto"/>
            </w:pPr>
            <w:r>
              <w:t>102</w:t>
            </w:r>
          </w:p>
        </w:tc>
      </w:tr>
      <w:tr w:rsidR="00AD477C" w:rsidRPr="00EB6425" w14:paraId="12B1A841" w14:textId="77777777" w:rsidTr="00AD477C">
        <w:trPr>
          <w:trHeight w:val="167"/>
        </w:trPr>
        <w:tc>
          <w:tcPr>
            <w:tcW w:w="1276" w:type="dxa"/>
            <w:shd w:val="clear" w:color="auto" w:fill="auto"/>
            <w:vAlign w:val="center"/>
          </w:tcPr>
          <w:p w14:paraId="6FCCC721" w14:textId="77777777" w:rsidR="00AD477C" w:rsidRPr="004C5FCD" w:rsidRDefault="00AD477C" w:rsidP="00AD477C">
            <w:pPr>
              <w:spacing w:line="276" w:lineRule="auto"/>
              <w:ind w:firstLine="142"/>
              <w:jc w:val="left"/>
            </w:pPr>
            <w:r>
              <w:t>(13 – 24)</w:t>
            </w:r>
          </w:p>
        </w:tc>
        <w:tc>
          <w:tcPr>
            <w:tcW w:w="1701" w:type="dxa"/>
            <w:shd w:val="clear" w:color="auto" w:fill="auto"/>
          </w:tcPr>
          <w:p w14:paraId="1E002238" w14:textId="77777777" w:rsidR="00AD477C" w:rsidRPr="004C5FCD" w:rsidRDefault="00AD477C" w:rsidP="00451AA0">
            <w:pPr>
              <w:spacing w:line="276" w:lineRule="auto"/>
            </w:pPr>
            <w:r>
              <w:t>17</w:t>
            </w:r>
          </w:p>
        </w:tc>
        <w:tc>
          <w:tcPr>
            <w:tcW w:w="1389" w:type="dxa"/>
            <w:gridSpan w:val="2"/>
            <w:shd w:val="clear" w:color="auto" w:fill="auto"/>
            <w:vAlign w:val="center"/>
          </w:tcPr>
          <w:p w14:paraId="062D811C" w14:textId="77777777" w:rsidR="00AD477C" w:rsidRPr="004C5FCD" w:rsidRDefault="00AD477C" w:rsidP="00451AA0">
            <w:pPr>
              <w:spacing w:line="276" w:lineRule="auto"/>
            </w:pPr>
            <w:r>
              <w:t>82.35</w:t>
            </w:r>
          </w:p>
        </w:tc>
        <w:tc>
          <w:tcPr>
            <w:tcW w:w="1389" w:type="dxa"/>
            <w:gridSpan w:val="2"/>
            <w:shd w:val="clear" w:color="auto" w:fill="auto"/>
            <w:vAlign w:val="center"/>
          </w:tcPr>
          <w:p w14:paraId="1ABEBC95" w14:textId="77777777" w:rsidR="00AD477C" w:rsidRPr="004C5FCD" w:rsidRDefault="00AD477C" w:rsidP="00451AA0">
            <w:pPr>
              <w:spacing w:line="276" w:lineRule="auto"/>
            </w:pPr>
            <w:r>
              <w:t>76.47</w:t>
            </w:r>
          </w:p>
        </w:tc>
        <w:tc>
          <w:tcPr>
            <w:tcW w:w="1389" w:type="dxa"/>
            <w:gridSpan w:val="2"/>
            <w:shd w:val="clear" w:color="auto" w:fill="auto"/>
            <w:vAlign w:val="center"/>
          </w:tcPr>
          <w:p w14:paraId="22555674" w14:textId="77777777" w:rsidR="00AD477C" w:rsidRPr="004C5FCD" w:rsidRDefault="00AD477C" w:rsidP="00451AA0">
            <w:pPr>
              <w:spacing w:line="276" w:lineRule="auto"/>
            </w:pPr>
            <w:r>
              <w:t>76.47</w:t>
            </w:r>
          </w:p>
        </w:tc>
        <w:tc>
          <w:tcPr>
            <w:tcW w:w="1389" w:type="dxa"/>
            <w:gridSpan w:val="2"/>
            <w:shd w:val="clear" w:color="auto" w:fill="auto"/>
            <w:vAlign w:val="center"/>
          </w:tcPr>
          <w:p w14:paraId="3EE26E11" w14:textId="77777777" w:rsidR="00AD477C" w:rsidRPr="004C5FCD" w:rsidRDefault="00AD477C" w:rsidP="00451AA0">
            <w:pPr>
              <w:spacing w:line="276" w:lineRule="auto"/>
            </w:pPr>
            <w:r>
              <w:t>70.59</w:t>
            </w:r>
          </w:p>
        </w:tc>
        <w:tc>
          <w:tcPr>
            <w:tcW w:w="1389" w:type="dxa"/>
            <w:gridSpan w:val="2"/>
            <w:shd w:val="clear" w:color="auto" w:fill="auto"/>
            <w:vAlign w:val="center"/>
          </w:tcPr>
          <w:p w14:paraId="0FA5586C" w14:textId="77777777" w:rsidR="00AD477C" w:rsidRPr="004C5FCD" w:rsidRDefault="00AD477C" w:rsidP="00451AA0">
            <w:pPr>
              <w:spacing w:line="276" w:lineRule="auto"/>
            </w:pPr>
            <w:r>
              <w:t>70.59</w:t>
            </w:r>
          </w:p>
        </w:tc>
        <w:tc>
          <w:tcPr>
            <w:tcW w:w="1389" w:type="dxa"/>
            <w:gridSpan w:val="2"/>
            <w:shd w:val="clear" w:color="auto" w:fill="auto"/>
            <w:vAlign w:val="center"/>
          </w:tcPr>
          <w:p w14:paraId="553DDD55" w14:textId="77777777" w:rsidR="00AD477C" w:rsidRPr="004C5FCD" w:rsidRDefault="00AD477C" w:rsidP="00451AA0">
            <w:pPr>
              <w:spacing w:line="276" w:lineRule="auto"/>
            </w:pPr>
            <w:r>
              <w:t>64.71</w:t>
            </w:r>
          </w:p>
        </w:tc>
        <w:tc>
          <w:tcPr>
            <w:tcW w:w="1389" w:type="dxa"/>
            <w:gridSpan w:val="3"/>
            <w:shd w:val="clear" w:color="auto" w:fill="auto"/>
            <w:vAlign w:val="center"/>
          </w:tcPr>
          <w:p w14:paraId="4160E543" w14:textId="77777777" w:rsidR="00AD477C" w:rsidRPr="004C5FCD" w:rsidRDefault="00AD477C" w:rsidP="00451AA0">
            <w:pPr>
              <w:spacing w:line="276" w:lineRule="auto"/>
            </w:pPr>
            <w:r>
              <w:t>58.82</w:t>
            </w:r>
          </w:p>
        </w:tc>
        <w:tc>
          <w:tcPr>
            <w:tcW w:w="1617" w:type="dxa"/>
            <w:shd w:val="clear" w:color="auto" w:fill="auto"/>
            <w:vAlign w:val="center"/>
          </w:tcPr>
          <w:p w14:paraId="3D481DF2" w14:textId="77777777" w:rsidR="00AD477C" w:rsidRDefault="00AD477C" w:rsidP="00451AA0">
            <w:pPr>
              <w:spacing w:line="276" w:lineRule="auto"/>
            </w:pPr>
            <w:r>
              <w:t>95</w:t>
            </w:r>
          </w:p>
        </w:tc>
      </w:tr>
      <w:tr w:rsidR="00AD477C" w:rsidRPr="00EB6425" w14:paraId="619D8A97" w14:textId="77777777" w:rsidTr="00AD477C">
        <w:trPr>
          <w:trHeight w:val="167"/>
        </w:trPr>
        <w:tc>
          <w:tcPr>
            <w:tcW w:w="1276" w:type="dxa"/>
            <w:shd w:val="clear" w:color="auto" w:fill="auto"/>
            <w:vAlign w:val="center"/>
          </w:tcPr>
          <w:p w14:paraId="44908933" w14:textId="77777777" w:rsidR="00AD477C" w:rsidRDefault="00AD477C" w:rsidP="00AD477C">
            <w:pPr>
              <w:spacing w:line="276" w:lineRule="auto"/>
              <w:ind w:firstLine="142"/>
              <w:jc w:val="left"/>
            </w:pPr>
            <w:r>
              <w:t>(&gt; 24)</w:t>
            </w:r>
          </w:p>
        </w:tc>
        <w:tc>
          <w:tcPr>
            <w:tcW w:w="1701" w:type="dxa"/>
            <w:shd w:val="clear" w:color="auto" w:fill="auto"/>
          </w:tcPr>
          <w:p w14:paraId="77EC3D38" w14:textId="77777777" w:rsidR="00AD477C" w:rsidRDefault="00AD477C" w:rsidP="00451AA0">
            <w:pPr>
              <w:spacing w:line="276" w:lineRule="auto"/>
            </w:pPr>
            <w:r>
              <w:t>3</w:t>
            </w:r>
          </w:p>
        </w:tc>
        <w:tc>
          <w:tcPr>
            <w:tcW w:w="1389" w:type="dxa"/>
            <w:gridSpan w:val="2"/>
            <w:shd w:val="clear" w:color="auto" w:fill="auto"/>
            <w:vAlign w:val="center"/>
          </w:tcPr>
          <w:p w14:paraId="3CF5896D" w14:textId="77777777" w:rsidR="00AD477C" w:rsidRDefault="00AD477C" w:rsidP="00451AA0">
            <w:pPr>
              <w:spacing w:line="276" w:lineRule="auto"/>
            </w:pPr>
            <w:r>
              <w:t>100.00</w:t>
            </w:r>
          </w:p>
        </w:tc>
        <w:tc>
          <w:tcPr>
            <w:tcW w:w="1389" w:type="dxa"/>
            <w:gridSpan w:val="2"/>
            <w:shd w:val="clear" w:color="auto" w:fill="auto"/>
          </w:tcPr>
          <w:p w14:paraId="32A5ECA5" w14:textId="77777777" w:rsidR="00AD477C" w:rsidRDefault="00AD477C" w:rsidP="00451AA0">
            <w:pPr>
              <w:spacing w:line="276" w:lineRule="auto"/>
            </w:pPr>
            <w:r>
              <w:t>66.67</w:t>
            </w:r>
          </w:p>
        </w:tc>
        <w:tc>
          <w:tcPr>
            <w:tcW w:w="1389" w:type="dxa"/>
            <w:gridSpan w:val="2"/>
            <w:shd w:val="clear" w:color="auto" w:fill="auto"/>
          </w:tcPr>
          <w:p w14:paraId="22744BD0" w14:textId="77777777" w:rsidR="00AD477C" w:rsidRDefault="00AD477C" w:rsidP="00451AA0">
            <w:pPr>
              <w:spacing w:line="276" w:lineRule="auto"/>
            </w:pPr>
            <w:r w:rsidRPr="00A050EB">
              <w:t>66.67</w:t>
            </w:r>
          </w:p>
        </w:tc>
        <w:tc>
          <w:tcPr>
            <w:tcW w:w="1389" w:type="dxa"/>
            <w:gridSpan w:val="2"/>
            <w:shd w:val="clear" w:color="auto" w:fill="auto"/>
          </w:tcPr>
          <w:p w14:paraId="628D242E" w14:textId="77777777" w:rsidR="00AD477C" w:rsidRDefault="00AD477C" w:rsidP="00451AA0">
            <w:pPr>
              <w:spacing w:line="276" w:lineRule="auto"/>
            </w:pPr>
            <w:r w:rsidRPr="00A050EB">
              <w:t>66.67</w:t>
            </w:r>
          </w:p>
        </w:tc>
        <w:tc>
          <w:tcPr>
            <w:tcW w:w="1389" w:type="dxa"/>
            <w:gridSpan w:val="2"/>
            <w:shd w:val="clear" w:color="auto" w:fill="auto"/>
          </w:tcPr>
          <w:p w14:paraId="5BB1ECB3" w14:textId="77777777" w:rsidR="00AD477C" w:rsidRDefault="00AD477C" w:rsidP="00451AA0">
            <w:pPr>
              <w:spacing w:line="276" w:lineRule="auto"/>
            </w:pPr>
            <w:r w:rsidRPr="00A050EB">
              <w:t>66.67</w:t>
            </w:r>
          </w:p>
        </w:tc>
        <w:tc>
          <w:tcPr>
            <w:tcW w:w="1389" w:type="dxa"/>
            <w:gridSpan w:val="2"/>
            <w:shd w:val="clear" w:color="auto" w:fill="auto"/>
          </w:tcPr>
          <w:p w14:paraId="53D26FC2" w14:textId="77777777" w:rsidR="00AD477C" w:rsidRDefault="00AD477C" w:rsidP="00451AA0">
            <w:pPr>
              <w:spacing w:line="276" w:lineRule="auto"/>
            </w:pPr>
            <w:r w:rsidRPr="00A050EB">
              <w:t>66.67</w:t>
            </w:r>
          </w:p>
        </w:tc>
        <w:tc>
          <w:tcPr>
            <w:tcW w:w="1389" w:type="dxa"/>
            <w:gridSpan w:val="3"/>
            <w:shd w:val="clear" w:color="auto" w:fill="auto"/>
          </w:tcPr>
          <w:p w14:paraId="4B16526C" w14:textId="77777777" w:rsidR="00AD477C" w:rsidRDefault="00AD477C" w:rsidP="00451AA0">
            <w:pPr>
              <w:spacing w:line="276" w:lineRule="auto"/>
            </w:pPr>
            <w:r w:rsidRPr="00A050EB">
              <w:t>66.67</w:t>
            </w:r>
          </w:p>
        </w:tc>
        <w:tc>
          <w:tcPr>
            <w:tcW w:w="1617" w:type="dxa"/>
            <w:shd w:val="clear" w:color="auto" w:fill="auto"/>
            <w:vAlign w:val="center"/>
          </w:tcPr>
          <w:p w14:paraId="3264D71F" w14:textId="77777777" w:rsidR="00AD477C" w:rsidRDefault="00AD477C" w:rsidP="00451AA0">
            <w:pPr>
              <w:spacing w:line="276" w:lineRule="auto"/>
            </w:pPr>
            <w:r>
              <w:t>201</w:t>
            </w:r>
          </w:p>
        </w:tc>
      </w:tr>
      <w:tr w:rsidR="00AD477C" w:rsidRPr="00EB6425" w14:paraId="25CE1DEC" w14:textId="77777777" w:rsidTr="00AD477C">
        <w:trPr>
          <w:trHeight w:val="167"/>
        </w:trPr>
        <w:tc>
          <w:tcPr>
            <w:tcW w:w="14317" w:type="dxa"/>
            <w:gridSpan w:val="18"/>
            <w:shd w:val="clear" w:color="auto" w:fill="auto"/>
            <w:vAlign w:val="center"/>
          </w:tcPr>
          <w:p w14:paraId="73DAA3E3" w14:textId="77777777" w:rsidR="00AD477C" w:rsidRDefault="00AD477C" w:rsidP="00AD477C">
            <w:pPr>
              <w:spacing w:line="276" w:lineRule="auto"/>
              <w:ind w:left="142"/>
              <w:jc w:val="left"/>
            </w:pPr>
            <w:r w:rsidRPr="004C5FCD">
              <w:t>Working Capital</w:t>
            </w:r>
            <w:r>
              <w:t xml:space="preserve"> (months)</w:t>
            </w:r>
          </w:p>
        </w:tc>
      </w:tr>
      <w:tr w:rsidR="00AD477C" w:rsidRPr="00EB6425" w14:paraId="57F56A80" w14:textId="77777777" w:rsidTr="00AD477C">
        <w:trPr>
          <w:trHeight w:val="167"/>
        </w:trPr>
        <w:tc>
          <w:tcPr>
            <w:tcW w:w="1276" w:type="dxa"/>
            <w:shd w:val="clear" w:color="auto" w:fill="auto"/>
            <w:vAlign w:val="center"/>
          </w:tcPr>
          <w:p w14:paraId="6F5EB448" w14:textId="77777777" w:rsidR="00AD477C" w:rsidRPr="004C5FCD" w:rsidRDefault="00AD477C" w:rsidP="00AD477C">
            <w:pPr>
              <w:spacing w:line="276" w:lineRule="auto"/>
              <w:ind w:firstLine="142"/>
              <w:jc w:val="left"/>
            </w:pPr>
            <w:r>
              <w:t>(0 – 12)</w:t>
            </w:r>
          </w:p>
        </w:tc>
        <w:tc>
          <w:tcPr>
            <w:tcW w:w="1701" w:type="dxa"/>
            <w:shd w:val="clear" w:color="auto" w:fill="auto"/>
            <w:vAlign w:val="center"/>
          </w:tcPr>
          <w:p w14:paraId="1F372E49" w14:textId="77777777" w:rsidR="00AD477C" w:rsidRPr="004C5FCD" w:rsidRDefault="00AD477C" w:rsidP="00451AA0">
            <w:pPr>
              <w:spacing w:line="276" w:lineRule="auto"/>
            </w:pPr>
            <w:r>
              <w:t>293</w:t>
            </w:r>
          </w:p>
        </w:tc>
        <w:tc>
          <w:tcPr>
            <w:tcW w:w="1389" w:type="dxa"/>
            <w:gridSpan w:val="2"/>
            <w:shd w:val="clear" w:color="auto" w:fill="auto"/>
            <w:vAlign w:val="center"/>
          </w:tcPr>
          <w:p w14:paraId="22F77160" w14:textId="77777777" w:rsidR="00AD477C" w:rsidRPr="004C5FCD" w:rsidRDefault="00AD477C" w:rsidP="00451AA0">
            <w:pPr>
              <w:spacing w:line="276" w:lineRule="auto"/>
            </w:pPr>
            <w:r>
              <w:t>80.89</w:t>
            </w:r>
          </w:p>
        </w:tc>
        <w:tc>
          <w:tcPr>
            <w:tcW w:w="1389" w:type="dxa"/>
            <w:gridSpan w:val="2"/>
            <w:shd w:val="clear" w:color="auto" w:fill="auto"/>
            <w:vAlign w:val="center"/>
          </w:tcPr>
          <w:p w14:paraId="09C534F6" w14:textId="77777777" w:rsidR="00AD477C" w:rsidRPr="004C5FCD" w:rsidRDefault="00AD477C" w:rsidP="00451AA0">
            <w:pPr>
              <w:spacing w:line="276" w:lineRule="auto"/>
            </w:pPr>
            <w:r>
              <w:t>74.74</w:t>
            </w:r>
          </w:p>
        </w:tc>
        <w:tc>
          <w:tcPr>
            <w:tcW w:w="1389" w:type="dxa"/>
            <w:gridSpan w:val="2"/>
            <w:shd w:val="clear" w:color="auto" w:fill="auto"/>
            <w:vAlign w:val="center"/>
          </w:tcPr>
          <w:p w14:paraId="6D8D86F9" w14:textId="77777777" w:rsidR="00AD477C" w:rsidRPr="004C5FCD" w:rsidRDefault="00AD477C" w:rsidP="00451AA0">
            <w:pPr>
              <w:spacing w:line="276" w:lineRule="auto"/>
            </w:pPr>
            <w:r>
              <w:t>68.60</w:t>
            </w:r>
          </w:p>
        </w:tc>
        <w:tc>
          <w:tcPr>
            <w:tcW w:w="1389" w:type="dxa"/>
            <w:gridSpan w:val="2"/>
            <w:shd w:val="clear" w:color="auto" w:fill="auto"/>
            <w:vAlign w:val="center"/>
          </w:tcPr>
          <w:p w14:paraId="697FF4D7" w14:textId="77777777" w:rsidR="00AD477C" w:rsidRPr="004C5FCD" w:rsidRDefault="00AD477C" w:rsidP="00451AA0">
            <w:pPr>
              <w:spacing w:line="276" w:lineRule="auto"/>
            </w:pPr>
            <w:r>
              <w:t>62.80</w:t>
            </w:r>
          </w:p>
        </w:tc>
        <w:tc>
          <w:tcPr>
            <w:tcW w:w="1389" w:type="dxa"/>
            <w:gridSpan w:val="2"/>
            <w:shd w:val="clear" w:color="auto" w:fill="auto"/>
            <w:vAlign w:val="center"/>
          </w:tcPr>
          <w:p w14:paraId="6CE0DC01" w14:textId="77777777" w:rsidR="00AD477C" w:rsidRPr="004C5FCD" w:rsidRDefault="00AD477C" w:rsidP="00451AA0">
            <w:pPr>
              <w:spacing w:line="276" w:lineRule="auto"/>
            </w:pPr>
            <w:r>
              <w:t>59.39</w:t>
            </w:r>
          </w:p>
        </w:tc>
        <w:tc>
          <w:tcPr>
            <w:tcW w:w="1389" w:type="dxa"/>
            <w:gridSpan w:val="2"/>
            <w:shd w:val="clear" w:color="auto" w:fill="auto"/>
            <w:vAlign w:val="center"/>
          </w:tcPr>
          <w:p w14:paraId="096514E4" w14:textId="77777777" w:rsidR="00AD477C" w:rsidRPr="004C5FCD" w:rsidRDefault="00AD477C" w:rsidP="00451AA0">
            <w:pPr>
              <w:spacing w:line="276" w:lineRule="auto"/>
            </w:pPr>
            <w:r>
              <w:t>55.97</w:t>
            </w:r>
          </w:p>
        </w:tc>
        <w:tc>
          <w:tcPr>
            <w:tcW w:w="1389" w:type="dxa"/>
            <w:gridSpan w:val="3"/>
            <w:shd w:val="clear" w:color="auto" w:fill="auto"/>
            <w:vAlign w:val="center"/>
          </w:tcPr>
          <w:p w14:paraId="05DF327E" w14:textId="77777777" w:rsidR="00AD477C" w:rsidRPr="004C5FCD" w:rsidRDefault="00AD477C" w:rsidP="00451AA0">
            <w:pPr>
              <w:spacing w:line="276" w:lineRule="auto"/>
            </w:pPr>
            <w:r>
              <w:t>53.23</w:t>
            </w:r>
          </w:p>
        </w:tc>
        <w:tc>
          <w:tcPr>
            <w:tcW w:w="1617" w:type="dxa"/>
            <w:shd w:val="clear" w:color="auto" w:fill="auto"/>
            <w:vAlign w:val="center"/>
          </w:tcPr>
          <w:p w14:paraId="5EA0C012" w14:textId="77777777" w:rsidR="00AD477C" w:rsidRDefault="00AD477C" w:rsidP="00451AA0">
            <w:pPr>
              <w:spacing w:line="276" w:lineRule="auto"/>
            </w:pPr>
            <w:r>
              <w:t>101</w:t>
            </w:r>
          </w:p>
        </w:tc>
      </w:tr>
      <w:tr w:rsidR="00AD477C" w:rsidRPr="00EB6425" w14:paraId="439117B6" w14:textId="77777777" w:rsidTr="00AD477C">
        <w:trPr>
          <w:trHeight w:val="167"/>
        </w:trPr>
        <w:tc>
          <w:tcPr>
            <w:tcW w:w="1276" w:type="dxa"/>
            <w:shd w:val="clear" w:color="auto" w:fill="auto"/>
            <w:vAlign w:val="center"/>
          </w:tcPr>
          <w:p w14:paraId="7D0382EB" w14:textId="77777777" w:rsidR="00AD477C" w:rsidRPr="004C5FCD" w:rsidRDefault="00AD477C" w:rsidP="00AD477C">
            <w:pPr>
              <w:spacing w:line="276" w:lineRule="auto"/>
              <w:ind w:firstLine="142"/>
              <w:jc w:val="left"/>
            </w:pPr>
            <w:r>
              <w:t>(13 – 24)</w:t>
            </w:r>
          </w:p>
        </w:tc>
        <w:tc>
          <w:tcPr>
            <w:tcW w:w="1701" w:type="dxa"/>
            <w:shd w:val="clear" w:color="auto" w:fill="auto"/>
            <w:vAlign w:val="center"/>
          </w:tcPr>
          <w:p w14:paraId="0AC26A16" w14:textId="77777777" w:rsidR="00AD477C" w:rsidRPr="004C5FCD" w:rsidRDefault="00AD477C" w:rsidP="00451AA0">
            <w:pPr>
              <w:spacing w:line="276" w:lineRule="auto"/>
            </w:pPr>
            <w:r>
              <w:t>101</w:t>
            </w:r>
          </w:p>
        </w:tc>
        <w:tc>
          <w:tcPr>
            <w:tcW w:w="1389" w:type="dxa"/>
            <w:gridSpan w:val="2"/>
            <w:shd w:val="clear" w:color="auto" w:fill="auto"/>
            <w:vAlign w:val="center"/>
          </w:tcPr>
          <w:p w14:paraId="5F6C7315" w14:textId="77777777" w:rsidR="00AD477C" w:rsidRPr="004C5FCD" w:rsidRDefault="00AD477C" w:rsidP="00451AA0">
            <w:pPr>
              <w:spacing w:line="276" w:lineRule="auto"/>
            </w:pPr>
            <w:r>
              <w:t>82.18</w:t>
            </w:r>
          </w:p>
        </w:tc>
        <w:tc>
          <w:tcPr>
            <w:tcW w:w="1389" w:type="dxa"/>
            <w:gridSpan w:val="2"/>
            <w:shd w:val="clear" w:color="auto" w:fill="auto"/>
            <w:vAlign w:val="center"/>
          </w:tcPr>
          <w:p w14:paraId="5E87C318" w14:textId="77777777" w:rsidR="00AD477C" w:rsidRPr="004C5FCD" w:rsidRDefault="00AD477C" w:rsidP="00451AA0">
            <w:pPr>
              <w:spacing w:line="276" w:lineRule="auto"/>
            </w:pPr>
            <w:r>
              <w:t>72.28</w:t>
            </w:r>
          </w:p>
        </w:tc>
        <w:tc>
          <w:tcPr>
            <w:tcW w:w="1389" w:type="dxa"/>
            <w:gridSpan w:val="2"/>
            <w:shd w:val="clear" w:color="auto" w:fill="auto"/>
            <w:vAlign w:val="center"/>
          </w:tcPr>
          <w:p w14:paraId="19546117" w14:textId="77777777" w:rsidR="00AD477C" w:rsidRPr="004C5FCD" w:rsidRDefault="00AD477C" w:rsidP="00451AA0">
            <w:pPr>
              <w:spacing w:line="276" w:lineRule="auto"/>
            </w:pPr>
            <w:r>
              <w:t>71.29</w:t>
            </w:r>
          </w:p>
        </w:tc>
        <w:tc>
          <w:tcPr>
            <w:tcW w:w="1389" w:type="dxa"/>
            <w:gridSpan w:val="2"/>
            <w:shd w:val="clear" w:color="auto" w:fill="auto"/>
            <w:vAlign w:val="center"/>
          </w:tcPr>
          <w:p w14:paraId="551D5C03" w14:textId="77777777" w:rsidR="00AD477C" w:rsidRPr="004C5FCD" w:rsidRDefault="00AD477C" w:rsidP="00451AA0">
            <w:pPr>
              <w:spacing w:line="276" w:lineRule="auto"/>
            </w:pPr>
            <w:r>
              <w:t>63.37</w:t>
            </w:r>
          </w:p>
        </w:tc>
        <w:tc>
          <w:tcPr>
            <w:tcW w:w="1389" w:type="dxa"/>
            <w:gridSpan w:val="2"/>
            <w:shd w:val="clear" w:color="auto" w:fill="auto"/>
            <w:vAlign w:val="center"/>
          </w:tcPr>
          <w:p w14:paraId="625FC2D1" w14:textId="77777777" w:rsidR="00AD477C" w:rsidRPr="004C5FCD" w:rsidRDefault="00AD477C" w:rsidP="00451AA0">
            <w:pPr>
              <w:spacing w:line="276" w:lineRule="auto"/>
            </w:pPr>
            <w:r>
              <w:t>61.39</w:t>
            </w:r>
          </w:p>
        </w:tc>
        <w:tc>
          <w:tcPr>
            <w:tcW w:w="1389" w:type="dxa"/>
            <w:gridSpan w:val="2"/>
            <w:shd w:val="clear" w:color="auto" w:fill="auto"/>
            <w:vAlign w:val="center"/>
          </w:tcPr>
          <w:p w14:paraId="0EC1C311" w14:textId="77777777" w:rsidR="00AD477C" w:rsidRPr="004C5FCD" w:rsidRDefault="00AD477C" w:rsidP="00451AA0">
            <w:pPr>
              <w:spacing w:line="276" w:lineRule="auto"/>
            </w:pPr>
            <w:r>
              <w:t>58.42</w:t>
            </w:r>
          </w:p>
        </w:tc>
        <w:tc>
          <w:tcPr>
            <w:tcW w:w="1389" w:type="dxa"/>
            <w:gridSpan w:val="3"/>
            <w:shd w:val="clear" w:color="auto" w:fill="auto"/>
            <w:vAlign w:val="center"/>
          </w:tcPr>
          <w:p w14:paraId="3A650F4F" w14:textId="77777777" w:rsidR="00AD477C" w:rsidRPr="004C5FCD" w:rsidRDefault="00AD477C" w:rsidP="00451AA0">
            <w:pPr>
              <w:spacing w:line="276" w:lineRule="auto"/>
            </w:pPr>
            <w:r>
              <w:t>54.46</w:t>
            </w:r>
          </w:p>
        </w:tc>
        <w:tc>
          <w:tcPr>
            <w:tcW w:w="1617" w:type="dxa"/>
            <w:shd w:val="clear" w:color="auto" w:fill="auto"/>
            <w:vAlign w:val="center"/>
          </w:tcPr>
          <w:p w14:paraId="52092303" w14:textId="77777777" w:rsidR="00AD477C" w:rsidRDefault="00AD477C" w:rsidP="00451AA0">
            <w:pPr>
              <w:spacing w:line="276" w:lineRule="auto"/>
            </w:pPr>
            <w:r>
              <w:t>107</w:t>
            </w:r>
          </w:p>
        </w:tc>
      </w:tr>
      <w:tr w:rsidR="00AD477C" w:rsidRPr="00EB6425" w14:paraId="4A760A82" w14:textId="77777777" w:rsidTr="00AD477C">
        <w:trPr>
          <w:trHeight w:val="167"/>
        </w:trPr>
        <w:tc>
          <w:tcPr>
            <w:tcW w:w="1276" w:type="dxa"/>
            <w:shd w:val="clear" w:color="auto" w:fill="auto"/>
            <w:vAlign w:val="center"/>
          </w:tcPr>
          <w:p w14:paraId="304770FE" w14:textId="77777777" w:rsidR="00AD477C" w:rsidRDefault="00AD477C" w:rsidP="00AD477C">
            <w:pPr>
              <w:spacing w:line="276" w:lineRule="auto"/>
              <w:ind w:firstLine="142"/>
              <w:jc w:val="left"/>
            </w:pPr>
            <w:r>
              <w:t>(&gt; 24)</w:t>
            </w:r>
          </w:p>
        </w:tc>
        <w:tc>
          <w:tcPr>
            <w:tcW w:w="1701" w:type="dxa"/>
            <w:shd w:val="clear" w:color="auto" w:fill="auto"/>
            <w:vAlign w:val="center"/>
          </w:tcPr>
          <w:p w14:paraId="3FC68BE0" w14:textId="77777777" w:rsidR="00AD477C" w:rsidRPr="004C5FCD" w:rsidRDefault="00AD477C" w:rsidP="00451AA0">
            <w:pPr>
              <w:spacing w:line="276" w:lineRule="auto"/>
            </w:pPr>
            <w:r>
              <w:t>29</w:t>
            </w:r>
          </w:p>
        </w:tc>
        <w:tc>
          <w:tcPr>
            <w:tcW w:w="1389" w:type="dxa"/>
            <w:gridSpan w:val="2"/>
            <w:shd w:val="clear" w:color="auto" w:fill="auto"/>
            <w:vAlign w:val="center"/>
          </w:tcPr>
          <w:p w14:paraId="3EF0F4C8" w14:textId="77777777" w:rsidR="00AD477C" w:rsidRPr="004C5FCD" w:rsidRDefault="00AD477C" w:rsidP="00451AA0">
            <w:pPr>
              <w:spacing w:line="276" w:lineRule="auto"/>
            </w:pPr>
            <w:r>
              <w:t>89.66</w:t>
            </w:r>
          </w:p>
        </w:tc>
        <w:tc>
          <w:tcPr>
            <w:tcW w:w="1389" w:type="dxa"/>
            <w:gridSpan w:val="2"/>
            <w:shd w:val="clear" w:color="auto" w:fill="auto"/>
            <w:vAlign w:val="center"/>
          </w:tcPr>
          <w:p w14:paraId="3CEB5F6B" w14:textId="77777777" w:rsidR="00AD477C" w:rsidRPr="004C5FCD" w:rsidRDefault="00AD477C" w:rsidP="00451AA0">
            <w:pPr>
              <w:spacing w:line="276" w:lineRule="auto"/>
            </w:pPr>
            <w:r>
              <w:t>75.86</w:t>
            </w:r>
          </w:p>
        </w:tc>
        <w:tc>
          <w:tcPr>
            <w:tcW w:w="1389" w:type="dxa"/>
            <w:gridSpan w:val="2"/>
            <w:shd w:val="clear" w:color="auto" w:fill="auto"/>
            <w:vAlign w:val="center"/>
          </w:tcPr>
          <w:p w14:paraId="2CB85FA4" w14:textId="77777777" w:rsidR="00AD477C" w:rsidRPr="004C5FCD" w:rsidRDefault="00AD477C" w:rsidP="00451AA0">
            <w:pPr>
              <w:spacing w:line="276" w:lineRule="auto"/>
            </w:pPr>
            <w:r>
              <w:t>65.52</w:t>
            </w:r>
          </w:p>
        </w:tc>
        <w:tc>
          <w:tcPr>
            <w:tcW w:w="1389" w:type="dxa"/>
            <w:gridSpan w:val="2"/>
            <w:shd w:val="clear" w:color="auto" w:fill="auto"/>
            <w:vAlign w:val="center"/>
          </w:tcPr>
          <w:p w14:paraId="3839F344" w14:textId="77777777" w:rsidR="00AD477C" w:rsidRPr="004C5FCD" w:rsidRDefault="00AD477C" w:rsidP="00451AA0">
            <w:pPr>
              <w:spacing w:line="276" w:lineRule="auto"/>
            </w:pPr>
            <w:r>
              <w:t>62.07</w:t>
            </w:r>
          </w:p>
        </w:tc>
        <w:tc>
          <w:tcPr>
            <w:tcW w:w="1389" w:type="dxa"/>
            <w:gridSpan w:val="2"/>
            <w:shd w:val="clear" w:color="auto" w:fill="auto"/>
            <w:vAlign w:val="center"/>
          </w:tcPr>
          <w:p w14:paraId="223645A1" w14:textId="77777777" w:rsidR="00AD477C" w:rsidRPr="004C5FCD" w:rsidRDefault="00AD477C" w:rsidP="00451AA0">
            <w:pPr>
              <w:spacing w:line="276" w:lineRule="auto"/>
            </w:pPr>
            <w:r>
              <w:t>58.62</w:t>
            </w:r>
          </w:p>
        </w:tc>
        <w:tc>
          <w:tcPr>
            <w:tcW w:w="1389" w:type="dxa"/>
            <w:gridSpan w:val="2"/>
            <w:shd w:val="clear" w:color="auto" w:fill="auto"/>
            <w:vAlign w:val="center"/>
          </w:tcPr>
          <w:p w14:paraId="171A07BC" w14:textId="77777777" w:rsidR="00AD477C" w:rsidRPr="004C5FCD" w:rsidRDefault="00AD477C" w:rsidP="00451AA0">
            <w:pPr>
              <w:spacing w:line="276" w:lineRule="auto"/>
            </w:pPr>
            <w:r>
              <w:t>51.72</w:t>
            </w:r>
          </w:p>
        </w:tc>
        <w:tc>
          <w:tcPr>
            <w:tcW w:w="1389" w:type="dxa"/>
            <w:gridSpan w:val="3"/>
            <w:shd w:val="clear" w:color="auto" w:fill="auto"/>
            <w:vAlign w:val="center"/>
          </w:tcPr>
          <w:p w14:paraId="5CA76D65" w14:textId="77777777" w:rsidR="00AD477C" w:rsidRPr="004C5FCD" w:rsidRDefault="00AD477C" w:rsidP="00451AA0">
            <w:pPr>
              <w:spacing w:line="276" w:lineRule="auto"/>
            </w:pPr>
            <w:r>
              <w:t>48.03</w:t>
            </w:r>
          </w:p>
        </w:tc>
        <w:tc>
          <w:tcPr>
            <w:tcW w:w="1617" w:type="dxa"/>
            <w:shd w:val="clear" w:color="auto" w:fill="auto"/>
            <w:vAlign w:val="center"/>
          </w:tcPr>
          <w:p w14:paraId="1E1C9B14" w14:textId="77777777" w:rsidR="00AD477C" w:rsidRDefault="00AD477C" w:rsidP="00451AA0">
            <w:pPr>
              <w:spacing w:line="276" w:lineRule="auto"/>
            </w:pPr>
            <w:r>
              <w:t>83</w:t>
            </w:r>
          </w:p>
        </w:tc>
      </w:tr>
    </w:tbl>
    <w:p w14:paraId="63D74E42" w14:textId="77777777" w:rsidR="005A45DC" w:rsidRDefault="005A45DC" w:rsidP="00AD477C">
      <w:pPr>
        <w:ind w:firstLine="720"/>
        <w:jc w:val="both"/>
      </w:pPr>
    </w:p>
    <w:p w14:paraId="33D855AB" w14:textId="77777777" w:rsidR="005A45DC" w:rsidRDefault="005A45DC" w:rsidP="00AD477C">
      <w:pPr>
        <w:ind w:firstLine="720"/>
        <w:jc w:val="both"/>
      </w:pPr>
    </w:p>
    <w:p w14:paraId="13CAEBF0" w14:textId="77777777" w:rsidR="005A45DC" w:rsidRDefault="005A45DC" w:rsidP="00AD477C">
      <w:pPr>
        <w:ind w:firstLine="720"/>
        <w:jc w:val="both"/>
      </w:pPr>
    </w:p>
    <w:p w14:paraId="4C642CD7" w14:textId="77777777" w:rsidR="005A45DC" w:rsidRDefault="005A45DC" w:rsidP="00AD477C">
      <w:pPr>
        <w:ind w:firstLine="720"/>
        <w:jc w:val="both"/>
      </w:pPr>
    </w:p>
    <w:p w14:paraId="062129BB" w14:textId="77777777" w:rsidR="0006772B" w:rsidRDefault="0006772B" w:rsidP="00AD477C">
      <w:pPr>
        <w:ind w:firstLine="720"/>
        <w:jc w:val="both"/>
      </w:pPr>
    </w:p>
    <w:p w14:paraId="4B917740" w14:textId="77777777" w:rsidR="00A471F7" w:rsidRDefault="00A471F7" w:rsidP="00AD477C">
      <w:pPr>
        <w:ind w:firstLine="720"/>
        <w:jc w:val="both"/>
        <w:sectPr w:rsidR="00A471F7" w:rsidSect="00AD477C">
          <w:type w:val="continuous"/>
          <w:pgSz w:w="16834" w:h="11909" w:orient="landscape" w:code="9"/>
          <w:pgMar w:top="731" w:right="2432" w:bottom="731" w:left="1077" w:header="720" w:footer="720" w:gutter="0"/>
          <w:cols w:space="360"/>
          <w:docGrid w:linePitch="360"/>
        </w:sectPr>
      </w:pPr>
    </w:p>
    <w:p w14:paraId="173F8B8F" w14:textId="0FE20FD6" w:rsidR="00AD477C" w:rsidRDefault="00AD477C" w:rsidP="00E64E58">
      <w:pPr>
        <w:spacing w:after="120"/>
        <w:ind w:firstLine="284"/>
        <w:jc w:val="both"/>
      </w:pPr>
      <w:r>
        <w:t xml:space="preserve">Referring to Panel A </w:t>
      </w:r>
      <w:r w:rsidRPr="00705BA5">
        <w:t xml:space="preserve">of Table </w:t>
      </w:r>
      <w:r>
        <w:t>II</w:t>
      </w:r>
      <w:r w:rsidRPr="00705BA5">
        <w:t>,</w:t>
      </w:r>
      <w:r w:rsidRPr="004724D2">
        <w:t xml:space="preserve"> o</w:t>
      </w:r>
      <w:r>
        <w:t>ut of 423</w:t>
      </w:r>
      <w:r w:rsidRPr="004724D2">
        <w:t xml:space="preserve"> companies, </w:t>
      </w:r>
      <w:r>
        <w:t>81.80</w:t>
      </w:r>
      <w:r w:rsidRPr="004724D2">
        <w:t xml:space="preserve"> percent of companies remain</w:t>
      </w:r>
      <w:r w:rsidR="00E64E58">
        <w:t>ed</w:t>
      </w:r>
      <w:r w:rsidRPr="004724D2">
        <w:t xml:space="preserve"> survived in the first year of listing.</w:t>
      </w:r>
      <w:r>
        <w:t xml:space="preserve"> </w:t>
      </w:r>
      <w:r w:rsidRPr="004724D2">
        <w:t xml:space="preserve">About </w:t>
      </w:r>
      <w:r>
        <w:t>18.20</w:t>
      </w:r>
      <w:r w:rsidRPr="004724D2">
        <w:t xml:space="preserve"> percent of companies have difficulties surviving in the first year post-IPO. In the third-year post-IPO, the survival </w:t>
      </w:r>
      <w:r>
        <w:t>rate of companies falls to 69.03 percent, which is by 30.97</w:t>
      </w:r>
      <w:r w:rsidRPr="004724D2">
        <w:t xml:space="preserve"> percent from the first-year of listing. </w:t>
      </w:r>
      <w:r>
        <w:t>The survival rate plunges lower in the fifth year of listing, at 59.81 percent and the</w:t>
      </w:r>
      <w:r w:rsidRPr="004724D2">
        <w:t xml:space="preserve"> s</w:t>
      </w:r>
      <w:r>
        <w:t>eventh year of listing, at 53.18</w:t>
      </w:r>
      <w:r w:rsidRPr="004724D2">
        <w:t xml:space="preserve"> percent. </w:t>
      </w:r>
      <w:r w:rsidR="00E1332E">
        <w:t>The results show that it takes 101 months for half of the companies in this study’s sample (50 percent</w:t>
      </w:r>
      <w:r w:rsidR="00E64E58">
        <w:t>) to be</w:t>
      </w:r>
      <w:r w:rsidR="00E1332E">
        <w:t xml:space="preserve"> non-surviving companies. To compare</w:t>
      </w:r>
      <w:r w:rsidR="00E1332E" w:rsidRPr="00E1332E">
        <w:t xml:space="preserve">, </w:t>
      </w:r>
      <w:r w:rsidR="00E1332E">
        <w:t>the</w:t>
      </w:r>
      <w:r w:rsidR="00E1332E" w:rsidRPr="00E1332E">
        <w:t xml:space="preserve"> survival rates </w:t>
      </w:r>
      <w:r w:rsidR="00E1332E">
        <w:t>reported in this study are relatively lower than</w:t>
      </w:r>
      <w:r w:rsidR="00E1332E" w:rsidRPr="00E1332E">
        <w:t xml:space="preserve"> both developed and developing markets in past studies (</w:t>
      </w:r>
      <w:r w:rsidR="00E64E58" w:rsidRPr="00E1332E">
        <w:t>Ahmad &amp; Jelic, 2014; Chou et al., 2013; Espenlaub et al., 2016</w:t>
      </w:r>
      <w:r w:rsidR="00E64E58">
        <w:t>;</w:t>
      </w:r>
      <w:r w:rsidR="00E64E58" w:rsidRPr="00E64E58">
        <w:t xml:space="preserve"> </w:t>
      </w:r>
      <w:r w:rsidR="00E64E58" w:rsidRPr="00E1332E">
        <w:t>Kooli &amp; Meknassi, 2007;</w:t>
      </w:r>
      <w:r w:rsidR="00E64E58">
        <w:t xml:space="preserve"> Schultz, 1993</w:t>
      </w:r>
      <w:r w:rsidR="00E1332E" w:rsidRPr="00E1332E">
        <w:t xml:space="preserve">). </w:t>
      </w:r>
      <w:r w:rsidR="00E1332E">
        <w:t>This study also found that the survival rates are</w:t>
      </w:r>
      <w:r w:rsidR="00E1332E" w:rsidRPr="00E1332E">
        <w:t xml:space="preserve"> lower than the survival rate of companies found in the recent studies conducted in the Malaysian market </w:t>
      </w:r>
      <w:r w:rsidR="00E64E58">
        <w:t>by Ahmad et al.</w:t>
      </w:r>
      <w:r w:rsidR="00E1332E">
        <w:t xml:space="preserve"> </w:t>
      </w:r>
      <w:r w:rsidR="00E64E58">
        <w:t>(</w:t>
      </w:r>
      <w:r w:rsidR="00E1332E">
        <w:t>2021</w:t>
      </w:r>
      <w:r w:rsidR="00E64E58">
        <w:t>)</w:t>
      </w:r>
      <w:r w:rsidR="00E1332E">
        <w:t xml:space="preserve"> and Shari (2019)</w:t>
      </w:r>
      <w:r w:rsidR="00E1332E" w:rsidRPr="00E1332E">
        <w:t xml:space="preserve"> throughout the seven years observation. To justify, the definition of surviving companies in past studies to that of surviving companies applied in this study is dissimilar, i.e.,</w:t>
      </w:r>
      <w:r w:rsidR="00714CC2">
        <w:t xml:space="preserve"> this study defines surviving companies as</w:t>
      </w:r>
      <w:r w:rsidR="00E1332E" w:rsidRPr="00E1332E">
        <w:t xml:space="preserve"> actively traded companies at their ultimate performance</w:t>
      </w:r>
      <w:r w:rsidR="00E64E58">
        <w:t>. In contrast,</w:t>
      </w:r>
      <w:r w:rsidR="00714CC2">
        <w:t xml:space="preserve"> past studies define surviving companies as continuously traded </w:t>
      </w:r>
      <w:r w:rsidR="00E64E58">
        <w:t xml:space="preserve">companies </w:t>
      </w:r>
      <w:r w:rsidR="00714CC2">
        <w:t>regardless of their performance</w:t>
      </w:r>
      <w:r w:rsidR="00E1332E" w:rsidRPr="00E1332E">
        <w:t xml:space="preserve">. </w:t>
      </w:r>
      <w:r w:rsidR="00DF7F18">
        <w:t>Thus</w:t>
      </w:r>
      <w:r w:rsidR="00E1332E" w:rsidRPr="00E1332E">
        <w:t xml:space="preserve">, </w:t>
      </w:r>
      <w:r w:rsidR="00DF7F18">
        <w:t xml:space="preserve">this study highlights that </w:t>
      </w:r>
      <w:r w:rsidR="00E1332E" w:rsidRPr="00E1332E">
        <w:t xml:space="preserve">it is crucial to understand </w:t>
      </w:r>
      <w:r w:rsidR="00E64E58">
        <w:t xml:space="preserve">that </w:t>
      </w:r>
      <w:r w:rsidR="00E1332E" w:rsidRPr="00E1332E">
        <w:t>companies</w:t>
      </w:r>
      <w:r w:rsidR="00DF7F18">
        <w:t>’ survivability</w:t>
      </w:r>
      <w:r w:rsidR="00E1332E" w:rsidRPr="00E1332E">
        <w:t xml:space="preserve"> reported in all studies should vary according to the definition of surviving companies each study exclusively adopts.</w:t>
      </w:r>
    </w:p>
    <w:p w14:paraId="7793FA11" w14:textId="314C69CE" w:rsidR="0006772B" w:rsidRPr="0006772B" w:rsidRDefault="0006772B" w:rsidP="00E64E58">
      <w:pPr>
        <w:spacing w:after="120"/>
        <w:ind w:firstLine="284"/>
        <w:jc w:val="both"/>
      </w:pPr>
      <w:r>
        <w:t>Panel B</w:t>
      </w:r>
      <w:r w:rsidRPr="0006772B">
        <w:t xml:space="preserve"> reports the K-M model stratified by the proportion of IPO proceeds categories and the time frame of proceeds utilization categories. </w:t>
      </w:r>
      <w:r>
        <w:t xml:space="preserve">Firstly, Panel B </w:t>
      </w:r>
      <w:r w:rsidRPr="0006772B">
        <w:t xml:space="preserve">exhibits that the survival rate of companies with POPG below 50 percent is continuously higher than companies with POPG above 50 percent throughout the observation period except on the second year post-IPO. This study reports that, on average, companies with higher POPG experience </w:t>
      </w:r>
      <w:r w:rsidR="00E64E58">
        <w:t>great</w:t>
      </w:r>
      <w:r w:rsidRPr="0006772B">
        <w:t xml:space="preserve">er difficulties in maintaining their listing status in the long-run than companies with POPG below 50 percent. In other words, companies with a primary objective to grow and expand their business are less likely to survive in the long-run. Consequently, it takes 14 </w:t>
      </w:r>
      <w:r>
        <w:t>months lesser (median ST</w:t>
      </w:r>
      <w:r w:rsidRPr="0006772B">
        <w:t xml:space="preserve">) for half of the companies with POPG above 50 precent to face challenges as publicly listed companies compared to those with minimal emphasis to grow. Accordingly, it is identifiable that most companies (248 companies compared to 175 companies) allocate their POPG below 50 percent upon listing. While past studies find companies listed in Bursa Malaysia majorly allocating their raised IPO proceeds to growth activities (Abdul Rahman &amp; Che-Yahya, </w:t>
      </w:r>
      <w:r w:rsidR="0045707D">
        <w:t>2019; Ahmad-Zaluki &amp; Badru, 2020</w:t>
      </w:r>
      <w:r w:rsidRPr="0006772B">
        <w:t xml:space="preserve">; Badru, 2021), this study contradictorily finds that Malaysian listed companies regularly allocate their POPG below 50 percent. </w:t>
      </w:r>
    </w:p>
    <w:p w14:paraId="02ED51F2" w14:textId="6259D831" w:rsidR="0006772B" w:rsidRPr="0006772B" w:rsidRDefault="0006772B" w:rsidP="00E64E58">
      <w:pPr>
        <w:spacing w:after="120"/>
        <w:ind w:firstLine="284"/>
        <w:jc w:val="both"/>
      </w:pPr>
      <w:r w:rsidRPr="0006772B">
        <w:t xml:space="preserve">Secondly, Panel </w:t>
      </w:r>
      <w:r>
        <w:t>B</w:t>
      </w:r>
      <w:r w:rsidRPr="0006772B">
        <w:t xml:space="preserve"> shows that the survival rate of companies above 50 percent of POPD is moderately higher than companies below 50 percent of POPD for the first five years post-IPO (85.71 percent to 61.22 percent</w:t>
      </w:r>
      <w:r w:rsidR="00E64E58">
        <w:t>,</w:t>
      </w:r>
      <w:r w:rsidRPr="0006772B">
        <w:t xml:space="preserve"> and 81.28 percent to 59.63 percent). For the remaining two years, the survival rate of companies above 50 percent of POPD (55.10 percent to 48.98 percent) subsequently turns lower than companies below 50 percent of POPD (56.42 percent to 53.73 percent). Companies with high POPD usually can sustain in the early years of listing but will face difficulties in the long-run when their debt starts to pay off (Paleari et al., 2008). They take advantage by accessing further financing in the future, resulting in excess debt and potential business failure. To overcome a shorter survival </w:t>
      </w:r>
      <w:r w:rsidR="00A471F7">
        <w:t>time</w:t>
      </w:r>
      <w:r w:rsidRPr="0006772B">
        <w:t xml:space="preserve">, most companies listed in the Malaysian market (374 out of 423 companies) allocate a lower POPD (below 50 percent), elongating the companies’ median </w:t>
      </w:r>
      <w:r>
        <w:t>ST</w:t>
      </w:r>
      <w:r w:rsidRPr="0006772B">
        <w:t xml:space="preserve"> by 22 months than those above 50 percent of POPD.</w:t>
      </w:r>
    </w:p>
    <w:p w14:paraId="656D5674" w14:textId="480F7FD8" w:rsidR="0006772B" w:rsidRPr="0006772B" w:rsidRDefault="0006772B" w:rsidP="00E64E58">
      <w:pPr>
        <w:spacing w:after="120"/>
        <w:ind w:firstLine="284"/>
        <w:jc w:val="both"/>
      </w:pPr>
      <w:r>
        <w:t>Thirdly, Panel B</w:t>
      </w:r>
      <w:r w:rsidRPr="0006772B">
        <w:t xml:space="preserve"> also shows that companies above 50 percent of POPW have a higher survival rate only in the first year of listing by 2.31 percent compared to companies below 50 percent of POPW. In comparison, companies below 50 percent of POPW takes over from the second year to the seventh year post-IPO (76.30 percent to 54.86 percent and 68.70 percent to 48.70 percent). Since working capital is defined as IPO proceeds utilized for unspecified activities (SCM, 2020), companies with high POPW face challenges creating value to sustain in the long-run, indicating an unclear future direction for their prospects. Statistically, companies that prioritize their allocation of IPO proceeds to the working capital survive a shorter </w:t>
      </w:r>
      <w:r>
        <w:t>time</w:t>
      </w:r>
      <w:r w:rsidRPr="0006772B">
        <w:t xml:space="preserve"> by 25 months. Similar to POPG and POPD of Panel A, this study reveals that companies majority limit their POPW to be below 50 percent (308 companies compared to 115 companies). </w:t>
      </w:r>
    </w:p>
    <w:p w14:paraId="2E9A7A0F" w14:textId="61C55EA7" w:rsidR="0006772B" w:rsidRPr="0006772B" w:rsidRDefault="0006772B" w:rsidP="00E64E58">
      <w:pPr>
        <w:spacing w:after="120"/>
        <w:ind w:firstLine="284"/>
        <w:jc w:val="both"/>
      </w:pPr>
      <w:r>
        <w:t>Panel C</w:t>
      </w:r>
      <w:r w:rsidRPr="0006772B">
        <w:t xml:space="preserve"> of Table </w:t>
      </w:r>
      <w:r>
        <w:t xml:space="preserve">II </w:t>
      </w:r>
      <w:r w:rsidRPr="0006772B">
        <w:t xml:space="preserve">also reports </w:t>
      </w:r>
      <w:r w:rsidR="00E64E58">
        <w:t>companies' survival rate and survival time</w:t>
      </w:r>
      <w:r w:rsidRPr="0006772B">
        <w:t xml:space="preserve"> by stratifying the time frame of proceeds utilization categories. For the fir</w:t>
      </w:r>
      <w:r>
        <w:t>st three years post-IPO, Panel C</w:t>
      </w:r>
      <w:r w:rsidRPr="0006772B">
        <w:t xml:space="preserve"> exhibits that the survival rate of companies with TFG in the first 12 months is continuously higher (86.26 percent to 73.63 percent) than companies with TFG longer than 12 months (84.93 percent to 67.12 percent). However, the remaining four years of observation exhibit those companies with TFG longer than 24 months (67.12 percent to 57.50 percent) can survive better than those with TFG lower than 24 months (57.74 percent to 49.99 percent). Although a majority of the companies (182 companies) choose to allocate a shorter TFG (0 month to 12 months), 73 companies with TFG longer than 2</w:t>
      </w:r>
      <w:r>
        <w:t>4 months have a longer median ST</w:t>
      </w:r>
      <w:r w:rsidRPr="0006772B">
        <w:t xml:space="preserve"> by 49 months. </w:t>
      </w:r>
      <w:r w:rsidR="00E64E58">
        <w:t>While</w:t>
      </w:r>
      <w:r w:rsidRPr="0006772B">
        <w:t xml:space="preserve"> companies that aim to fulfill investors’ short-term expectations and desire of a quick return struggle and require more time for profit generation and sustainability (Leone et al., 2007), companies with a longer time frame to grow have the benefit to strategize and enhance their value in the long-run properly.</w:t>
      </w:r>
    </w:p>
    <w:p w14:paraId="77495ABA" w14:textId="488113B7" w:rsidR="0006772B" w:rsidRPr="0006772B" w:rsidRDefault="0006772B" w:rsidP="00E64E58">
      <w:pPr>
        <w:spacing w:after="120"/>
        <w:ind w:firstLine="284"/>
        <w:jc w:val="both"/>
      </w:pPr>
      <w:r w:rsidRPr="0006772B">
        <w:t>Next, a different pattern for companies’ survival rate can be seen from the TFD whereby at the first year of listing, none of the companies with TFD longer than 24 months has trouble surviving, at 100 percent survival rate. On the other hand, 403 companies that opt for a shorter TFD (from 0 to 24 months) show almost 20 percent decrement of the first year post-IPO survival rate. Although there is a substantial drop experienced by the companies with TFD longer than 24 months (33.33 percent) in the second year, the remaining 66.67 percent are able to survive until the end of the observation period (2 companies out of 3 companies). Consequently, companies with TFD longer than 24 months show a higher survival rate on the seventh year of listing (66.67 percent) than companies with TFD shorter than 24 months (52.84 percent and 58.82 percent). Similar to the TFG, there is a substantial di</w:t>
      </w:r>
      <w:r w:rsidR="00A471F7">
        <w:t>fference of companies’ median ST</w:t>
      </w:r>
      <w:r w:rsidRPr="0006772B">
        <w:t xml:space="preserve"> between companies with TFD longer than 24 months, at 201 months and companies with TFD shorter than 24 months at 95 months and 102 months, respectively. </w:t>
      </w:r>
      <w:r>
        <w:t>This</w:t>
      </w:r>
      <w:r w:rsidRPr="0006772B">
        <w:t xml:space="preserve"> study found that companies tied up with an extended term in paying off their debt survive longer than otherwise. According to Adachi-Sato and Vithessonthi (2019), companies with shorter debt repayment terms are commonly associated with higher corporate risk-taking from high-risk investments. Consequently, if the debt matures before the investments’ execution, the companies cannot obtain suboptimal investment returns, shortening the companies’ survival </w:t>
      </w:r>
      <w:r w:rsidR="00A471F7">
        <w:t>time</w:t>
      </w:r>
      <w:r w:rsidRPr="0006772B">
        <w:t xml:space="preserve">. </w:t>
      </w:r>
    </w:p>
    <w:p w14:paraId="542A8423" w14:textId="6ED3C2DE" w:rsidR="0006772B" w:rsidRPr="0006772B" w:rsidRDefault="0006772B" w:rsidP="004F7F40">
      <w:pPr>
        <w:ind w:firstLine="284"/>
        <w:jc w:val="both"/>
      </w:pPr>
      <w:r w:rsidRPr="0006772B">
        <w:t xml:space="preserve">Panel </w:t>
      </w:r>
      <w:r>
        <w:t>C</w:t>
      </w:r>
      <w:r w:rsidRPr="0006772B">
        <w:t xml:space="preserve"> also presents companies’ survival rates</w:t>
      </w:r>
      <w:r>
        <w:t xml:space="preserve"> and survival time</w:t>
      </w:r>
      <w:r w:rsidRPr="0006772B">
        <w:t xml:space="preserve"> by their TFW. Companies with TFW longer than 24 months are observable to have the highest survival rate in the first two years of listing, at 89.66 percent on the first year and 75.86 percent on the second year of listing. Starting from the third year post-IPO onwards, the remaining companies with 13 months to 24 months of TFW record the highest survival rate until the end of the observation period, at 54.46 percent. At the end of the observation period, the lowest survival rate is at 48.03 percent, possessed by companies with longer than 24 months of TFW. Concurrently, the companies with TFW within 13 months to 24 months have the longest median S</w:t>
      </w:r>
      <w:r w:rsidR="00A471F7">
        <w:t>T</w:t>
      </w:r>
      <w:r w:rsidRPr="0006772B">
        <w:t>, at 107 months, while companies with TFW of more than 24 months have the shortest median S</w:t>
      </w:r>
      <w:r>
        <w:t>T</w:t>
      </w:r>
      <w:r w:rsidRPr="0006772B">
        <w:t>, at 83 months. Since working capital is used commonly for general corporate purposes (Chauhan, 2019), it is preferable if the TFW is shorter to avoid uncertainty on the utilization in t</w:t>
      </w:r>
      <w:r w:rsidR="001F3E38">
        <w:t xml:space="preserve">he long-run. Parallel to Aktas et al. </w:t>
      </w:r>
      <w:r w:rsidRPr="0006772B">
        <w:t xml:space="preserve">(2015), decreasing the time of utilizing working capital increases companies’ financial flexibility in the short-run and surge adequate cash flow in the long-run to sustain post-IPO. Accordingly, the 394 companies (293 and 101 companies) with a shorter TFW can survive longer post-IPO. </w:t>
      </w:r>
    </w:p>
    <w:p w14:paraId="5D016F23" w14:textId="63365FFB" w:rsidR="002B3D1B" w:rsidRDefault="00A471F7" w:rsidP="002B3D1B">
      <w:pPr>
        <w:pStyle w:val="Heading1"/>
      </w:pPr>
      <w:r>
        <w:t>CONCLUSION</w:t>
      </w:r>
    </w:p>
    <w:p w14:paraId="5988BC6B" w14:textId="3D14E6CB" w:rsidR="005B4FA9" w:rsidRDefault="005B4FA9" w:rsidP="00E64E58">
      <w:pPr>
        <w:spacing w:after="120"/>
        <w:ind w:firstLine="284"/>
        <w:jc w:val="both"/>
      </w:pPr>
      <w:r>
        <w:t xml:space="preserve">To conclude, </w:t>
      </w:r>
      <w:r w:rsidRPr="005B4FA9">
        <w:t>companies with the proportion of IPO proceeds below 50 percent for all categories have a higher survival rate post-IPO than those above 50 percent for all categories. A mo</w:t>
      </w:r>
      <w:r>
        <w:t>re extended companies’ median ST</w:t>
      </w:r>
      <w:r w:rsidRPr="005B4FA9">
        <w:t xml:space="preserve"> with the proportion of IPO proceeds below 50 percent for all categories is also observable than those above 50 percent. This indicates that companies in the Malaysian market do not majorly allocate their raised IPO proceeds for any category as a way to survive longer post-IPO. Specifically</w:t>
      </w:r>
      <w:r>
        <w:t>,</w:t>
      </w:r>
      <w:r w:rsidRPr="005B4FA9">
        <w:t xml:space="preserve"> companies with POPG have the hig</w:t>
      </w:r>
      <w:r>
        <w:t>hest survival rate and median ST</w:t>
      </w:r>
      <w:r w:rsidRPr="005B4FA9">
        <w:t>, while companies with POPD have the lo</w:t>
      </w:r>
      <w:r>
        <w:t>west survival rate and media</w:t>
      </w:r>
      <w:r w:rsidR="004F7F40">
        <w:t>n ST. B</w:t>
      </w:r>
      <w:r w:rsidRPr="005B4FA9">
        <w:t xml:space="preserve">oth companies with TFG and TFD more than 24 months exhibit better </w:t>
      </w:r>
      <w:r>
        <w:t>survivability (longest median ST</w:t>
      </w:r>
      <w:r w:rsidRPr="005B4FA9">
        <w:t>) in each category</w:t>
      </w:r>
      <w:r w:rsidR="00065AF0">
        <w:t>. In comparison,</w:t>
      </w:r>
      <w:r w:rsidRPr="005B4FA9">
        <w:t xml:space="preserve"> companies with TFW less than 24 months have better survivability at the end of the observation period. This is in line with the objective of Bursa Malaysia (2020) in promoting IPO as a platform for companies to grow their capital and business to sustain longer in the capital market. </w:t>
      </w:r>
      <w:bookmarkStart w:id="1" w:name="_GoBack"/>
      <w:bookmarkEnd w:id="1"/>
    </w:p>
    <w:p w14:paraId="49A0EBC5" w14:textId="196F9635" w:rsidR="005B4FA9" w:rsidRPr="005B4FA9" w:rsidRDefault="005B4FA9" w:rsidP="004F7F40">
      <w:pPr>
        <w:ind w:firstLine="284"/>
        <w:jc w:val="both"/>
      </w:pPr>
      <w:r w:rsidRPr="005B4FA9">
        <w:t xml:space="preserve">In line with the findings of this study, it </w:t>
      </w:r>
      <w:r w:rsidR="004F7F40">
        <w:t>suggests</w:t>
      </w:r>
      <w:r w:rsidRPr="005B4FA9">
        <w:t xml:space="preserve"> that the disclosure of companies play a crucial role to ensure that companies </w:t>
      </w:r>
      <w:r w:rsidR="00065AF0">
        <w:t>can</w:t>
      </w:r>
      <w:r w:rsidRPr="005B4FA9">
        <w:t xml:space="preserve"> survive</w:t>
      </w:r>
      <w:r>
        <w:t xml:space="preserve"> better and</w:t>
      </w:r>
      <w:r w:rsidRPr="005B4FA9">
        <w:t xml:space="preserve"> longer post-IPO, specifically in the Malaysian market. </w:t>
      </w:r>
      <w:r>
        <w:t xml:space="preserve">This can be beneficial to investors </w:t>
      </w:r>
      <w:r w:rsidR="00065AF0">
        <w:t>making informed</w:t>
      </w:r>
      <w:r>
        <w:t xml:space="preserve"> investment activities. </w:t>
      </w:r>
      <w:r w:rsidRPr="005B4FA9">
        <w:t>Likewise, companies should strategically allocate the raised IPO proceeds to create value and reduce the risk of financing for a longer survival time.</w:t>
      </w:r>
      <w:r>
        <w:t xml:space="preserve"> </w:t>
      </w:r>
    </w:p>
    <w:p w14:paraId="03059DC5" w14:textId="710E4115" w:rsidR="002B3D1B" w:rsidRPr="00065AF0" w:rsidRDefault="002B3D1B" w:rsidP="00BD6B7F">
      <w:pPr>
        <w:pStyle w:val="Heading1"/>
      </w:pPr>
      <w:r w:rsidRPr="00065AF0">
        <w:t>A</w:t>
      </w:r>
      <w:r w:rsidR="005B4FA9" w:rsidRPr="00065AF0">
        <w:t>cknowledg</w:t>
      </w:r>
      <w:r w:rsidR="00065AF0" w:rsidRPr="00065AF0">
        <w:t>e</w:t>
      </w:r>
      <w:r w:rsidR="005B4FA9" w:rsidRPr="00065AF0">
        <w:t>ment</w:t>
      </w:r>
    </w:p>
    <w:p w14:paraId="33020CAC" w14:textId="2C708C35" w:rsidR="005B4FA9" w:rsidRPr="005B4FA9" w:rsidRDefault="001E39EE" w:rsidP="001E39EE">
      <w:pPr>
        <w:pStyle w:val="BodyText"/>
        <w:ind w:right="-36"/>
      </w:pPr>
      <w:r>
        <w:t>This</w:t>
      </w:r>
      <w:r>
        <w:rPr>
          <w:spacing w:val="1"/>
        </w:rPr>
        <w:t xml:space="preserve"> </w:t>
      </w:r>
      <w:r>
        <w:t>study would like to acknowledge that this article is part of a research project funded by Universiti Teknologi MARA (UiTM). Project ID: 600-RMC/MYRA 5/3/LESTARI (038/2020).</w:t>
      </w:r>
      <w:bookmarkStart w:id="2" w:name="REFERENCES"/>
      <w:bookmarkEnd w:id="2"/>
    </w:p>
    <w:p w14:paraId="639FC384" w14:textId="77777777" w:rsidR="002B3D1B" w:rsidRDefault="002B3D1B" w:rsidP="00BD6B7F">
      <w:pPr>
        <w:pStyle w:val="Heading1"/>
      </w:pPr>
      <w:r>
        <w:t>References</w:t>
      </w:r>
    </w:p>
    <w:p w14:paraId="256AEC13" w14:textId="77777777" w:rsidR="0045707D" w:rsidRPr="0045707D" w:rsidRDefault="0045707D" w:rsidP="0045707D">
      <w:pPr>
        <w:pStyle w:val="references"/>
        <w:rPr>
          <w:rFonts w:eastAsia="MS Mincho"/>
          <w:sz w:val="20"/>
          <w:szCs w:val="20"/>
        </w:rPr>
      </w:pPr>
      <w:commentRangeStart w:id="3"/>
      <w:r w:rsidRPr="0045707D">
        <w:rPr>
          <w:rFonts w:eastAsia="MS Mincho"/>
          <w:sz w:val="20"/>
          <w:szCs w:val="20"/>
        </w:rPr>
        <w:t>Abdul</w:t>
      </w:r>
      <w:commentRangeEnd w:id="3"/>
      <w:r w:rsidR="005C452F">
        <w:rPr>
          <w:rStyle w:val="CommentReference"/>
          <w:rFonts w:eastAsiaTheme="minorHAnsi"/>
          <w:noProof w:val="0"/>
          <w:lang w:val="en-GB"/>
        </w:rPr>
        <w:commentReference w:id="3"/>
      </w:r>
      <w:r w:rsidRPr="0045707D">
        <w:rPr>
          <w:rFonts w:eastAsia="MS Mincho"/>
          <w:sz w:val="20"/>
          <w:szCs w:val="20"/>
        </w:rPr>
        <w:t xml:space="preserve">-Rahim, R., &amp; Che-Embi, N. A. (2013). Initial Returns of Shariah versus Non-Shariah IPOs: Are There Any Differences? Jurnal Pengurusan, 39, 37-50. </w:t>
      </w:r>
    </w:p>
    <w:p w14:paraId="11EF5D10" w14:textId="28DC6A7A" w:rsidR="0045707D" w:rsidRPr="0045707D" w:rsidRDefault="0045707D" w:rsidP="0045707D">
      <w:pPr>
        <w:pStyle w:val="references"/>
        <w:rPr>
          <w:rFonts w:eastAsia="MS Mincho"/>
          <w:sz w:val="20"/>
          <w:szCs w:val="20"/>
        </w:rPr>
      </w:pPr>
      <w:r w:rsidRPr="0045707D">
        <w:rPr>
          <w:rFonts w:eastAsia="MS Mincho"/>
          <w:sz w:val="20"/>
          <w:szCs w:val="20"/>
        </w:rPr>
        <w:t>Abdul Rahman, S. S., &amp; Che-Yahya, N. (2019). Initial and long-term performance of IPOs. Does growth opportunity of issuing firm matter? Journal of Business and Eo</w:t>
      </w:r>
      <w:r>
        <w:rPr>
          <w:rFonts w:eastAsia="MS Mincho"/>
          <w:sz w:val="20"/>
          <w:szCs w:val="20"/>
        </w:rPr>
        <w:t>nomic Horizons, 15(2), 276-291.</w:t>
      </w:r>
    </w:p>
    <w:p w14:paraId="26D1DF38" w14:textId="11C7A38D" w:rsidR="0045707D" w:rsidRPr="0045707D" w:rsidRDefault="0045707D" w:rsidP="0045707D">
      <w:pPr>
        <w:pStyle w:val="references"/>
        <w:rPr>
          <w:rFonts w:eastAsia="MS Mincho"/>
          <w:sz w:val="20"/>
          <w:szCs w:val="20"/>
        </w:rPr>
      </w:pPr>
      <w:r w:rsidRPr="0045707D">
        <w:rPr>
          <w:rFonts w:eastAsia="MS Mincho"/>
          <w:sz w:val="20"/>
          <w:szCs w:val="20"/>
        </w:rPr>
        <w:t>Adachi-Sato, M., &amp; Vithessonthi, C. (2019). Corporate debt maturity and future firm performance volatility. International Review of Ec</w:t>
      </w:r>
      <w:r>
        <w:rPr>
          <w:rFonts w:eastAsia="MS Mincho"/>
          <w:sz w:val="20"/>
          <w:szCs w:val="20"/>
        </w:rPr>
        <w:t>onomics &amp; Finance, 60, 216-237.</w:t>
      </w:r>
    </w:p>
    <w:p w14:paraId="5C6D27DB" w14:textId="64E2BBC5" w:rsidR="0045707D" w:rsidRPr="0045707D" w:rsidRDefault="0045707D" w:rsidP="0045707D">
      <w:pPr>
        <w:pStyle w:val="references"/>
        <w:rPr>
          <w:rFonts w:eastAsia="MS Mincho"/>
          <w:sz w:val="20"/>
          <w:szCs w:val="20"/>
        </w:rPr>
      </w:pPr>
      <w:r w:rsidRPr="0045707D">
        <w:rPr>
          <w:rFonts w:eastAsia="MS Mincho"/>
          <w:sz w:val="20"/>
          <w:szCs w:val="20"/>
        </w:rPr>
        <w:t>Ahmad-Zaluki, N. A., &amp; Badru, B. O. (2020). Intended use of IPO proceeds and initial returns. Journal of Financial R</w:t>
      </w:r>
      <w:r>
        <w:rPr>
          <w:rFonts w:eastAsia="MS Mincho"/>
          <w:sz w:val="20"/>
          <w:szCs w:val="20"/>
        </w:rPr>
        <w:t>eporting and Accounting, 36(3).</w:t>
      </w:r>
    </w:p>
    <w:p w14:paraId="629EE575" w14:textId="18F9DB1D" w:rsidR="0045707D" w:rsidRPr="0045707D" w:rsidRDefault="0045707D" w:rsidP="0045707D">
      <w:pPr>
        <w:pStyle w:val="references"/>
        <w:rPr>
          <w:rFonts w:eastAsia="MS Mincho"/>
          <w:sz w:val="20"/>
          <w:szCs w:val="20"/>
        </w:rPr>
      </w:pPr>
      <w:r w:rsidRPr="0045707D">
        <w:rPr>
          <w:rFonts w:eastAsia="MS Mincho"/>
          <w:sz w:val="20"/>
          <w:szCs w:val="20"/>
        </w:rPr>
        <w:t xml:space="preserve">Ahmad, W., &amp; Jelic, R. (2014). Lockup Agreements and Survival of UK IPOs. Journal of Business Finance </w:t>
      </w:r>
      <w:r>
        <w:rPr>
          <w:rFonts w:eastAsia="MS Mincho"/>
          <w:sz w:val="20"/>
          <w:szCs w:val="20"/>
        </w:rPr>
        <w:t>&amp; Accounting, 41(5-6), 717-742.</w:t>
      </w:r>
    </w:p>
    <w:p w14:paraId="04D59EBC" w14:textId="6FF90CFF" w:rsidR="0045707D" w:rsidRPr="0045707D" w:rsidRDefault="0045707D" w:rsidP="0045707D">
      <w:pPr>
        <w:pStyle w:val="references"/>
        <w:rPr>
          <w:rFonts w:eastAsia="MS Mincho"/>
          <w:sz w:val="20"/>
          <w:szCs w:val="20"/>
        </w:rPr>
      </w:pPr>
      <w:r w:rsidRPr="0045707D">
        <w:rPr>
          <w:rFonts w:eastAsia="MS Mincho"/>
          <w:sz w:val="20"/>
          <w:szCs w:val="20"/>
        </w:rPr>
        <w:t>Aktas, N., Croci, E., &amp; Petmezas, D. (2015). Is working capital management value-enhancing? Evidence from firm performance and investments. Journal of</w:t>
      </w:r>
      <w:r>
        <w:rPr>
          <w:rFonts w:eastAsia="MS Mincho"/>
          <w:sz w:val="20"/>
          <w:szCs w:val="20"/>
        </w:rPr>
        <w:t xml:space="preserve"> Corporate Finance, 30, 98-113.</w:t>
      </w:r>
    </w:p>
    <w:p w14:paraId="123754FC" w14:textId="12AB441B" w:rsidR="0045707D" w:rsidRPr="0045707D" w:rsidRDefault="0045707D" w:rsidP="0045707D">
      <w:pPr>
        <w:pStyle w:val="references"/>
        <w:rPr>
          <w:rFonts w:eastAsia="MS Mincho"/>
          <w:sz w:val="20"/>
          <w:szCs w:val="20"/>
        </w:rPr>
      </w:pPr>
      <w:r w:rsidRPr="0045707D">
        <w:rPr>
          <w:rFonts w:eastAsia="MS Mincho"/>
          <w:sz w:val="20"/>
          <w:szCs w:val="20"/>
        </w:rPr>
        <w:t>Amor, S. B., &amp; Kooli, M. (2017). Intended use of proceeds and post-IPO performance. The Quarterly Review of Econ</w:t>
      </w:r>
      <w:r>
        <w:rPr>
          <w:rFonts w:eastAsia="MS Mincho"/>
          <w:sz w:val="20"/>
          <w:szCs w:val="20"/>
        </w:rPr>
        <w:t>omics and Finance, 65, 168-181.</w:t>
      </w:r>
    </w:p>
    <w:p w14:paraId="6FC41459" w14:textId="191550F9" w:rsidR="0045707D" w:rsidRPr="0045707D" w:rsidRDefault="0045707D" w:rsidP="0045707D">
      <w:pPr>
        <w:pStyle w:val="references"/>
        <w:rPr>
          <w:rFonts w:eastAsia="MS Mincho"/>
          <w:sz w:val="20"/>
          <w:szCs w:val="20"/>
        </w:rPr>
      </w:pPr>
      <w:r w:rsidRPr="0045707D">
        <w:rPr>
          <w:rFonts w:eastAsia="MS Mincho"/>
          <w:sz w:val="20"/>
          <w:szCs w:val="20"/>
        </w:rPr>
        <w:t>Andriansyah, A. (2017). The real effects of primary and secondary equity markets on firm performance. International Journal of Mana</w:t>
      </w:r>
      <w:r>
        <w:rPr>
          <w:rFonts w:eastAsia="MS Mincho"/>
          <w:sz w:val="20"/>
          <w:szCs w:val="20"/>
        </w:rPr>
        <w:t>gerial Finance, 13(4), 397-418.</w:t>
      </w:r>
    </w:p>
    <w:p w14:paraId="504D7B24"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Badru, B. O. (2021). Decomposition of Intended Use of Initial Public Offering Proceeds: Evidence from Malaysia. Gadjah Mada International Journal of Business, 23(1), 76-90. </w:t>
      </w:r>
    </w:p>
    <w:p w14:paraId="4779E1A1" w14:textId="0A2A1764" w:rsidR="0045707D" w:rsidRPr="0045707D" w:rsidRDefault="0045707D" w:rsidP="0045707D">
      <w:pPr>
        <w:pStyle w:val="references"/>
        <w:rPr>
          <w:rFonts w:eastAsia="MS Mincho"/>
          <w:sz w:val="20"/>
          <w:szCs w:val="20"/>
        </w:rPr>
      </w:pPr>
      <w:r w:rsidRPr="0045707D">
        <w:rPr>
          <w:rFonts w:eastAsia="MS Mincho"/>
          <w:sz w:val="20"/>
          <w:szCs w:val="20"/>
        </w:rPr>
        <w:t>Baluja, G. (2018). Does Size Matter for IPO Survival? Empirical Evidence from India. Vision: The Journal of Busin</w:t>
      </w:r>
      <w:r>
        <w:rPr>
          <w:rFonts w:eastAsia="MS Mincho"/>
          <w:sz w:val="20"/>
          <w:szCs w:val="20"/>
        </w:rPr>
        <w:t>ess Perspective, 22(1), 88-104.</w:t>
      </w:r>
    </w:p>
    <w:p w14:paraId="29D1B741"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Bursa Malaysia. (2020). Going Public: A Practical Guide to Listing on Bursa Malaysia. </w:t>
      </w:r>
    </w:p>
    <w:p w14:paraId="6D700350"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Bursa Malaysia. (2021). Selection of FTSE Bursa Malaysia KLCI Constituents. </w:t>
      </w:r>
    </w:p>
    <w:p w14:paraId="7D3C17E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Chancharat, N., Krishnamurti, C., &amp; Tian, G. (2012). Board Structure and Survival of New Economy IPO Firms. Corporate Governance: An International Review, 20(2), 144-163. </w:t>
      </w:r>
    </w:p>
    <w:p w14:paraId="056F200B" w14:textId="193E74FE" w:rsidR="0045707D" w:rsidRPr="0045707D" w:rsidRDefault="0045707D" w:rsidP="0045707D">
      <w:pPr>
        <w:pStyle w:val="references"/>
        <w:rPr>
          <w:rFonts w:eastAsia="MS Mincho"/>
          <w:sz w:val="20"/>
          <w:szCs w:val="20"/>
        </w:rPr>
      </w:pPr>
      <w:r w:rsidRPr="0045707D">
        <w:rPr>
          <w:rFonts w:eastAsia="MS Mincho"/>
          <w:sz w:val="20"/>
          <w:szCs w:val="20"/>
        </w:rPr>
        <w:t>Che-Yahya, N., &amp; Matsuura, Y. (2021). Does Individual Investors</w:t>
      </w:r>
      <w:r w:rsidR="00EC32FF">
        <w:rPr>
          <w:rFonts w:eastAsia="MS Mincho"/>
          <w:sz w:val="20"/>
          <w:szCs w:val="20"/>
        </w:rPr>
        <w:t>’</w:t>
      </w:r>
      <w:r w:rsidRPr="0045707D">
        <w:rPr>
          <w:rFonts w:eastAsia="MS Mincho"/>
          <w:sz w:val="20"/>
          <w:szCs w:val="20"/>
        </w:rPr>
        <w:t xml:space="preserve"> Sentiment Explain Japanese IPO Aftermarket Performance? Journal of Asian Finance, Economics and Business, 8(4), 1079-1090. doi:10.13106/jafeb.2021.vol8.no4.1079</w:t>
      </w:r>
    </w:p>
    <w:p w14:paraId="132CEEFC" w14:textId="77777777" w:rsidR="0045707D" w:rsidRPr="0045707D" w:rsidRDefault="0045707D" w:rsidP="0045707D">
      <w:pPr>
        <w:pStyle w:val="references"/>
        <w:rPr>
          <w:rFonts w:eastAsia="MS Mincho"/>
          <w:sz w:val="20"/>
          <w:szCs w:val="20"/>
        </w:rPr>
      </w:pPr>
      <w:r w:rsidRPr="0045707D">
        <w:rPr>
          <w:rFonts w:eastAsia="MS Mincho"/>
          <w:sz w:val="20"/>
          <w:szCs w:val="20"/>
        </w:rPr>
        <w:t>Cleves, M., Gould, W. W., &amp; Marchenko, Y. V. (2016). An Introduction to Survival Analysis Using Stata (Revised Third ed.): Stata Press.</w:t>
      </w:r>
    </w:p>
    <w:p w14:paraId="3DD8FABC" w14:textId="6C2CB859" w:rsidR="0045707D" w:rsidRPr="008C24DF" w:rsidRDefault="0045707D" w:rsidP="001E192D">
      <w:pPr>
        <w:pStyle w:val="references"/>
        <w:numPr>
          <w:ilvl w:val="0"/>
          <w:numId w:val="0"/>
        </w:numPr>
        <w:ind w:left="360"/>
        <w:rPr>
          <w:rFonts w:eastAsia="MS Mincho"/>
          <w:sz w:val="20"/>
          <w:szCs w:val="20"/>
        </w:rPr>
      </w:pPr>
      <w:r w:rsidRPr="008C24DF">
        <w:rPr>
          <w:rFonts w:eastAsia="MS Mincho"/>
          <w:sz w:val="20"/>
          <w:szCs w:val="20"/>
        </w:rPr>
        <w:t xml:space="preserve">Dziczkowski, M. (2020). Strategies for Going Public. </w:t>
      </w:r>
      <w:r w:rsidR="008C24DF">
        <w:rPr>
          <w:rFonts w:eastAsia="MS Mincho"/>
          <w:sz w:val="20"/>
          <w:szCs w:val="20"/>
        </w:rPr>
        <w:t xml:space="preserve">Retrieved from: </w:t>
      </w:r>
      <w:r w:rsidRPr="008C24DF">
        <w:rPr>
          <w:rFonts w:eastAsia="MS Mincho"/>
          <w:sz w:val="20"/>
          <w:szCs w:val="20"/>
        </w:rPr>
        <w:t>https://www2.deloitte.com/content/dam/Deloitte/us/Documents/risk/strategies-for-going-public-5th-edition-update.pdf</w:t>
      </w:r>
    </w:p>
    <w:p w14:paraId="4817D92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Espenlaub, S., Goyal, A., &amp; Mohamed, A. (2016). Impact of legal institutions on IPO survival: A global perspective. Journal of Financial Stability, 25, 98-112. </w:t>
      </w:r>
    </w:p>
    <w:p w14:paraId="55F3C693" w14:textId="176D82B9" w:rsidR="0045707D" w:rsidRPr="0045707D" w:rsidRDefault="0045707D" w:rsidP="0045707D">
      <w:pPr>
        <w:pStyle w:val="references"/>
        <w:rPr>
          <w:rFonts w:eastAsia="MS Mincho"/>
          <w:sz w:val="20"/>
          <w:szCs w:val="20"/>
        </w:rPr>
      </w:pPr>
      <w:r w:rsidRPr="0045707D">
        <w:rPr>
          <w:rFonts w:eastAsia="MS Mincho"/>
          <w:sz w:val="20"/>
          <w:szCs w:val="20"/>
        </w:rPr>
        <w:t>Espenlaub, S., Khurshed, A., &amp; Mohamed, A. (2012). IPO Survival in a Reputational Market. Journal of Business Finance &amp; Accounting, 39(3-4), 427-463.</w:t>
      </w:r>
    </w:p>
    <w:p w14:paraId="0415E1D4" w14:textId="1D27D14C" w:rsidR="0045707D" w:rsidRPr="0045707D" w:rsidRDefault="0045707D" w:rsidP="0045707D">
      <w:pPr>
        <w:pStyle w:val="references"/>
        <w:rPr>
          <w:rFonts w:eastAsia="MS Mincho"/>
          <w:sz w:val="20"/>
          <w:szCs w:val="20"/>
        </w:rPr>
      </w:pPr>
      <w:r w:rsidRPr="0045707D">
        <w:rPr>
          <w:rFonts w:eastAsia="MS Mincho"/>
          <w:sz w:val="20"/>
          <w:szCs w:val="20"/>
        </w:rPr>
        <w:t>Gémar, G., Moniche, L., &amp; Morales, A. J. (2016). Survival Analysis of the Spanish Hotel Industry. T</w:t>
      </w:r>
      <w:r>
        <w:rPr>
          <w:rFonts w:eastAsia="MS Mincho"/>
          <w:sz w:val="20"/>
          <w:szCs w:val="20"/>
        </w:rPr>
        <w:t>ourism Management, 54, 428-438.</w:t>
      </w:r>
    </w:p>
    <w:p w14:paraId="56852F1F" w14:textId="7205DD2F" w:rsidR="0045707D" w:rsidRPr="0045707D" w:rsidRDefault="0045707D" w:rsidP="0045707D">
      <w:pPr>
        <w:pStyle w:val="references"/>
        <w:rPr>
          <w:rFonts w:eastAsia="MS Mincho"/>
          <w:sz w:val="20"/>
          <w:szCs w:val="20"/>
        </w:rPr>
      </w:pPr>
      <w:r w:rsidRPr="0045707D">
        <w:rPr>
          <w:rFonts w:eastAsia="MS Mincho"/>
          <w:sz w:val="20"/>
          <w:szCs w:val="20"/>
        </w:rPr>
        <w:t>Iwasaki, I., &amp; Kočenda, E. (2019). Survival of service firms in European emerging economies. Applied Eco</w:t>
      </w:r>
      <w:r>
        <w:rPr>
          <w:rFonts w:eastAsia="MS Mincho"/>
          <w:sz w:val="20"/>
          <w:szCs w:val="20"/>
        </w:rPr>
        <w:t>nomics Letters, 27(4), 340-348.</w:t>
      </w:r>
    </w:p>
    <w:p w14:paraId="4E6D9F70"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Kooli, M., &amp; Meknassi, S. (2007). The Survival of U.S. IPO Issuers 1985-2005. The Journal of Wealth Management, 10(2). </w:t>
      </w:r>
    </w:p>
    <w:p w14:paraId="5E8A6A18" w14:textId="162D8778" w:rsidR="0045707D" w:rsidRPr="0045707D" w:rsidRDefault="0045707D" w:rsidP="0045707D">
      <w:pPr>
        <w:pStyle w:val="references"/>
        <w:rPr>
          <w:rFonts w:eastAsia="MS Mincho"/>
          <w:sz w:val="20"/>
          <w:szCs w:val="20"/>
        </w:rPr>
      </w:pPr>
      <w:r w:rsidRPr="0045707D">
        <w:rPr>
          <w:rFonts w:eastAsia="MS Mincho"/>
          <w:sz w:val="20"/>
          <w:szCs w:val="20"/>
        </w:rPr>
        <w:t>Kumar, A., &amp; Sahoo, S. (2021). Do anchor investors affect long run performance? Evidence from Indian IPO markets. Pacific Acc</w:t>
      </w:r>
      <w:r>
        <w:rPr>
          <w:rFonts w:eastAsia="MS Mincho"/>
          <w:sz w:val="20"/>
          <w:szCs w:val="20"/>
        </w:rPr>
        <w:t>ounting Review, 33(3), 322-346.</w:t>
      </w:r>
    </w:p>
    <w:p w14:paraId="7F1515D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Lamberto, A. P., &amp; Rath, S. (2010). The Survival of Initial Public Offerings in Australia. The International Journal of Business and Finance Research, 4(1), 133-147. </w:t>
      </w:r>
    </w:p>
    <w:p w14:paraId="66F32A3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Loughran, T., &amp; Ritter, J. (2004). Why Has IPO Underpricing Changed over Time? Financial Management, 33(3), 5-37. </w:t>
      </w:r>
    </w:p>
    <w:p w14:paraId="19A6CBC2" w14:textId="2151168B" w:rsidR="0045707D" w:rsidRPr="0045707D" w:rsidRDefault="0045707D" w:rsidP="0045707D">
      <w:pPr>
        <w:pStyle w:val="references"/>
        <w:rPr>
          <w:rFonts w:eastAsia="MS Mincho"/>
          <w:sz w:val="20"/>
          <w:szCs w:val="20"/>
        </w:rPr>
      </w:pPr>
      <w:r w:rsidRPr="0045707D">
        <w:rPr>
          <w:rFonts w:eastAsia="MS Mincho"/>
          <w:sz w:val="20"/>
          <w:szCs w:val="20"/>
        </w:rPr>
        <w:t>Luo, X. (2009). Quantifying the Long-Term Impact of Negative Word of Mouth on Cash Flows and Stock Prices. Mar</w:t>
      </w:r>
      <w:r>
        <w:rPr>
          <w:rFonts w:eastAsia="MS Mincho"/>
          <w:sz w:val="20"/>
          <w:szCs w:val="20"/>
        </w:rPr>
        <w:t>keting Science, 28(1), 148-165.</w:t>
      </w:r>
    </w:p>
    <w:p w14:paraId="2EE3942A"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Mehmood, W., Rashid, R.-M., &amp; Tajuddin, A. H. (2021). A Review of IPO Undepricing: Evidences from Developed, Developing and Emerging Markets. Journal of Contemporary Issues and Thought, 11(1), 1-20. </w:t>
      </w:r>
    </w:p>
    <w:p w14:paraId="6BB7DC0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Neneh, B. N., &amp; Smit, V. A. (2014). Determinants of IPO Survival on the Johannesburg Securities Exchange. Risk Governance &amp; Control: Financial Markers &amp; Institutions, 4(3), 71-83. </w:t>
      </w:r>
    </w:p>
    <w:p w14:paraId="07820C43"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Peristiani, S., &amp; Hong, G. (2004). Pre-IPO Financial Performance and Aftermarket Survival. Current Issues in Economics and Finance, 10(2), 1-7. </w:t>
      </w:r>
    </w:p>
    <w:p w14:paraId="231D0D88" w14:textId="1A3D3B01" w:rsidR="0045707D" w:rsidRPr="0045707D" w:rsidRDefault="0045707D" w:rsidP="0045707D">
      <w:pPr>
        <w:pStyle w:val="references"/>
        <w:rPr>
          <w:rFonts w:eastAsia="MS Mincho"/>
          <w:sz w:val="20"/>
          <w:szCs w:val="20"/>
        </w:rPr>
      </w:pPr>
      <w:r w:rsidRPr="0045707D">
        <w:rPr>
          <w:rFonts w:eastAsia="MS Mincho"/>
          <w:sz w:val="20"/>
          <w:szCs w:val="20"/>
        </w:rPr>
        <w:t>Pommet, S. (2017). The impact of the quality of VC financing and monitoring on the survival of IPO firms. Mana</w:t>
      </w:r>
      <w:r>
        <w:rPr>
          <w:rFonts w:eastAsia="MS Mincho"/>
          <w:sz w:val="20"/>
          <w:szCs w:val="20"/>
        </w:rPr>
        <w:t>gerial Finance, 43(4), 440-451.</w:t>
      </w:r>
    </w:p>
    <w:p w14:paraId="2C9CCDCF"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Pour, E. K. (2015). IPO survival and CEOs’ decision-making power: The evidence of China. Research in International Business and Finance, 33, 247-267. </w:t>
      </w:r>
    </w:p>
    <w:p w14:paraId="169048E8" w14:textId="2E114EB3" w:rsidR="0045707D" w:rsidRPr="0045707D" w:rsidRDefault="0045707D" w:rsidP="0045707D">
      <w:pPr>
        <w:pStyle w:val="references"/>
        <w:rPr>
          <w:rFonts w:eastAsia="MS Mincho"/>
          <w:sz w:val="20"/>
          <w:szCs w:val="20"/>
        </w:rPr>
      </w:pPr>
      <w:r w:rsidRPr="0045707D">
        <w:rPr>
          <w:rFonts w:eastAsia="MS Mincho"/>
          <w:sz w:val="20"/>
          <w:szCs w:val="20"/>
        </w:rPr>
        <w:t>Pour, E. K., &amp; Lasfer, M. (2013). Why do companies delist voluntarily from the stock market? Journal of Bankin</w:t>
      </w:r>
      <w:r>
        <w:rPr>
          <w:rFonts w:eastAsia="MS Mincho"/>
          <w:sz w:val="20"/>
          <w:szCs w:val="20"/>
        </w:rPr>
        <w:t>g &amp; Finance, 37(12), 4850-4860.</w:t>
      </w:r>
    </w:p>
    <w:p w14:paraId="3849A36E" w14:textId="77777777" w:rsidR="0045707D" w:rsidRPr="0045707D" w:rsidRDefault="0045707D" w:rsidP="0045707D">
      <w:pPr>
        <w:pStyle w:val="references"/>
        <w:rPr>
          <w:rFonts w:eastAsia="MS Mincho"/>
          <w:sz w:val="20"/>
          <w:szCs w:val="20"/>
        </w:rPr>
      </w:pPr>
      <w:r w:rsidRPr="0045707D">
        <w:rPr>
          <w:rFonts w:eastAsia="MS Mincho"/>
          <w:sz w:val="20"/>
          <w:szCs w:val="20"/>
        </w:rPr>
        <w:t xml:space="preserve">Securities Commission Malaysia. (2020). Prospectus Guideline Part II, Contents of Prospectus. 1-77. </w:t>
      </w:r>
    </w:p>
    <w:p w14:paraId="7C0F80CF" w14:textId="6904EDA9" w:rsidR="0045707D" w:rsidRPr="0045707D" w:rsidRDefault="0045707D" w:rsidP="0045707D">
      <w:pPr>
        <w:pStyle w:val="references"/>
        <w:rPr>
          <w:rFonts w:eastAsia="MS Mincho"/>
          <w:sz w:val="20"/>
          <w:szCs w:val="20"/>
        </w:rPr>
      </w:pPr>
      <w:r w:rsidRPr="0045707D">
        <w:rPr>
          <w:rFonts w:eastAsia="MS Mincho"/>
          <w:sz w:val="20"/>
          <w:szCs w:val="20"/>
        </w:rPr>
        <w:t xml:space="preserve">Shari, W. (2019). Survival of the Malaysian Initial Public Offerings. Management Science Letters, 607-620. </w:t>
      </w:r>
    </w:p>
    <w:p w14:paraId="79CD7AD5" w14:textId="6D2110B3" w:rsidR="0045707D" w:rsidRPr="0045707D" w:rsidRDefault="0045707D" w:rsidP="0045707D">
      <w:pPr>
        <w:pStyle w:val="references"/>
        <w:rPr>
          <w:rFonts w:eastAsia="MS Mincho"/>
          <w:sz w:val="20"/>
          <w:szCs w:val="20"/>
        </w:rPr>
      </w:pPr>
      <w:r w:rsidRPr="0045707D">
        <w:rPr>
          <w:rFonts w:eastAsia="MS Mincho"/>
          <w:sz w:val="20"/>
          <w:szCs w:val="20"/>
        </w:rPr>
        <w:t>Shumway, T. (2001). Forecasting Bankruptcy More Accurately: A Simple Hazard Model. The Journ</w:t>
      </w:r>
      <w:r>
        <w:rPr>
          <w:rFonts w:eastAsia="MS Mincho"/>
          <w:sz w:val="20"/>
          <w:szCs w:val="20"/>
        </w:rPr>
        <w:t>al of Business, 74(1), 101–124.</w:t>
      </w:r>
    </w:p>
    <w:p w14:paraId="5AEE4479" w14:textId="697F81EF" w:rsidR="0045707D" w:rsidRPr="0045707D" w:rsidRDefault="0045707D" w:rsidP="0045707D">
      <w:pPr>
        <w:pStyle w:val="references"/>
        <w:rPr>
          <w:rFonts w:eastAsia="MS Mincho"/>
          <w:sz w:val="20"/>
          <w:szCs w:val="20"/>
        </w:rPr>
      </w:pPr>
      <w:r w:rsidRPr="0045707D">
        <w:rPr>
          <w:rFonts w:eastAsia="MS Mincho"/>
          <w:sz w:val="20"/>
          <w:szCs w:val="20"/>
        </w:rPr>
        <w:t>Wang, Y., &amp; Wang, G. (2021). IPO underpricing and long-term performance in China: the perspective of price limit policy. Managerial Finance, 47(9), 1233-1252</w:t>
      </w:r>
      <w:r>
        <w:rPr>
          <w:rFonts w:eastAsia="MS Mincho"/>
          <w:sz w:val="20"/>
          <w:szCs w:val="20"/>
        </w:rPr>
        <w:t>.</w:t>
      </w:r>
    </w:p>
    <w:p w14:paraId="01C5C2FB" w14:textId="3E7DFF7A" w:rsidR="0045707D" w:rsidRPr="0045707D" w:rsidRDefault="0045707D" w:rsidP="0045707D">
      <w:pPr>
        <w:pStyle w:val="references"/>
        <w:rPr>
          <w:rFonts w:eastAsia="MS Mincho"/>
          <w:sz w:val="20"/>
          <w:szCs w:val="20"/>
        </w:rPr>
      </w:pPr>
      <w:r w:rsidRPr="0045707D">
        <w:rPr>
          <w:rFonts w:eastAsia="MS Mincho"/>
          <w:sz w:val="20"/>
          <w:szCs w:val="20"/>
        </w:rPr>
        <w:t>Wyatt, A. (2014). Is there useful information in the ‘use of proceeds’ disclosures in IPO prospectuses? Journal of Accoun</w:t>
      </w:r>
      <w:r>
        <w:rPr>
          <w:rFonts w:eastAsia="MS Mincho"/>
          <w:sz w:val="20"/>
          <w:szCs w:val="20"/>
        </w:rPr>
        <w:t>ting &amp; Finance, 54(2), 625-667.</w:t>
      </w:r>
    </w:p>
    <w:p w14:paraId="0ECECB79" w14:textId="77777777" w:rsidR="002B3D1B" w:rsidRDefault="002B3D1B" w:rsidP="002B3D1B">
      <w:pPr>
        <w:pStyle w:val="references"/>
        <w:rPr>
          <w:rFonts w:eastAsia="MS Mincho"/>
        </w:rPr>
        <w:sectPr w:rsidR="002B3D1B" w:rsidSect="00A471F7">
          <w:type w:val="continuous"/>
          <w:pgSz w:w="11909" w:h="16834" w:code="9"/>
          <w:pgMar w:top="1077" w:right="731" w:bottom="2432" w:left="731" w:header="720" w:footer="720" w:gutter="0"/>
          <w:cols w:space="360"/>
          <w:docGrid w:linePitch="360"/>
        </w:sectPr>
      </w:pPr>
    </w:p>
    <w:p w14:paraId="2E60A19F" w14:textId="77777777" w:rsidR="002B3D1B" w:rsidRDefault="002B3D1B" w:rsidP="005B4FA9">
      <w:pPr>
        <w:jc w:val="both"/>
      </w:pPr>
    </w:p>
    <w:sectPr w:rsidR="002B3D1B" w:rsidSect="00A471F7">
      <w:type w:val="continuous"/>
      <w:pgSz w:w="11909" w:h="16834" w:code="9"/>
      <w:pgMar w:top="1077" w:right="731" w:bottom="2432" w:left="73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zer" w:date="2022-01-12T10:32:00Z" w:initials="U">
    <w:p w14:paraId="0F2DAB6F" w14:textId="632C69DC" w:rsidR="005C452F" w:rsidRDefault="005C452F">
      <w:pPr>
        <w:pStyle w:val="CommentText"/>
      </w:pPr>
      <w:r>
        <w:rPr>
          <w:rStyle w:val="CommentReference"/>
        </w:rPr>
        <w:annotationRef/>
      </w:r>
      <w:r>
        <w:t>Please add the novelty of this paper</w:t>
      </w:r>
    </w:p>
  </w:comment>
  <w:comment w:id="3" w:author="Uzer" w:date="2022-01-12T10:33:00Z" w:initials="U">
    <w:p w14:paraId="39E6146F" w14:textId="765DF500" w:rsidR="005C452F" w:rsidRDefault="005C452F">
      <w:pPr>
        <w:pStyle w:val="CommentText"/>
      </w:pPr>
      <w:r>
        <w:rPr>
          <w:rStyle w:val="CommentReference"/>
        </w:rPr>
        <w:annotationRef/>
      </w:r>
      <w:r>
        <w:t xml:space="preserve">Please make sure that all the citation include in the body of paper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2DAB6F" w15:done="0"/>
  <w15:commentEx w15:paraId="39E614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0550D" w14:textId="77777777" w:rsidR="003C4CBC" w:rsidRDefault="003C4CBC" w:rsidP="00B51B14">
      <w:r>
        <w:separator/>
      </w:r>
    </w:p>
  </w:endnote>
  <w:endnote w:type="continuationSeparator" w:id="0">
    <w:p w14:paraId="40F9DF93" w14:textId="77777777" w:rsidR="003C4CBC" w:rsidRDefault="003C4CBC" w:rsidP="00B5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EFEAD" w14:textId="77777777" w:rsidR="003C4CBC" w:rsidRDefault="003C4CBC" w:rsidP="00B51B14">
      <w:r>
        <w:separator/>
      </w:r>
    </w:p>
  </w:footnote>
  <w:footnote w:type="continuationSeparator" w:id="0">
    <w:p w14:paraId="765D1023" w14:textId="77777777" w:rsidR="003C4CBC" w:rsidRDefault="003C4CBC" w:rsidP="00B51B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er">
    <w15:presenceInfo w15:providerId="None" w15:userId="U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0MDE3MzeztDAwt7BU0lEKTi0uzszPAykwqgUAf4yiLiwAAAA="/>
  </w:docVars>
  <w:rsids>
    <w:rsidRoot w:val="002B3D1B"/>
    <w:rsid w:val="00065AF0"/>
    <w:rsid w:val="0006772B"/>
    <w:rsid w:val="00115B04"/>
    <w:rsid w:val="001903B8"/>
    <w:rsid w:val="001E39EE"/>
    <w:rsid w:val="001F3E38"/>
    <w:rsid w:val="00286713"/>
    <w:rsid w:val="002B3D1B"/>
    <w:rsid w:val="002D602C"/>
    <w:rsid w:val="003C4CBC"/>
    <w:rsid w:val="0045707D"/>
    <w:rsid w:val="004A6B30"/>
    <w:rsid w:val="004F7F40"/>
    <w:rsid w:val="005A45DC"/>
    <w:rsid w:val="005B4FA9"/>
    <w:rsid w:val="005C452F"/>
    <w:rsid w:val="00714CC2"/>
    <w:rsid w:val="00774B3C"/>
    <w:rsid w:val="00813326"/>
    <w:rsid w:val="008503F6"/>
    <w:rsid w:val="008C24DF"/>
    <w:rsid w:val="008D3472"/>
    <w:rsid w:val="0092430A"/>
    <w:rsid w:val="00A471F7"/>
    <w:rsid w:val="00AD477C"/>
    <w:rsid w:val="00B51B14"/>
    <w:rsid w:val="00BD6B7F"/>
    <w:rsid w:val="00C245CB"/>
    <w:rsid w:val="00C35775"/>
    <w:rsid w:val="00CA2480"/>
    <w:rsid w:val="00DD4247"/>
    <w:rsid w:val="00DF7F18"/>
    <w:rsid w:val="00E1332E"/>
    <w:rsid w:val="00E64E58"/>
    <w:rsid w:val="00EC32F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B5CD"/>
  <w15:chartTrackingRefBased/>
  <w15:docId w15:val="{BCA4E060-2692-4A54-BDCC-D2ABD8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1B"/>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2B3D1B"/>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2B3D1B"/>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2B3D1B"/>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2B3D1B"/>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2B3D1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B3D1B"/>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2B3D1B"/>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2B3D1B"/>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2B3D1B"/>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2B3D1B"/>
    <w:rPr>
      <w:rFonts w:ascii="Times New Roman" w:eastAsia="Times New Roman" w:hAnsi="Times New Roman" w:cs="Times New Roman"/>
      <w:smallCaps/>
      <w:noProof/>
      <w:sz w:val="20"/>
      <w:szCs w:val="20"/>
      <w:lang w:val="en-US"/>
    </w:rPr>
  </w:style>
  <w:style w:type="paragraph" w:customStyle="1" w:styleId="Abstract">
    <w:name w:val="Abstract"/>
    <w:uiPriority w:val="99"/>
    <w:rsid w:val="002B3D1B"/>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2B3D1B"/>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2B3D1B"/>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2B3D1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2B3D1B"/>
    <w:rPr>
      <w:rFonts w:ascii="Times New Roman" w:eastAsia="MS Mincho" w:hAnsi="Times New Roman" w:cs="Times New Roman"/>
      <w:spacing w:val="-1"/>
      <w:sz w:val="20"/>
      <w:szCs w:val="20"/>
      <w:lang w:val="en-US"/>
    </w:rPr>
  </w:style>
  <w:style w:type="paragraph" w:customStyle="1" w:styleId="bulletlist">
    <w:name w:val="bullet list"/>
    <w:basedOn w:val="BodyText"/>
    <w:rsid w:val="002B3D1B"/>
    <w:pPr>
      <w:numPr>
        <w:numId w:val="1"/>
      </w:numPr>
      <w:tabs>
        <w:tab w:val="clear" w:pos="648"/>
      </w:tabs>
      <w:ind w:left="576" w:hanging="288"/>
    </w:pPr>
  </w:style>
  <w:style w:type="paragraph" w:customStyle="1" w:styleId="equation">
    <w:name w:val="equation"/>
    <w:basedOn w:val="Normal"/>
    <w:uiPriority w:val="99"/>
    <w:rsid w:val="002B3D1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3D1B"/>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2B3D1B"/>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2B3D1B"/>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2B3D1B"/>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2B3D1B"/>
    <w:pPr>
      <w:numPr>
        <w:numId w:val="4"/>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2B3D1B"/>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2B3D1B"/>
    <w:rPr>
      <w:b/>
      <w:bCs/>
      <w:sz w:val="16"/>
      <w:szCs w:val="16"/>
    </w:rPr>
  </w:style>
  <w:style w:type="paragraph" w:customStyle="1" w:styleId="tablecolsubhead">
    <w:name w:val="table col subhead"/>
    <w:basedOn w:val="tablecolhead"/>
    <w:uiPriority w:val="99"/>
    <w:rsid w:val="002B3D1B"/>
    <w:rPr>
      <w:i/>
      <w:iCs/>
      <w:sz w:val="15"/>
      <w:szCs w:val="15"/>
    </w:rPr>
  </w:style>
  <w:style w:type="paragraph" w:customStyle="1" w:styleId="tablecopy">
    <w:name w:val="table copy"/>
    <w:uiPriority w:val="99"/>
    <w:rsid w:val="002B3D1B"/>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2B3D1B"/>
    <w:pPr>
      <w:numPr>
        <w:numId w:val="6"/>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2B3D1B"/>
    <w:pPr>
      <w:numPr>
        <w:numId w:val="5"/>
      </w:numPr>
      <w:spacing w:before="240" w:after="120" w:line="216" w:lineRule="auto"/>
      <w:jc w:val="center"/>
    </w:pPr>
    <w:rPr>
      <w:rFonts w:ascii="Times New Roman" w:eastAsia="Times New Roman" w:hAnsi="Times New Roman" w:cs="Times New Roman"/>
      <w:smallCaps/>
      <w:noProof/>
      <w:sz w:val="16"/>
      <w:szCs w:val="16"/>
      <w:lang w:val="en-US"/>
    </w:rPr>
  </w:style>
  <w:style w:type="character" w:customStyle="1" w:styleId="FootnoteTextChar">
    <w:name w:val="Footnote Text Char"/>
    <w:basedOn w:val="DefaultParagraphFont"/>
    <w:link w:val="FootnoteText"/>
    <w:uiPriority w:val="43"/>
    <w:rsid w:val="00B51B14"/>
    <w:rPr>
      <w:rFonts w:ascii="Times New Roman" w:hAnsi="Times New Roman" w:cs="Times New Roman"/>
      <w:sz w:val="18"/>
      <w:szCs w:val="18"/>
      <w:lang w:val="en-GB"/>
    </w:rPr>
  </w:style>
  <w:style w:type="paragraph" w:styleId="FootnoteText">
    <w:name w:val="footnote text"/>
    <w:basedOn w:val="Normal"/>
    <w:link w:val="FootnoteTextChar"/>
    <w:autoRedefine/>
    <w:uiPriority w:val="43"/>
    <w:unhideWhenUsed/>
    <w:rsid w:val="00B51B14"/>
    <w:pPr>
      <w:widowControl w:val="0"/>
      <w:ind w:right="-36"/>
      <w:jc w:val="both"/>
    </w:pPr>
    <w:rPr>
      <w:rFonts w:eastAsiaTheme="minorHAnsi"/>
      <w:sz w:val="18"/>
      <w:szCs w:val="18"/>
      <w:lang w:val="en-GB"/>
    </w:rPr>
  </w:style>
  <w:style w:type="character" w:customStyle="1" w:styleId="FootnoteTextChar1">
    <w:name w:val="Footnote Text Char1"/>
    <w:basedOn w:val="DefaultParagraphFont"/>
    <w:uiPriority w:val="99"/>
    <w:semiHidden/>
    <w:rsid w:val="00B51B14"/>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B51B14"/>
    <w:rPr>
      <w:vertAlign w:val="superscript"/>
    </w:rPr>
  </w:style>
  <w:style w:type="paragraph" w:styleId="Header">
    <w:name w:val="header"/>
    <w:basedOn w:val="Normal"/>
    <w:link w:val="HeaderChar"/>
    <w:uiPriority w:val="99"/>
    <w:unhideWhenUsed/>
    <w:rsid w:val="00B51B14"/>
    <w:pPr>
      <w:tabs>
        <w:tab w:val="center" w:pos="4513"/>
        <w:tab w:val="right" w:pos="9026"/>
      </w:tabs>
    </w:pPr>
  </w:style>
  <w:style w:type="character" w:customStyle="1" w:styleId="HeaderChar">
    <w:name w:val="Header Char"/>
    <w:basedOn w:val="DefaultParagraphFont"/>
    <w:link w:val="Header"/>
    <w:uiPriority w:val="99"/>
    <w:rsid w:val="00B51B1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1B14"/>
    <w:pPr>
      <w:tabs>
        <w:tab w:val="center" w:pos="4513"/>
        <w:tab w:val="right" w:pos="9026"/>
      </w:tabs>
    </w:pPr>
  </w:style>
  <w:style w:type="character" w:customStyle="1" w:styleId="FooterChar">
    <w:name w:val="Footer Char"/>
    <w:basedOn w:val="DefaultParagraphFont"/>
    <w:link w:val="Footer"/>
    <w:uiPriority w:val="99"/>
    <w:rsid w:val="00B51B14"/>
    <w:rPr>
      <w:rFonts w:ascii="Times New Roman" w:eastAsia="Times New Roman" w:hAnsi="Times New Roman" w:cs="Times New Roman"/>
      <w:sz w:val="20"/>
      <w:szCs w:val="20"/>
      <w:lang w:val="en-US"/>
    </w:rPr>
  </w:style>
  <w:style w:type="table" w:styleId="TableGrid">
    <w:name w:val="Table Grid"/>
    <w:basedOn w:val="TableNormal"/>
    <w:uiPriority w:val="39"/>
    <w:rsid w:val="00C24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477C"/>
    <w:rPr>
      <w:color w:val="808080"/>
    </w:rPr>
  </w:style>
  <w:style w:type="paragraph" w:styleId="CommentText">
    <w:name w:val="annotation text"/>
    <w:basedOn w:val="Normal"/>
    <w:link w:val="CommentTextChar"/>
    <w:uiPriority w:val="99"/>
    <w:unhideWhenUsed/>
    <w:rsid w:val="00AD477C"/>
    <w:pPr>
      <w:widowControl w:val="0"/>
      <w:jc w:val="left"/>
    </w:pPr>
    <w:rPr>
      <w:rFonts w:eastAsiaTheme="minorHAnsi"/>
      <w:lang w:val="en-GB"/>
    </w:rPr>
  </w:style>
  <w:style w:type="character" w:customStyle="1" w:styleId="CommentTextChar">
    <w:name w:val="Comment Text Char"/>
    <w:basedOn w:val="DefaultParagraphFont"/>
    <w:link w:val="CommentText"/>
    <w:uiPriority w:val="99"/>
    <w:rsid w:val="00AD477C"/>
    <w:rPr>
      <w:rFonts w:ascii="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D477C"/>
    <w:rPr>
      <w:sz w:val="16"/>
      <w:szCs w:val="16"/>
    </w:rPr>
  </w:style>
  <w:style w:type="paragraph" w:styleId="BalloonText">
    <w:name w:val="Balloon Text"/>
    <w:basedOn w:val="Normal"/>
    <w:link w:val="BalloonTextChar"/>
    <w:uiPriority w:val="99"/>
    <w:semiHidden/>
    <w:unhideWhenUsed/>
    <w:rsid w:val="00AD47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77C"/>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5C452F"/>
    <w:pPr>
      <w:widowControl/>
      <w:jc w:val="center"/>
    </w:pPr>
    <w:rPr>
      <w:rFonts w:eastAsia="Times New Roman"/>
      <w:b/>
      <w:bCs/>
      <w:lang w:val="en-US"/>
    </w:rPr>
  </w:style>
  <w:style w:type="character" w:customStyle="1" w:styleId="CommentSubjectChar">
    <w:name w:val="Comment Subject Char"/>
    <w:basedOn w:val="CommentTextChar"/>
    <w:link w:val="CommentSubject"/>
    <w:uiPriority w:val="99"/>
    <w:semiHidden/>
    <w:rsid w:val="005C452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arahgan\OneDrive\Documents\Data\Data%20on%20Listing%20companies%20in%20Bursa%20(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'Data on graph'!$B$35</c:f>
              <c:strCache>
                <c:ptCount val="1"/>
                <c:pt idx="0">
                  <c:v>Total Companies Listed</c:v>
                </c:pt>
              </c:strCache>
            </c:strRef>
          </c:tx>
          <c:spPr>
            <a:solidFill>
              <a:schemeClr val="bg2">
                <a:lumMod val="50000"/>
              </a:schemeClr>
            </a:solidFill>
            <a:ln>
              <a:solidFill>
                <a:schemeClr val="tx1"/>
              </a:solidFill>
            </a:ln>
            <a:effectLst/>
          </c:spPr>
          <c:invertIfNegative val="0"/>
          <c:cat>
            <c:numRef>
              <c:f>'Data on graph'!$A$36:$A$56</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'Data on graph'!$B$36:$B$56</c:f>
              <c:numCache>
                <c:formatCode>General</c:formatCode>
                <c:ptCount val="21"/>
                <c:pt idx="0">
                  <c:v>795</c:v>
                </c:pt>
                <c:pt idx="1">
                  <c:v>812</c:v>
                </c:pt>
                <c:pt idx="2">
                  <c:v>865</c:v>
                </c:pt>
                <c:pt idx="3">
                  <c:v>906</c:v>
                </c:pt>
                <c:pt idx="4">
                  <c:v>963</c:v>
                </c:pt>
                <c:pt idx="5">
                  <c:v>1021</c:v>
                </c:pt>
                <c:pt idx="6">
                  <c:v>1027</c:v>
                </c:pt>
                <c:pt idx="7">
                  <c:v>987</c:v>
                </c:pt>
                <c:pt idx="8">
                  <c:v>977</c:v>
                </c:pt>
                <c:pt idx="9">
                  <c:v>960</c:v>
                </c:pt>
                <c:pt idx="10">
                  <c:v>957</c:v>
                </c:pt>
                <c:pt idx="11">
                  <c:v>941</c:v>
                </c:pt>
                <c:pt idx="12">
                  <c:v>921</c:v>
                </c:pt>
                <c:pt idx="13">
                  <c:v>911</c:v>
                </c:pt>
                <c:pt idx="14">
                  <c:v>906</c:v>
                </c:pt>
                <c:pt idx="15">
                  <c:v>903</c:v>
                </c:pt>
                <c:pt idx="16">
                  <c:v>904</c:v>
                </c:pt>
                <c:pt idx="17">
                  <c:v>905</c:v>
                </c:pt>
                <c:pt idx="18">
                  <c:v>915</c:v>
                </c:pt>
                <c:pt idx="19">
                  <c:v>929</c:v>
                </c:pt>
                <c:pt idx="20">
                  <c:v>936</c:v>
                </c:pt>
              </c:numCache>
            </c:numRef>
          </c:val>
          <c:extLst xmlns:c16r2="http://schemas.microsoft.com/office/drawing/2015/06/chart">
            <c:ext xmlns:c16="http://schemas.microsoft.com/office/drawing/2014/chart" uri="{C3380CC4-5D6E-409C-BE32-E72D297353CC}">
              <c16:uniqueId val="{00000000-2782-4975-A7C4-D9507A4E3F92}"/>
            </c:ext>
          </c:extLst>
        </c:ser>
        <c:dLbls>
          <c:showLegendKey val="0"/>
          <c:showVal val="0"/>
          <c:showCatName val="0"/>
          <c:showSerName val="0"/>
          <c:showPercent val="0"/>
          <c:showBubbleSize val="0"/>
        </c:dLbls>
        <c:gapWidth val="219"/>
        <c:overlap val="-27"/>
        <c:axId val="219192912"/>
        <c:axId val="219193472"/>
      </c:barChart>
      <c:lineChart>
        <c:grouping val="standard"/>
        <c:varyColors val="0"/>
        <c:ser>
          <c:idx val="1"/>
          <c:order val="1"/>
          <c:tx>
            <c:strRef>
              <c:f>'Data on graph'!$C$35</c:f>
              <c:strCache>
                <c:ptCount val="1"/>
                <c:pt idx="0">
                  <c:v>Main Market</c:v>
                </c:pt>
              </c:strCache>
            </c:strRef>
          </c:tx>
          <c:spPr>
            <a:ln w="28575" cap="rnd">
              <a:solidFill>
                <a:schemeClr val="accent1">
                  <a:lumMod val="75000"/>
                </a:schemeClr>
              </a:solidFill>
              <a:round/>
            </a:ln>
            <a:effectLst/>
          </c:spPr>
          <c:marker>
            <c:symbol val="none"/>
          </c:marker>
          <c:val>
            <c:numRef>
              <c:f>'Data on graph'!$C$36:$C$56</c:f>
              <c:numCache>
                <c:formatCode>General</c:formatCode>
                <c:ptCount val="21"/>
                <c:pt idx="0">
                  <c:v>795</c:v>
                </c:pt>
                <c:pt idx="1">
                  <c:v>812</c:v>
                </c:pt>
                <c:pt idx="2">
                  <c:v>853</c:v>
                </c:pt>
                <c:pt idx="3">
                  <c:v>874</c:v>
                </c:pt>
                <c:pt idx="4">
                  <c:v>900</c:v>
                </c:pt>
                <c:pt idx="5">
                  <c:v>914</c:v>
                </c:pt>
                <c:pt idx="6">
                  <c:v>899</c:v>
                </c:pt>
                <c:pt idx="7">
                  <c:v>863</c:v>
                </c:pt>
                <c:pt idx="8">
                  <c:v>855</c:v>
                </c:pt>
                <c:pt idx="9">
                  <c:v>844</c:v>
                </c:pt>
                <c:pt idx="10">
                  <c:v>844</c:v>
                </c:pt>
                <c:pt idx="11">
                  <c:v>822</c:v>
                </c:pt>
                <c:pt idx="12">
                  <c:v>809</c:v>
                </c:pt>
                <c:pt idx="13">
                  <c:v>802</c:v>
                </c:pt>
                <c:pt idx="14">
                  <c:v>799</c:v>
                </c:pt>
                <c:pt idx="15">
                  <c:v>794</c:v>
                </c:pt>
                <c:pt idx="16">
                  <c:v>791</c:v>
                </c:pt>
                <c:pt idx="17">
                  <c:v>788</c:v>
                </c:pt>
                <c:pt idx="18">
                  <c:v>783</c:v>
                </c:pt>
                <c:pt idx="19">
                  <c:v>772</c:v>
                </c:pt>
                <c:pt idx="20">
                  <c:v>767</c:v>
                </c:pt>
              </c:numCache>
            </c:numRef>
          </c:val>
          <c:smooth val="0"/>
          <c:extLst xmlns:c16r2="http://schemas.microsoft.com/office/drawing/2015/06/chart">
            <c:ext xmlns:c16="http://schemas.microsoft.com/office/drawing/2014/chart" uri="{C3380CC4-5D6E-409C-BE32-E72D297353CC}">
              <c16:uniqueId val="{00000001-2782-4975-A7C4-D9507A4E3F92}"/>
            </c:ext>
          </c:extLst>
        </c:ser>
        <c:ser>
          <c:idx val="2"/>
          <c:order val="2"/>
          <c:tx>
            <c:strRef>
              <c:f>'Data on graph'!$D$35</c:f>
              <c:strCache>
                <c:ptCount val="1"/>
                <c:pt idx="0">
                  <c:v>ACE Market</c:v>
                </c:pt>
              </c:strCache>
            </c:strRef>
          </c:tx>
          <c:spPr>
            <a:ln w="28575" cap="rnd">
              <a:solidFill>
                <a:srgbClr val="FF0000"/>
              </a:solidFill>
              <a:prstDash val="dash"/>
              <a:round/>
            </a:ln>
            <a:effectLst/>
          </c:spPr>
          <c:marker>
            <c:symbol val="none"/>
          </c:marker>
          <c:val>
            <c:numRef>
              <c:f>'Data on graph'!$D$36:$D$56</c:f>
              <c:numCache>
                <c:formatCode>General</c:formatCode>
                <c:ptCount val="21"/>
                <c:pt idx="0">
                  <c:v>0</c:v>
                </c:pt>
                <c:pt idx="1">
                  <c:v>0</c:v>
                </c:pt>
                <c:pt idx="2">
                  <c:v>12</c:v>
                </c:pt>
                <c:pt idx="3">
                  <c:v>32</c:v>
                </c:pt>
                <c:pt idx="4">
                  <c:v>63</c:v>
                </c:pt>
                <c:pt idx="5">
                  <c:v>107</c:v>
                </c:pt>
                <c:pt idx="6">
                  <c:v>128</c:v>
                </c:pt>
                <c:pt idx="7">
                  <c:v>124</c:v>
                </c:pt>
                <c:pt idx="8">
                  <c:v>122</c:v>
                </c:pt>
                <c:pt idx="9">
                  <c:v>116</c:v>
                </c:pt>
                <c:pt idx="10">
                  <c:v>113</c:v>
                </c:pt>
                <c:pt idx="11">
                  <c:v>119</c:v>
                </c:pt>
                <c:pt idx="12">
                  <c:v>112</c:v>
                </c:pt>
                <c:pt idx="13">
                  <c:v>109</c:v>
                </c:pt>
                <c:pt idx="14">
                  <c:v>107</c:v>
                </c:pt>
                <c:pt idx="15">
                  <c:v>109</c:v>
                </c:pt>
                <c:pt idx="16">
                  <c:v>113</c:v>
                </c:pt>
                <c:pt idx="17">
                  <c:v>115</c:v>
                </c:pt>
                <c:pt idx="18">
                  <c:v>119</c:v>
                </c:pt>
                <c:pt idx="19">
                  <c:v>129</c:v>
                </c:pt>
                <c:pt idx="20">
                  <c:v>135</c:v>
                </c:pt>
              </c:numCache>
            </c:numRef>
          </c:val>
          <c:smooth val="0"/>
          <c:extLst xmlns:c16r2="http://schemas.microsoft.com/office/drawing/2015/06/chart">
            <c:ext xmlns:c16="http://schemas.microsoft.com/office/drawing/2014/chart" uri="{C3380CC4-5D6E-409C-BE32-E72D297353CC}">
              <c16:uniqueId val="{00000002-2782-4975-A7C4-D9507A4E3F92}"/>
            </c:ext>
          </c:extLst>
        </c:ser>
        <c:ser>
          <c:idx val="3"/>
          <c:order val="3"/>
          <c:tx>
            <c:strRef>
              <c:f>'Data on graph'!$E$35</c:f>
              <c:strCache>
                <c:ptCount val="1"/>
                <c:pt idx="0">
                  <c:v>LEAP Market</c:v>
                </c:pt>
              </c:strCache>
            </c:strRef>
          </c:tx>
          <c:spPr>
            <a:ln w="28575" cap="rnd">
              <a:solidFill>
                <a:schemeClr val="accent4"/>
              </a:solidFill>
              <a:prstDash val="dashDot"/>
              <a:round/>
            </a:ln>
            <a:effectLst/>
          </c:spPr>
          <c:marker>
            <c:symbol val="none"/>
          </c:marker>
          <c:val>
            <c:numRef>
              <c:f>'Data on graph'!$E$36:$E$56</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c:v>
                </c:pt>
                <c:pt idx="18">
                  <c:v>13</c:v>
                </c:pt>
                <c:pt idx="19">
                  <c:v>28</c:v>
                </c:pt>
                <c:pt idx="20">
                  <c:v>34</c:v>
                </c:pt>
              </c:numCache>
            </c:numRef>
          </c:val>
          <c:smooth val="0"/>
          <c:extLst xmlns:c16r2="http://schemas.microsoft.com/office/drawing/2015/06/chart">
            <c:ext xmlns:c16="http://schemas.microsoft.com/office/drawing/2014/chart" uri="{C3380CC4-5D6E-409C-BE32-E72D297353CC}">
              <c16:uniqueId val="{00000003-2782-4975-A7C4-D9507A4E3F92}"/>
            </c:ext>
          </c:extLst>
        </c:ser>
        <c:dLbls>
          <c:showLegendKey val="0"/>
          <c:showVal val="0"/>
          <c:showCatName val="0"/>
          <c:showSerName val="0"/>
          <c:showPercent val="0"/>
          <c:showBubbleSize val="0"/>
        </c:dLbls>
        <c:marker val="1"/>
        <c:smooth val="0"/>
        <c:axId val="485767312"/>
        <c:axId val="464621936"/>
      </c:lineChart>
      <c:catAx>
        <c:axId val="219192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MY"/>
                  <a:t>Year</a:t>
                </a:r>
              </a:p>
            </c:rich>
          </c:tx>
          <c:layout>
            <c:manualLayout>
              <c:xMode val="edge"/>
              <c:yMode val="edge"/>
              <c:x val="0.45982367412950659"/>
              <c:y val="0.814213544438766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219193472"/>
        <c:crosses val="autoZero"/>
        <c:auto val="1"/>
        <c:lblAlgn val="ctr"/>
        <c:lblOffset val="100"/>
        <c:noMultiLvlLbl val="0"/>
      </c:catAx>
      <c:valAx>
        <c:axId val="219193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MY"/>
                  <a:t>Total Listed Companies</a:t>
                </a:r>
              </a:p>
            </c:rich>
          </c:tx>
          <c:layout>
            <c:manualLayout>
              <c:xMode val="edge"/>
              <c:yMode val="edge"/>
              <c:x val="2.1758050478677109E-3"/>
              <c:y val="0.1104282523858108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219192912"/>
        <c:crosses val="autoZero"/>
        <c:crossBetween val="between"/>
      </c:valAx>
      <c:valAx>
        <c:axId val="4646219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MY"/>
                  <a:t>IPO</a:t>
                </a:r>
                <a:r>
                  <a:rPr lang="en-MY" baseline="0"/>
                  <a:t> Companies Listed in Main, ACE and LEAP Market</a:t>
                </a:r>
                <a:endParaRPr lang="en-MY"/>
              </a:p>
            </c:rich>
          </c:tx>
          <c:layout>
            <c:manualLayout>
              <c:xMode val="edge"/>
              <c:yMode val="edge"/>
              <c:x val="0.92819843342036568"/>
              <c:y val="4.042218728946777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485767312"/>
        <c:crosses val="max"/>
        <c:crossBetween val="between"/>
      </c:valAx>
      <c:catAx>
        <c:axId val="485767312"/>
        <c:scaling>
          <c:orientation val="minMax"/>
        </c:scaling>
        <c:delete val="1"/>
        <c:axPos val="b"/>
        <c:majorTickMark val="out"/>
        <c:minorTickMark val="none"/>
        <c:tickLblPos val="nextTo"/>
        <c:crossAx val="4646219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noFill/>
    <a:ln w="9525"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id-ID"/>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966E-5022-4C69-9F48-0EA1F505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4591</Words>
  <Characters>26173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Gan</dc:creator>
  <cp:keywords/>
  <dc:description/>
  <cp:lastModifiedBy>Uzer</cp:lastModifiedBy>
  <cp:revision>2</cp:revision>
  <dcterms:created xsi:type="dcterms:W3CDTF">2022-01-12T03:34:00Z</dcterms:created>
  <dcterms:modified xsi:type="dcterms:W3CDTF">2022-01-12T03:34:00Z</dcterms:modified>
</cp:coreProperties>
</file>