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55B5" w:rsidRPr="001D7D8E" w:rsidRDefault="0019277A">
      <w:pPr>
        <w:pStyle w:val="papertitle"/>
        <w:rPr>
          <w:rFonts w:eastAsia="MS Mincho"/>
        </w:rPr>
      </w:pPr>
      <w:r w:rsidRPr="00861DC2">
        <w:rPr>
          <w:rFonts w:eastAsia="MS Mincho"/>
        </w:rPr>
        <w:t>Democratic Political Articulation: The Intersection of Between Agrarian Issues and Democracy in Indonesia</w:t>
      </w:r>
    </w:p>
    <w:p w:rsidR="008A55B5" w:rsidRPr="001D7D8E" w:rsidRDefault="008A55B5">
      <w:pPr>
        <w:rPr>
          <w:rFonts w:eastAsia="MS Mincho"/>
        </w:rPr>
      </w:pPr>
    </w:p>
    <w:p w:rsidR="008A55B5" w:rsidRPr="001D7D8E" w:rsidRDefault="008A55B5">
      <w:pPr>
        <w:pStyle w:val="Author"/>
        <w:rPr>
          <w:rFonts w:eastAsia="MS Mincho"/>
        </w:rPr>
        <w:sectPr w:rsidR="008A55B5" w:rsidRPr="001D7D8E" w:rsidSect="006C4648">
          <w:pgSz w:w="11909" w:h="16834" w:code="9"/>
          <w:pgMar w:top="1080" w:right="734" w:bottom="2434" w:left="734" w:header="720" w:footer="720" w:gutter="0"/>
          <w:cols w:space="720"/>
          <w:docGrid w:linePitch="360"/>
        </w:sectPr>
      </w:pPr>
    </w:p>
    <w:p w:rsidR="008A55B5" w:rsidRPr="001D7D8E" w:rsidRDefault="001D7D8E">
      <w:pPr>
        <w:pStyle w:val="Author"/>
        <w:rPr>
          <w:rFonts w:eastAsia="MS Mincho"/>
        </w:rPr>
      </w:pPr>
      <w:r w:rsidRPr="001D7D8E">
        <w:rPr>
          <w:rFonts w:eastAsia="MS Mincho"/>
        </w:rPr>
        <w:t>Muhammad Habibi</w:t>
      </w:r>
    </w:p>
    <w:p w:rsidR="008A55B5" w:rsidRPr="001D7D8E" w:rsidRDefault="000F3C55">
      <w:pPr>
        <w:pStyle w:val="Affiliation"/>
        <w:rPr>
          <w:rFonts w:eastAsia="MS Mincho"/>
        </w:rPr>
      </w:pPr>
      <w:r w:rsidRPr="000F3C55">
        <w:rPr>
          <w:rFonts w:eastAsia="MS Mincho"/>
        </w:rPr>
        <w:t xml:space="preserve">Pusat </w:t>
      </w:r>
      <w:proofErr w:type="spellStart"/>
      <w:r w:rsidRPr="000F3C55">
        <w:rPr>
          <w:rFonts w:eastAsia="MS Mincho"/>
        </w:rPr>
        <w:t>Penelitian</w:t>
      </w:r>
      <w:proofErr w:type="spellEnd"/>
      <w:r w:rsidRPr="000F3C55">
        <w:rPr>
          <w:rFonts w:eastAsia="MS Mincho"/>
        </w:rPr>
        <w:t xml:space="preserve"> </w:t>
      </w:r>
      <w:proofErr w:type="spellStart"/>
      <w:r w:rsidRPr="000F3C55">
        <w:rPr>
          <w:rFonts w:eastAsia="MS Mincho"/>
        </w:rPr>
        <w:t>Pengembangan</w:t>
      </w:r>
      <w:proofErr w:type="spellEnd"/>
      <w:r w:rsidRPr="000F3C55">
        <w:rPr>
          <w:rFonts w:eastAsia="MS Mincho"/>
        </w:rPr>
        <w:t xml:space="preserve"> Pendidikan </w:t>
      </w:r>
      <w:proofErr w:type="spellStart"/>
      <w:r w:rsidRPr="000F3C55">
        <w:rPr>
          <w:rFonts w:eastAsia="MS Mincho"/>
        </w:rPr>
        <w:t>dan</w:t>
      </w:r>
      <w:proofErr w:type="spellEnd"/>
      <w:r w:rsidRPr="000F3C55">
        <w:rPr>
          <w:rFonts w:eastAsia="MS Mincho"/>
        </w:rPr>
        <w:t xml:space="preserve"> </w:t>
      </w:r>
      <w:proofErr w:type="spellStart"/>
      <w:r w:rsidRPr="000F3C55">
        <w:rPr>
          <w:rFonts w:eastAsia="MS Mincho"/>
        </w:rPr>
        <w:t>Pelatihan</w:t>
      </w:r>
      <w:proofErr w:type="spellEnd"/>
    </w:p>
    <w:p w:rsidR="008A55B5" w:rsidRPr="001D7D8E" w:rsidRDefault="000F3C55">
      <w:pPr>
        <w:pStyle w:val="Affiliation"/>
        <w:rPr>
          <w:rFonts w:eastAsia="MS Mincho"/>
        </w:rPr>
      </w:pPr>
      <w:proofErr w:type="spellStart"/>
      <w:r w:rsidRPr="000F3C55">
        <w:rPr>
          <w:rFonts w:eastAsia="MS Mincho"/>
        </w:rPr>
        <w:t>Badan</w:t>
      </w:r>
      <w:proofErr w:type="spellEnd"/>
      <w:r w:rsidRPr="000F3C55">
        <w:rPr>
          <w:rFonts w:eastAsia="MS Mincho"/>
        </w:rPr>
        <w:t xml:space="preserve"> </w:t>
      </w:r>
      <w:proofErr w:type="spellStart"/>
      <w:r w:rsidRPr="000F3C55">
        <w:rPr>
          <w:rFonts w:eastAsia="MS Mincho"/>
        </w:rPr>
        <w:t>Pengawas</w:t>
      </w:r>
      <w:proofErr w:type="spellEnd"/>
      <w:r w:rsidRPr="000F3C55">
        <w:rPr>
          <w:rFonts w:eastAsia="MS Mincho"/>
        </w:rPr>
        <w:t xml:space="preserve"> </w:t>
      </w:r>
      <w:proofErr w:type="spellStart"/>
      <w:r w:rsidRPr="000F3C55">
        <w:rPr>
          <w:rFonts w:eastAsia="MS Mincho"/>
        </w:rPr>
        <w:t>Pemilihan</w:t>
      </w:r>
      <w:proofErr w:type="spellEnd"/>
      <w:r w:rsidRPr="000F3C55">
        <w:rPr>
          <w:rFonts w:eastAsia="MS Mincho"/>
        </w:rPr>
        <w:t xml:space="preserve"> </w:t>
      </w:r>
      <w:proofErr w:type="spellStart"/>
      <w:r w:rsidRPr="000F3C55">
        <w:rPr>
          <w:rFonts w:eastAsia="MS Mincho"/>
        </w:rPr>
        <w:t>Umum</w:t>
      </w:r>
      <w:proofErr w:type="spellEnd"/>
      <w:r w:rsidRPr="000F3C55">
        <w:rPr>
          <w:rFonts w:eastAsia="MS Mincho"/>
        </w:rPr>
        <w:t xml:space="preserve"> </w:t>
      </w:r>
      <w:proofErr w:type="spellStart"/>
      <w:r w:rsidRPr="000F3C55">
        <w:rPr>
          <w:rFonts w:eastAsia="MS Mincho"/>
        </w:rPr>
        <w:t>Republik</w:t>
      </w:r>
      <w:proofErr w:type="spellEnd"/>
      <w:r w:rsidRPr="000F3C55">
        <w:rPr>
          <w:rFonts w:eastAsia="MS Mincho"/>
        </w:rPr>
        <w:t xml:space="preserve"> Indonesia</w:t>
      </w:r>
    </w:p>
    <w:p w:rsidR="008A55B5" w:rsidRPr="001D7D8E" w:rsidRDefault="000F3C55">
      <w:pPr>
        <w:pStyle w:val="Affiliation"/>
        <w:rPr>
          <w:rFonts w:eastAsia="MS Mincho"/>
        </w:rPr>
      </w:pPr>
      <w:r>
        <w:rPr>
          <w:rFonts w:eastAsia="MS Mincho"/>
        </w:rPr>
        <w:t>Central Jakarta</w:t>
      </w:r>
      <w:r w:rsidRPr="001D7D8E">
        <w:rPr>
          <w:rFonts w:eastAsia="MS Mincho"/>
        </w:rPr>
        <w:t xml:space="preserve">, </w:t>
      </w:r>
      <w:r>
        <w:rPr>
          <w:rFonts w:eastAsia="MS Mincho"/>
        </w:rPr>
        <w:t>Indonesia</w:t>
      </w:r>
    </w:p>
    <w:p w:rsidR="008A55B5" w:rsidRDefault="00F039B5">
      <w:pPr>
        <w:pStyle w:val="Affiliation"/>
        <w:rPr>
          <w:rFonts w:eastAsia="MS Mincho"/>
        </w:rPr>
      </w:pPr>
      <w:r w:rsidRPr="00F039B5">
        <w:rPr>
          <w:rFonts w:eastAsia="MS Mincho"/>
        </w:rPr>
        <w:t>habibi.id@gmail.com</w:t>
      </w:r>
    </w:p>
    <w:p w:rsidR="001D7D8E" w:rsidRPr="001D7D8E" w:rsidRDefault="005752C2" w:rsidP="001D7D8E">
      <w:pPr>
        <w:pStyle w:val="Author"/>
        <w:rPr>
          <w:rFonts w:eastAsia="MS Mincho"/>
        </w:rPr>
      </w:pPr>
      <w:r w:rsidRPr="005752C2">
        <w:rPr>
          <w:rFonts w:eastAsia="MS Mincho"/>
        </w:rPr>
        <w:t>Ike Meisye Laksmi</w:t>
      </w:r>
    </w:p>
    <w:p w:rsidR="000F3C55" w:rsidRPr="001D7D8E" w:rsidRDefault="000F3C55" w:rsidP="000F3C55">
      <w:pPr>
        <w:pStyle w:val="Affiliation"/>
        <w:rPr>
          <w:rFonts w:eastAsia="MS Mincho"/>
        </w:rPr>
      </w:pPr>
      <w:r w:rsidRPr="000F3C55">
        <w:rPr>
          <w:rFonts w:eastAsia="MS Mincho"/>
        </w:rPr>
        <w:t xml:space="preserve">Pusat </w:t>
      </w:r>
      <w:proofErr w:type="spellStart"/>
      <w:r w:rsidRPr="000F3C55">
        <w:rPr>
          <w:rFonts w:eastAsia="MS Mincho"/>
        </w:rPr>
        <w:t>Penelitian</w:t>
      </w:r>
      <w:proofErr w:type="spellEnd"/>
      <w:r w:rsidRPr="000F3C55">
        <w:rPr>
          <w:rFonts w:eastAsia="MS Mincho"/>
        </w:rPr>
        <w:t xml:space="preserve"> </w:t>
      </w:r>
      <w:proofErr w:type="spellStart"/>
      <w:r w:rsidRPr="000F3C55">
        <w:rPr>
          <w:rFonts w:eastAsia="MS Mincho"/>
        </w:rPr>
        <w:t>Pengembangan</w:t>
      </w:r>
      <w:proofErr w:type="spellEnd"/>
      <w:r w:rsidRPr="000F3C55">
        <w:rPr>
          <w:rFonts w:eastAsia="MS Mincho"/>
        </w:rPr>
        <w:t xml:space="preserve"> Pendidikan </w:t>
      </w:r>
      <w:proofErr w:type="spellStart"/>
      <w:r w:rsidRPr="000F3C55">
        <w:rPr>
          <w:rFonts w:eastAsia="MS Mincho"/>
        </w:rPr>
        <w:t>dan</w:t>
      </w:r>
      <w:proofErr w:type="spellEnd"/>
      <w:r w:rsidRPr="000F3C55">
        <w:rPr>
          <w:rFonts w:eastAsia="MS Mincho"/>
        </w:rPr>
        <w:t xml:space="preserve"> </w:t>
      </w:r>
      <w:proofErr w:type="spellStart"/>
      <w:r w:rsidRPr="000F3C55">
        <w:rPr>
          <w:rFonts w:eastAsia="MS Mincho"/>
        </w:rPr>
        <w:t>Pelatihan</w:t>
      </w:r>
      <w:proofErr w:type="spellEnd"/>
    </w:p>
    <w:p w:rsidR="001D7D8E" w:rsidRPr="001D7D8E" w:rsidRDefault="000F3C55" w:rsidP="000F3C55">
      <w:pPr>
        <w:pStyle w:val="Affiliation"/>
        <w:rPr>
          <w:rFonts w:eastAsia="MS Mincho"/>
        </w:rPr>
      </w:pPr>
      <w:proofErr w:type="spellStart"/>
      <w:r w:rsidRPr="000F3C55">
        <w:rPr>
          <w:rFonts w:eastAsia="MS Mincho"/>
        </w:rPr>
        <w:t>Badan</w:t>
      </w:r>
      <w:proofErr w:type="spellEnd"/>
      <w:r w:rsidRPr="000F3C55">
        <w:rPr>
          <w:rFonts w:eastAsia="MS Mincho"/>
        </w:rPr>
        <w:t xml:space="preserve"> </w:t>
      </w:r>
      <w:proofErr w:type="spellStart"/>
      <w:r w:rsidRPr="000F3C55">
        <w:rPr>
          <w:rFonts w:eastAsia="MS Mincho"/>
        </w:rPr>
        <w:t>Pengawas</w:t>
      </w:r>
      <w:proofErr w:type="spellEnd"/>
      <w:r w:rsidRPr="000F3C55">
        <w:rPr>
          <w:rFonts w:eastAsia="MS Mincho"/>
        </w:rPr>
        <w:t xml:space="preserve"> </w:t>
      </w:r>
      <w:proofErr w:type="spellStart"/>
      <w:r w:rsidRPr="000F3C55">
        <w:rPr>
          <w:rFonts w:eastAsia="MS Mincho"/>
        </w:rPr>
        <w:t>Pemilihan</w:t>
      </w:r>
      <w:proofErr w:type="spellEnd"/>
      <w:r w:rsidRPr="000F3C55">
        <w:rPr>
          <w:rFonts w:eastAsia="MS Mincho"/>
        </w:rPr>
        <w:t xml:space="preserve"> </w:t>
      </w:r>
      <w:proofErr w:type="spellStart"/>
      <w:r w:rsidRPr="000F3C55">
        <w:rPr>
          <w:rFonts w:eastAsia="MS Mincho"/>
        </w:rPr>
        <w:t>Umum</w:t>
      </w:r>
      <w:proofErr w:type="spellEnd"/>
      <w:r w:rsidRPr="000F3C55">
        <w:rPr>
          <w:rFonts w:eastAsia="MS Mincho"/>
        </w:rPr>
        <w:t xml:space="preserve"> </w:t>
      </w:r>
      <w:proofErr w:type="spellStart"/>
      <w:r w:rsidRPr="000F3C55">
        <w:rPr>
          <w:rFonts w:eastAsia="MS Mincho"/>
        </w:rPr>
        <w:t>Republik</w:t>
      </w:r>
      <w:proofErr w:type="spellEnd"/>
      <w:r w:rsidRPr="000F3C55">
        <w:rPr>
          <w:rFonts w:eastAsia="MS Mincho"/>
        </w:rPr>
        <w:t xml:space="preserve"> Indonesia</w:t>
      </w:r>
    </w:p>
    <w:p w:rsidR="001D7D8E" w:rsidRPr="001D7D8E" w:rsidRDefault="000F3C55" w:rsidP="001D7D8E">
      <w:pPr>
        <w:pStyle w:val="Affiliation"/>
        <w:rPr>
          <w:rFonts w:eastAsia="MS Mincho"/>
        </w:rPr>
      </w:pPr>
      <w:r>
        <w:rPr>
          <w:rFonts w:eastAsia="MS Mincho"/>
        </w:rPr>
        <w:t>Central Jakarta</w:t>
      </w:r>
      <w:r w:rsidR="001D7D8E" w:rsidRPr="001D7D8E">
        <w:rPr>
          <w:rFonts w:eastAsia="MS Mincho"/>
        </w:rPr>
        <w:t xml:space="preserve">, </w:t>
      </w:r>
      <w:r>
        <w:rPr>
          <w:rFonts w:eastAsia="MS Mincho"/>
        </w:rPr>
        <w:t>Indonesia</w:t>
      </w:r>
    </w:p>
    <w:p w:rsidR="001D7D8E" w:rsidRDefault="00F039B5" w:rsidP="001D7D8E">
      <w:pPr>
        <w:pStyle w:val="Affiliation"/>
        <w:rPr>
          <w:rFonts w:eastAsia="MS Mincho"/>
        </w:rPr>
      </w:pPr>
      <w:r w:rsidRPr="00F039B5">
        <w:rPr>
          <w:rFonts w:eastAsia="MS Mincho"/>
        </w:rPr>
        <w:t>ikemeisyebudiman22@gmail.com</w:t>
      </w:r>
    </w:p>
    <w:p w:rsidR="00F039B5" w:rsidRDefault="00F039B5" w:rsidP="001D7D8E">
      <w:pPr>
        <w:pStyle w:val="Affiliation"/>
        <w:rPr>
          <w:rFonts w:eastAsia="MS Mincho"/>
        </w:rPr>
      </w:pPr>
    </w:p>
    <w:p w:rsidR="001D7D8E" w:rsidRPr="001D7D8E" w:rsidRDefault="001D7D8E" w:rsidP="001D7D8E">
      <w:pPr>
        <w:pStyle w:val="Author"/>
        <w:rPr>
          <w:rFonts w:eastAsia="MS Mincho"/>
        </w:rPr>
      </w:pPr>
      <w:r w:rsidRPr="001D7D8E">
        <w:rPr>
          <w:rFonts w:eastAsia="MS Mincho"/>
        </w:rPr>
        <w:t>Arif Budiman</w:t>
      </w:r>
    </w:p>
    <w:p w:rsidR="001D7D8E" w:rsidRPr="001D7D8E" w:rsidRDefault="000F3C55" w:rsidP="001D7D8E">
      <w:pPr>
        <w:pStyle w:val="Affiliation"/>
        <w:rPr>
          <w:rFonts w:eastAsia="MS Mincho"/>
        </w:rPr>
      </w:pPr>
      <w:r w:rsidRPr="000F3C55">
        <w:rPr>
          <w:rFonts w:eastAsia="MS Mincho"/>
        </w:rPr>
        <w:t>Doctor of Social Science</w:t>
      </w:r>
    </w:p>
    <w:p w:rsidR="001D7D8E" w:rsidRPr="001D7D8E" w:rsidRDefault="000F3C55" w:rsidP="001D7D8E">
      <w:pPr>
        <w:pStyle w:val="Affiliation"/>
        <w:rPr>
          <w:rFonts w:eastAsia="MS Mincho"/>
        </w:rPr>
      </w:pPr>
      <w:proofErr w:type="spellStart"/>
      <w:r w:rsidRPr="000F3C55">
        <w:rPr>
          <w:rFonts w:eastAsia="MS Mincho"/>
        </w:rPr>
        <w:t>Universitas</w:t>
      </w:r>
      <w:proofErr w:type="spellEnd"/>
      <w:r w:rsidRPr="000F3C55">
        <w:rPr>
          <w:rFonts w:eastAsia="MS Mincho"/>
        </w:rPr>
        <w:t xml:space="preserve"> </w:t>
      </w:r>
      <w:proofErr w:type="spellStart"/>
      <w:r w:rsidRPr="000F3C55">
        <w:rPr>
          <w:rFonts w:eastAsia="MS Mincho"/>
        </w:rPr>
        <w:t>Diponegoro</w:t>
      </w:r>
      <w:proofErr w:type="spellEnd"/>
    </w:p>
    <w:p w:rsidR="001D7D8E" w:rsidRPr="001D7D8E" w:rsidRDefault="00F039B5" w:rsidP="001D7D8E">
      <w:pPr>
        <w:pStyle w:val="Affiliation"/>
        <w:rPr>
          <w:rFonts w:eastAsia="MS Mincho"/>
        </w:rPr>
      </w:pPr>
      <w:r w:rsidRPr="00F039B5">
        <w:rPr>
          <w:rFonts w:eastAsia="MS Mincho"/>
        </w:rPr>
        <w:t>Semarang</w:t>
      </w:r>
      <w:r w:rsidR="001D7D8E" w:rsidRPr="001D7D8E">
        <w:rPr>
          <w:rFonts w:eastAsia="MS Mincho"/>
        </w:rPr>
        <w:t xml:space="preserve">, </w:t>
      </w:r>
      <w:r>
        <w:rPr>
          <w:rFonts w:eastAsia="MS Mincho"/>
        </w:rPr>
        <w:t>Indonesia</w:t>
      </w:r>
    </w:p>
    <w:p w:rsidR="001D7D8E" w:rsidRDefault="00F039B5" w:rsidP="001D7D8E">
      <w:pPr>
        <w:pStyle w:val="Affiliation"/>
        <w:rPr>
          <w:rFonts w:eastAsia="MS Mincho"/>
        </w:rPr>
      </w:pPr>
      <w:r w:rsidRPr="00F039B5">
        <w:rPr>
          <w:rFonts w:eastAsia="MS Mincho"/>
        </w:rPr>
        <w:t>arifbudiman@students.undip.ac.id</w:t>
      </w:r>
    </w:p>
    <w:p w:rsidR="008A55B5" w:rsidRPr="001D7D8E" w:rsidRDefault="005752C2" w:rsidP="00DF24AE">
      <w:pPr>
        <w:pStyle w:val="Author"/>
        <w:rPr>
          <w:rFonts w:eastAsia="MS Mincho"/>
        </w:rPr>
      </w:pPr>
      <w:r w:rsidRPr="005752C2">
        <w:rPr>
          <w:rFonts w:eastAsia="MS Mincho"/>
        </w:rPr>
        <w:t>Hanif Vidi Yuwono</w:t>
      </w:r>
    </w:p>
    <w:p w:rsidR="000F3C55" w:rsidRPr="001D7D8E" w:rsidRDefault="000F3C55" w:rsidP="000F3C55">
      <w:pPr>
        <w:pStyle w:val="Affiliation"/>
        <w:rPr>
          <w:rFonts w:eastAsia="MS Mincho"/>
        </w:rPr>
      </w:pPr>
      <w:r w:rsidRPr="000F3C55">
        <w:rPr>
          <w:rFonts w:eastAsia="MS Mincho"/>
        </w:rPr>
        <w:t xml:space="preserve">Pusat </w:t>
      </w:r>
      <w:proofErr w:type="spellStart"/>
      <w:r w:rsidRPr="000F3C55">
        <w:rPr>
          <w:rFonts w:eastAsia="MS Mincho"/>
        </w:rPr>
        <w:t>Penelitian</w:t>
      </w:r>
      <w:proofErr w:type="spellEnd"/>
      <w:r w:rsidRPr="000F3C55">
        <w:rPr>
          <w:rFonts w:eastAsia="MS Mincho"/>
        </w:rPr>
        <w:t xml:space="preserve"> </w:t>
      </w:r>
      <w:proofErr w:type="spellStart"/>
      <w:r w:rsidRPr="000F3C55">
        <w:rPr>
          <w:rFonts w:eastAsia="MS Mincho"/>
        </w:rPr>
        <w:t>Pengembangan</w:t>
      </w:r>
      <w:proofErr w:type="spellEnd"/>
      <w:r w:rsidRPr="000F3C55">
        <w:rPr>
          <w:rFonts w:eastAsia="MS Mincho"/>
        </w:rPr>
        <w:t xml:space="preserve"> Pendidikan </w:t>
      </w:r>
      <w:proofErr w:type="spellStart"/>
      <w:r w:rsidRPr="000F3C55">
        <w:rPr>
          <w:rFonts w:eastAsia="MS Mincho"/>
        </w:rPr>
        <w:t>dan</w:t>
      </w:r>
      <w:proofErr w:type="spellEnd"/>
      <w:r w:rsidRPr="000F3C55">
        <w:rPr>
          <w:rFonts w:eastAsia="MS Mincho"/>
        </w:rPr>
        <w:t xml:space="preserve"> </w:t>
      </w:r>
      <w:proofErr w:type="spellStart"/>
      <w:r w:rsidRPr="000F3C55">
        <w:rPr>
          <w:rFonts w:eastAsia="MS Mincho"/>
        </w:rPr>
        <w:t>Pelatihan</w:t>
      </w:r>
      <w:proofErr w:type="spellEnd"/>
    </w:p>
    <w:p w:rsidR="000F3C55" w:rsidRPr="001D7D8E" w:rsidRDefault="000F3C55" w:rsidP="000F3C55">
      <w:pPr>
        <w:pStyle w:val="Affiliation"/>
        <w:rPr>
          <w:rFonts w:eastAsia="MS Mincho"/>
        </w:rPr>
      </w:pPr>
      <w:proofErr w:type="spellStart"/>
      <w:r w:rsidRPr="000F3C55">
        <w:rPr>
          <w:rFonts w:eastAsia="MS Mincho"/>
        </w:rPr>
        <w:t>Badan</w:t>
      </w:r>
      <w:proofErr w:type="spellEnd"/>
      <w:r w:rsidRPr="000F3C55">
        <w:rPr>
          <w:rFonts w:eastAsia="MS Mincho"/>
        </w:rPr>
        <w:t xml:space="preserve"> </w:t>
      </w:r>
      <w:proofErr w:type="spellStart"/>
      <w:r w:rsidRPr="000F3C55">
        <w:rPr>
          <w:rFonts w:eastAsia="MS Mincho"/>
        </w:rPr>
        <w:t>Pengawas</w:t>
      </w:r>
      <w:proofErr w:type="spellEnd"/>
      <w:r w:rsidRPr="000F3C55">
        <w:rPr>
          <w:rFonts w:eastAsia="MS Mincho"/>
        </w:rPr>
        <w:t xml:space="preserve"> </w:t>
      </w:r>
      <w:proofErr w:type="spellStart"/>
      <w:r w:rsidRPr="000F3C55">
        <w:rPr>
          <w:rFonts w:eastAsia="MS Mincho"/>
        </w:rPr>
        <w:t>Pemilihan</w:t>
      </w:r>
      <w:proofErr w:type="spellEnd"/>
      <w:r w:rsidRPr="000F3C55">
        <w:rPr>
          <w:rFonts w:eastAsia="MS Mincho"/>
        </w:rPr>
        <w:t xml:space="preserve"> </w:t>
      </w:r>
      <w:proofErr w:type="spellStart"/>
      <w:r w:rsidRPr="000F3C55">
        <w:rPr>
          <w:rFonts w:eastAsia="MS Mincho"/>
        </w:rPr>
        <w:t>Umum</w:t>
      </w:r>
      <w:proofErr w:type="spellEnd"/>
      <w:r w:rsidRPr="000F3C55">
        <w:rPr>
          <w:rFonts w:eastAsia="MS Mincho"/>
        </w:rPr>
        <w:t xml:space="preserve"> </w:t>
      </w:r>
      <w:proofErr w:type="spellStart"/>
      <w:r w:rsidRPr="000F3C55">
        <w:rPr>
          <w:rFonts w:eastAsia="MS Mincho"/>
        </w:rPr>
        <w:t>Republik</w:t>
      </w:r>
      <w:proofErr w:type="spellEnd"/>
      <w:r w:rsidRPr="000F3C55">
        <w:rPr>
          <w:rFonts w:eastAsia="MS Mincho"/>
        </w:rPr>
        <w:t xml:space="preserve"> Indonesia</w:t>
      </w:r>
    </w:p>
    <w:p w:rsidR="008A55B5" w:rsidRPr="001D7D8E" w:rsidRDefault="000F3C55" w:rsidP="000F3C55">
      <w:pPr>
        <w:pStyle w:val="Affiliation"/>
        <w:rPr>
          <w:rFonts w:eastAsia="MS Mincho"/>
        </w:rPr>
      </w:pPr>
      <w:r>
        <w:rPr>
          <w:rFonts w:eastAsia="MS Mincho"/>
        </w:rPr>
        <w:t>Central Jakarta</w:t>
      </w:r>
      <w:r w:rsidRPr="001D7D8E">
        <w:rPr>
          <w:rFonts w:eastAsia="MS Mincho"/>
        </w:rPr>
        <w:t xml:space="preserve">, </w:t>
      </w:r>
      <w:r>
        <w:rPr>
          <w:rFonts w:eastAsia="MS Mincho"/>
        </w:rPr>
        <w:t>Indonesia</w:t>
      </w:r>
    </w:p>
    <w:p w:rsidR="001D7D8E" w:rsidRPr="001D7D8E" w:rsidRDefault="00F039B5" w:rsidP="001D7D8E">
      <w:pPr>
        <w:pStyle w:val="Affiliation"/>
        <w:rPr>
          <w:rFonts w:eastAsia="MS Mincho"/>
        </w:rPr>
        <w:sectPr w:rsidR="001D7D8E" w:rsidRPr="001D7D8E" w:rsidSect="006C4648">
          <w:type w:val="continuous"/>
          <w:pgSz w:w="11909" w:h="16834" w:code="9"/>
          <w:pgMar w:top="1080" w:right="734" w:bottom="2434" w:left="734" w:header="720" w:footer="720" w:gutter="0"/>
          <w:cols w:num="2" w:space="720" w:equalWidth="0">
            <w:col w:w="4860" w:space="720"/>
            <w:col w:w="4860"/>
          </w:cols>
          <w:docGrid w:linePitch="360"/>
        </w:sectPr>
      </w:pPr>
      <w:r w:rsidRPr="00F039B5">
        <w:rPr>
          <w:rFonts w:eastAsia="MS Mincho"/>
        </w:rPr>
        <w:t>vidijuanz@gmail.co</w:t>
      </w:r>
      <w:r>
        <w:rPr>
          <w:rFonts w:eastAsia="MS Mincho"/>
        </w:rPr>
        <w:t>m</w:t>
      </w:r>
    </w:p>
    <w:p w:rsidR="00F039B5" w:rsidRDefault="00F039B5" w:rsidP="00F039B5">
      <w:pPr>
        <w:pStyle w:val="Affiliation"/>
        <w:jc w:val="both"/>
        <w:rPr>
          <w:rFonts w:eastAsia="MS Mincho"/>
        </w:rPr>
      </w:pPr>
    </w:p>
    <w:p w:rsidR="001D7D8E" w:rsidRPr="001D7D8E" w:rsidRDefault="001D7D8E">
      <w:pPr>
        <w:pStyle w:val="Affiliation"/>
        <w:rPr>
          <w:rFonts w:eastAsia="MS Mincho"/>
        </w:rPr>
      </w:pPr>
    </w:p>
    <w:p w:rsidR="008A55B5" w:rsidRPr="001D7D8E" w:rsidRDefault="008A55B5">
      <w:pPr>
        <w:rPr>
          <w:rFonts w:eastAsia="MS Mincho"/>
        </w:rPr>
      </w:pPr>
    </w:p>
    <w:p w:rsidR="008A55B5" w:rsidRPr="001D7D8E" w:rsidRDefault="008A55B5">
      <w:pPr>
        <w:rPr>
          <w:rFonts w:eastAsia="MS Mincho"/>
        </w:rPr>
        <w:sectPr w:rsidR="008A55B5" w:rsidRPr="001D7D8E" w:rsidSect="006C4648">
          <w:type w:val="continuous"/>
          <w:pgSz w:w="11909" w:h="16834" w:code="9"/>
          <w:pgMar w:top="1080" w:right="734" w:bottom="2434" w:left="734" w:header="720" w:footer="720" w:gutter="0"/>
          <w:cols w:space="720"/>
          <w:docGrid w:linePitch="360"/>
        </w:sectPr>
      </w:pPr>
    </w:p>
    <w:p w:rsidR="008A55B5" w:rsidRPr="001D7D8E" w:rsidRDefault="008A55B5">
      <w:pPr>
        <w:pStyle w:val="Abstract"/>
        <w:rPr>
          <w:rFonts w:eastAsia="MS Mincho"/>
        </w:rPr>
      </w:pPr>
      <w:r w:rsidRPr="001D7D8E">
        <w:rPr>
          <w:rFonts w:eastAsia="MS Mincho"/>
          <w:i/>
          <w:iCs/>
        </w:rPr>
        <w:t>Abstract</w:t>
      </w:r>
      <w:r w:rsidRPr="001D7D8E">
        <w:rPr>
          <w:rFonts w:eastAsia="MS Mincho"/>
        </w:rPr>
        <w:t>—</w:t>
      </w:r>
      <w:r w:rsidR="00103648" w:rsidRPr="001D7D8E">
        <w:t xml:space="preserve"> </w:t>
      </w:r>
      <w:r w:rsidR="00825ACB" w:rsidRPr="00825ACB">
        <w:t xml:space="preserve">The complexity of agrarian issues also affects the quality of democracy in Indonesia. However, most recent studies have not comprehensively discussed the relationship between the two. By taking references from agrarian and democratic studies, this paper discusses the relationship between agrarian issues and democracy in Indonesia, especially in the post-authoritarian era. Here, </w:t>
      </w:r>
      <w:r w:rsidR="00825ACB">
        <w:t>several</w:t>
      </w:r>
      <w:r w:rsidR="00825ACB" w:rsidRPr="00825ACB">
        <w:t xml:space="preserve"> arguments are put forward. First, the four main agrarian issues in Indonesia—land grabbing, the rate of class differentiation in rural contexts, socio-economic disparities, and the quality of local democracy—have a significant impact on the conditions and trajectory of Indonesia's democracy. Second, the dynamic agrarian movement also contributes to the deepening process of democracy. Finally, this paper discusses several possible political prescriptions and policies to address agrarian issues </w:t>
      </w:r>
      <w:r w:rsidR="00825ACB">
        <w:t>to</w:t>
      </w:r>
      <w:r w:rsidR="00825ACB" w:rsidRPr="00825ACB">
        <w:t xml:space="preserve"> improve the quality of democracy in Indonesia.</w:t>
      </w:r>
    </w:p>
    <w:p w:rsidR="008A55B5" w:rsidRPr="001D7D8E" w:rsidRDefault="0072064C" w:rsidP="00605675">
      <w:pPr>
        <w:pStyle w:val="keywords"/>
        <w:ind w:firstLine="272"/>
        <w:rPr>
          <w:rFonts w:eastAsia="MS Mincho"/>
        </w:rPr>
      </w:pPr>
      <w:r w:rsidRPr="001D7D8E">
        <w:rPr>
          <w:rFonts w:eastAsia="MS Mincho"/>
        </w:rPr>
        <w:t>Keywords—</w:t>
      </w:r>
      <w:r w:rsidR="00103648" w:rsidRPr="001D7D8E">
        <w:t xml:space="preserve"> </w:t>
      </w:r>
      <w:r w:rsidR="002F47AB">
        <w:rPr>
          <w:rFonts w:eastAsia="MS Mincho"/>
        </w:rPr>
        <w:t>democratic</w:t>
      </w:r>
      <w:r w:rsidR="00103648" w:rsidRPr="001D7D8E">
        <w:rPr>
          <w:rFonts w:eastAsia="MS Mincho"/>
        </w:rPr>
        <w:t>;</w:t>
      </w:r>
      <w:r w:rsidR="002F47AB">
        <w:rPr>
          <w:rFonts w:eastAsia="MS Mincho"/>
        </w:rPr>
        <w:t xml:space="preserve"> political articulation</w:t>
      </w:r>
      <w:r w:rsidR="00103648" w:rsidRPr="001D7D8E">
        <w:rPr>
          <w:rFonts w:eastAsia="MS Mincho"/>
        </w:rPr>
        <w:t xml:space="preserve">; </w:t>
      </w:r>
      <w:r w:rsidR="002F47AB" w:rsidRPr="002F47AB">
        <w:rPr>
          <w:rFonts w:eastAsia="MS Mincho"/>
        </w:rPr>
        <w:t>agrarian issues</w:t>
      </w:r>
    </w:p>
    <w:p w:rsidR="008A55B5" w:rsidRPr="001D7D8E" w:rsidRDefault="008A55B5" w:rsidP="00605675">
      <w:pPr>
        <w:pStyle w:val="Judul1"/>
      </w:pPr>
      <w:r w:rsidRPr="001D7D8E">
        <w:t xml:space="preserve"> Introduction</w:t>
      </w:r>
    </w:p>
    <w:p w:rsidR="00103648" w:rsidRDefault="0019277A" w:rsidP="00753F7B">
      <w:pPr>
        <w:pStyle w:val="TeksIsi"/>
      </w:pPr>
      <w:r w:rsidRPr="0019277A">
        <w:t xml:space="preserve">Agrarian issues in their various dimensions always color the political discourse and policy directions in contemporary Indonesia. In the era of the national movement until the Old Order, the struggle for anti-colonialism and national liberation </w:t>
      </w:r>
      <w:r w:rsidR="00825ACB">
        <w:t>primarily</w:t>
      </w:r>
      <w:r w:rsidRPr="0019277A">
        <w:t xml:space="preserve"> relied on the solidarity of the peasants, </w:t>
      </w:r>
      <w:r w:rsidR="00825ACB">
        <w:t>tiny</w:t>
      </w:r>
      <w:r w:rsidRPr="0019277A">
        <w:t xml:space="preserve"> farmers</w:t>
      </w:r>
      <w:r w:rsidR="00825ACB">
        <w:t>,</w:t>
      </w:r>
      <w:r w:rsidRPr="0019277A">
        <w:t xml:space="preserve"> and </w:t>
      </w:r>
      <w:r w:rsidR="00825ACB">
        <w:t>farmworkers</w:t>
      </w:r>
      <w:r w:rsidRPr="0019277A">
        <w:t xml:space="preserve"> as one of the foundations of the struggle</w:t>
      </w:r>
      <w:r w:rsidR="0090485E">
        <w:t xml:space="preserve"> </w:t>
      </w:r>
      <w:r w:rsidR="0090485E">
        <w:fldChar w:fldCharType="begin" w:fldLock="1"/>
      </w:r>
      <w:r w:rsidR="006424C8">
        <w:instrText>ADDIN CSL_CITATION {"citationItems":[{"id":"ITEM-1","itemData":{"DOI":"10.1111/j.1467-8373.2005.00269.x","ISSN":"13607456","abstract":"This paper uses historical sources to examine the relationship between demography, economy and ecology in three parts of the island of Sulawesi (Indonesia) over a long time period. Broadly speaking, these case studies suggest both the density of population and the intensity of agricultural activity at any given time and place were controlled by two factors. The first was the agricultural potential of the natural environment in terms of soil, climate and topography: populations were denser, and farming more area-intensive, in naturally fertile areas. The second was the extent to which the local economy was commercialised rather than subsistence-oriented: when commerce grew, so did both the population and the intensity of its farming systems. In terms of ecological sustainability and resilience, densely populated enclaves of intensive, commercialised agriculture tended to perform better than did sparsely populated and economically isolated areas of subsistence production, where progressive deforestation and land degradation sometimes occurred. Although one reason for this was simply that the former were located on better soils than the latter, other reasons included the greater use of tree crops, and the greater availability of labour for investment in what Brookfield called 'landesque capital', which characterised the more populous and commercialised areas. © Victoria University of Wellington, 2005.","author":[{"dropping-particle":"","family":"Henley","given":"David","non-dropping-particle":"","parse-names":false,"suffix":""}],"container-title":"Asia Pacific Viewpoint","id":"ITEM-1","issue":"2","issued":{"date-parts":[["2005"]]},"number-of-pages":"153-172","title":"Agrarian Change and Diversity in the Light of Brookfield, Boserup and Malthus: Historical Illustrations from Sulawesi, Indonesia","type":"thesis","volume":"46"},"uris":["http://www.mendeley.com/documents/?uuid=a57a8e58-6b0f-4d86-a1d2-ec23f7fa5df6"]}],"mendeley":{"formattedCitation":"[1]","plainTextFormattedCitation":"[1]","previouslyFormattedCitation":"[1]"},"properties":{"noteIndex":0},"schema":"https://github.com/citation-style-language/schema/raw/master/csl-citation.json"}</w:instrText>
      </w:r>
      <w:r w:rsidR="0090485E">
        <w:fldChar w:fldCharType="separate"/>
      </w:r>
      <w:r w:rsidR="0090485E" w:rsidRPr="0090485E">
        <w:rPr>
          <w:noProof/>
        </w:rPr>
        <w:t>[1]</w:t>
      </w:r>
      <w:r w:rsidR="0090485E">
        <w:fldChar w:fldCharType="end"/>
      </w:r>
      <w:r w:rsidRPr="0019277A">
        <w:t xml:space="preserve">. Under the authoritarianism of the New Order, which heavily exposed the legacy and spirit of agrarian populism in the past, attention to the peasantry and political-economic stability in rural areas also became one of the foundations of the New Order's pro-market </w:t>
      </w:r>
      <w:r w:rsidR="00825ACB">
        <w:t>developmental</w:t>
      </w:r>
      <w:r w:rsidRPr="0019277A">
        <w:t xml:space="preserve"> policies</w:t>
      </w:r>
      <w:r w:rsidR="0090485E">
        <w:t xml:space="preserve"> </w:t>
      </w:r>
      <w:r w:rsidR="0090485E">
        <w:fldChar w:fldCharType="begin" w:fldLock="1"/>
      </w:r>
      <w:r w:rsidR="0090485E">
        <w:instrText>ADDIN CSL_CITATION {"citationItems":[{"id":"ITEM-1","itemData":{"DOI":"10.1002/9781444307191.ch8","ISBN":"9781405190411","author":[{"dropping-particle":"","family":"Peluso","given":"Nancy Lee","non-dropping-particle":"","parse-names":false,"suffix":""},{"dropping-particle":"","family":"Afiff","given":"Suraya","non-dropping-particle":"","parse-names":false,"suffix":""},{"dropping-particle":"","family":"Rachman","given":"Noer Fauzi","non-dropping-particle":"","parse-names":false,"suffix":""}],"container-title":"Transnational Agrarian Movements Confronting Globalization","id":"ITEM-1","issued":{"date-parts":[["2009"]]},"page":"209-238","title":"Claiming the Grounds for Reform: Agrarian and Environmental Movements in Indonesia","type":"article-journal"},"uris":["http://www.mendeley.com/documents/?uuid=cfde3ab9-2f6d-499e-8a8b-c710f219933d"]}],"mendeley":{"formattedCitation":"[2]","plainTextFormattedCitation":"[2]","previouslyFormattedCitation":"[2]"},"properties":{"noteIndex":0},"schema":"https://github.com/citation-style-language/schema/raw/master/csl-citation.json"}</w:instrText>
      </w:r>
      <w:r w:rsidR="0090485E">
        <w:fldChar w:fldCharType="separate"/>
      </w:r>
      <w:r w:rsidR="0090485E" w:rsidRPr="0090485E">
        <w:rPr>
          <w:noProof/>
        </w:rPr>
        <w:t>[2]</w:t>
      </w:r>
      <w:r w:rsidR="0090485E">
        <w:fldChar w:fldCharType="end"/>
      </w:r>
      <w:r w:rsidRPr="0019277A">
        <w:t>. Agrarian issues also continued to haunt Indonesia during and after the Reformation era, with political openness facilitating more intense participation and mobilization of the peasants and their supporting activists</w:t>
      </w:r>
      <w:r w:rsidR="0090485E">
        <w:t xml:space="preserve"> </w:t>
      </w:r>
      <w:r w:rsidR="0090485E">
        <w:fldChar w:fldCharType="begin" w:fldLock="1"/>
      </w:r>
      <w:r w:rsidR="0090485E">
        <w:instrText>ADDIN CSL_CITATION {"citationItems":[{"id":"ITEM-1","itemData":{"DOI":"10.1111/dech.12691","ISSN":"14677660","abstract":"Scholarship that identifies ‘distribution’ as the key to inclusive governance has promoted suspicion of development agendas that foreground ‘production’. This article analyses controversy around food and cash transfers and decentralized development funding in Indonesia's contested Papua territory. Some observers and recipients allege that these instruments, which have proliferated under ‘Special Autonomy’ reforms intended to defuse the West Papuan independence movement, have caused a decline of indigenous subsistence agriculture. Papua's various distribution (and distribution-like) mechanisms were instituted under pressure from international agencies, in response to mass unrest, and in the wake of crises that altered Papua's role in Indonesian development. In Papua's Central Highlands, food and cash distribution instruments have addressed farming shortfalls and played a role in the diversification of livelihoods — a shift that animates anxious speculation about the viability of indigenous social reproduction. Such commentary gestures to a contested development horizon featuring extractive and agrarian agendas with divergent implications for the reproduction of distinctive rural livelihoods. Laments about the harm to rural productivity caused by distribution evoke but gloss over threats of devaluation of labour, highlighting tension between popular concerns about social reproduction and scholarly anxieties about the celebration of production.","author":[{"dropping-particle":"","family":"Nerenberg","given":"Jacob","non-dropping-particle":"","parse-names":false,"suffix":""}],"container-title":"Development and Change","id":"ITEM-1","issued":{"date-parts":[["2021"]]},"page":"1-23","title":"‘Start from the Garden’: Distribution, Livelihood Diversification and Narratives of Agrarian Decline in Papua, Indonesia","type":"article-journal"},"uris":["http://www.mendeley.com/documents/?uuid=55ea7ca8-05bf-4bd2-8165-05b735fbc842"]}],"mendeley":{"formattedCitation":"[3]","plainTextFormattedCitation":"[3]","previouslyFormattedCitation":"[3]"},"properties":{"noteIndex":0},"schema":"https://github.com/citation-style-language/schema/raw/master/csl-citation.json"}</w:instrText>
      </w:r>
      <w:r w:rsidR="0090485E">
        <w:fldChar w:fldCharType="separate"/>
      </w:r>
      <w:r w:rsidR="0090485E" w:rsidRPr="0090485E">
        <w:rPr>
          <w:noProof/>
        </w:rPr>
        <w:t>[3]</w:t>
      </w:r>
      <w:r w:rsidR="0090485E">
        <w:fldChar w:fldCharType="end"/>
      </w:r>
      <w:r w:rsidR="008153FD">
        <w:t>. At</w:t>
      </w:r>
      <w:r w:rsidRPr="0019277A">
        <w:t xml:space="preserve"> the same time</w:t>
      </w:r>
      <w:r w:rsidR="008153FD">
        <w:t>,</w:t>
      </w:r>
      <w:r w:rsidRPr="0019277A">
        <w:t xml:space="preserve"> </w:t>
      </w:r>
      <w:r w:rsidR="008153FD">
        <w:t xml:space="preserve">the latter </w:t>
      </w:r>
      <w:r w:rsidRPr="0019277A">
        <w:t xml:space="preserve">faced </w:t>
      </w:r>
      <w:r w:rsidRPr="0019277A">
        <w:t>challenges from the expansion of market interests, predatory elites,</w:t>
      </w:r>
      <w:r w:rsidR="008153FD">
        <w:t xml:space="preserve"> </w:t>
      </w:r>
      <w:r w:rsidRPr="0019277A">
        <w:t>other forces</w:t>
      </w:r>
      <w:r w:rsidR="008153FD">
        <w:t>, and</w:t>
      </w:r>
      <w:r w:rsidRPr="0019277A">
        <w:t xml:space="preserve"> </w:t>
      </w:r>
      <w:r w:rsidR="008153FD">
        <w:t>illiberal</w:t>
      </w:r>
      <w:r w:rsidR="0090485E">
        <w:t xml:space="preserve"> </w:t>
      </w:r>
      <w:r w:rsidR="0090485E">
        <w:fldChar w:fldCharType="begin" w:fldLock="1"/>
      </w:r>
      <w:r w:rsidR="006038BE">
        <w:instrText>ADDIN CSL_CITATION {"citationItems":[{"id":"ITEM-1","itemData":{"DOI":"10.1088/1755-1315/202/1/012030","ISSN":"17551315","abstract":"Almost Indonesian farmers are small scale farming that its number is continuously increasing. Because of land hunger, some farmers cultivate vacant lands illegally, such as unproductive lands of plantation estates and forest lands. For solving the illegal occupation, the government has applied agrarian reforms consisting of land redistribution and empowering farmer scheme. Study areas consist of 9 selected pilot project locations applied in Java and Sumatra islands. The data of location distributions, area sizes, land backgrounds, asset reforms, and access reforms were compiled and analyzed descriptively. Locations 1 to 7 in Java Island consist of agricultural lands, except location 7 was housing. These land objects were under conflict between occupants and land owners. Location 8 and 9 were in Lampung Province, the case of local farmers' utilized unproductive state lands. Due to helping poor people, this agrarian model answers the debate between access to land and access to income. Both sides must be combined in scheme of asset reform and access reform. Secondly, agrarian reform solves land conflicts particularly land occupation and increases welfare of landless people. Finally, agrarian reform will be successful if it's supported with for poor political atmosphere.","author":[{"dropping-particle":"","family":"Sadyohutomo","given":"M.","non-dropping-particle":"","parse-names":false,"suffix":""}],"container-title":"IOP Conference Series: Earth and Environmental Science","id":"ITEM-1","issue":"1","issued":{"date-parts":[["2018"]]},"title":"The Benefits of an Agrarian Reform Model in Indonesia","type":"paper-conference","volume":"202"},"uris":["http://www.mendeley.com/documents/?uuid=825429c9-f68c-4357-bf0c-84f407f67b42"]}],"mendeley":{"formattedCitation":"[4]","plainTextFormattedCitation":"[4]","previouslyFormattedCitation":"[4]"},"properties":{"noteIndex":0},"schema":"https://github.com/citation-style-language/schema/raw/master/csl-citation.json"}</w:instrText>
      </w:r>
      <w:r w:rsidR="0090485E">
        <w:fldChar w:fldCharType="separate"/>
      </w:r>
      <w:r w:rsidR="0090485E" w:rsidRPr="0090485E">
        <w:rPr>
          <w:noProof/>
        </w:rPr>
        <w:t>[4]</w:t>
      </w:r>
      <w:r w:rsidR="0090485E">
        <w:fldChar w:fldCharType="end"/>
      </w:r>
      <w:r w:rsidRPr="0019277A">
        <w:t>.</w:t>
      </w:r>
    </w:p>
    <w:p w:rsidR="0019277A" w:rsidRDefault="0019277A" w:rsidP="00753F7B">
      <w:pPr>
        <w:pStyle w:val="TeksIsi"/>
      </w:pPr>
      <w:r w:rsidRPr="0019277A">
        <w:t xml:space="preserve">However, there are not many analyzes that explicitly link the relationship and mutual influence between agrarian issues and the trajectory and quality of democracy. </w:t>
      </w:r>
      <w:r w:rsidR="008153FD">
        <w:t>The</w:t>
      </w:r>
      <w:r w:rsidRPr="0019277A">
        <w:t xml:space="preserve"> democratization of a political entity such as the state is closely related to democratization in rural areas</w:t>
      </w:r>
      <w:r w:rsidR="0090485E">
        <w:t xml:space="preserve"> </w:t>
      </w:r>
      <w:r w:rsidR="0090485E">
        <w:fldChar w:fldCharType="begin" w:fldLock="1"/>
      </w:r>
      <w:r w:rsidR="006038BE">
        <w:instrText>ADDIN CSL_CITATION {"citationItems":[{"id":"ITEM-1","itemData":{"DOI":"10.4324/9781315827896","ISBN":"9781317845249","author":[{"dropping-particle":"","family":"Fox","given":"Jonathan","non-dropping-particle":"","parse-names":false,"suffix":""}],"container-title":"Journal of Development Studies","id":"ITEM-1","issue":"4","issued":{"date-parts":[["1990"]]},"page":"1-18","title":"The Challenge of Rural Democratization: Perspectives From Latin America and the Philippines","type":"article-journal","volume":"26"},"uris":["http://www.mendeley.com/documents/?uuid=ad72ae7c-b0e2-4a04-8574-f988a755a7c9"]},{"id":"ITEM-2","itemData":{"DOI":"10.53341/jgpi.v1i1.4","ISSN":"2807-3746","abstract":"The military's involvement in power and land ownership often leads to conflicts, both vertically and horizontally. According to the Agrarian Reform Consortium's records in 2020, agrarian conflicts involving military personnel during the Covid-19 pandemic were relatively stagnant. This paper aims to explore the conflict between the TNI Akmil Magelang and the Magelang City Government. The method used in this study uses a descriptive qualitative approach. Data collection techniques in this study using observation and documentation techniques and processing research data using the stages of data presentation, verification, and concluding. This study uses Pondy's (1967) theory regarding the stages of conflict as an analytical tool. The results show that the military conflict over land control with the city government has occurred since 1985. However, this conflict has not yet found common ground. The peak of the conflict occurred in mid-August 2020 when the TNI put up a sign at the mayor's office complex. The TNI gave an ultimatum to the Magelang City Government to leave or compensate for land assets. The development of the conflict is currently heading towards conflict resolution. However, it does not mean that in the end the conflict resolution can be found. This departs from the historical record where this conflict has been going on for a long time, and various parties as mediators are involved. However, the conflict continues to roll on and at any time can explode again in public.  ","author":[{"dropping-particle":"","family":"Setiawan","given":"Hendy","non-dropping-particle":"","parse-names":false,"suffix":""}],"container-title":"Journal of Government and Political Issues","id":"ITEM-2","issue":"1","issued":{"date-parts":[["2021"]]},"page":"1-14","title":"Military and Control of Land Resources? Conflict TNI and Magelang City Government","type":"article-journal","volume":"1"},"uris":["http://www.mendeley.com/documents/?uuid=e51dbb1c-f181-4654-bdc7-5cd8f6044f7b"]}],"mendeley":{"formattedCitation":"[5], [6]","plainTextFormattedCitation":"[5], [6]","previouslyFormattedCitation":"[5], [6]"},"properties":{"noteIndex":0},"schema":"https://github.com/citation-style-language/schema/raw/master/csl-citation.json"}</w:instrText>
      </w:r>
      <w:r w:rsidR="0090485E">
        <w:fldChar w:fldCharType="separate"/>
      </w:r>
      <w:r w:rsidR="0034724D" w:rsidRPr="0034724D">
        <w:rPr>
          <w:noProof/>
        </w:rPr>
        <w:t>[5], [6]</w:t>
      </w:r>
      <w:r w:rsidR="0090485E">
        <w:fldChar w:fldCharType="end"/>
      </w:r>
      <w:r w:rsidRPr="0019277A">
        <w:t xml:space="preserve">. The transition process to democracy will also be hampered if authoritarian enclaves are still entrenched in </w:t>
      </w:r>
      <w:r w:rsidR="008153FD">
        <w:t>several</w:t>
      </w:r>
      <w:r w:rsidRPr="0019277A">
        <w:t xml:space="preserve"> government areas, such as the legislative and judicial branches</w:t>
      </w:r>
      <w:r w:rsidR="008153FD">
        <w:t>, and</w:t>
      </w:r>
      <w:r w:rsidRPr="0019277A">
        <w:t xml:space="preserve"> geographical areas</w:t>
      </w:r>
      <w:r w:rsidR="008153FD">
        <w:t>,</w:t>
      </w:r>
      <w:r w:rsidRPr="0019277A">
        <w:t xml:space="preserve"> such as the regional government</w:t>
      </w:r>
      <w:r w:rsidR="0090485E">
        <w:t xml:space="preserve"> </w:t>
      </w:r>
      <w:r w:rsidR="0090485E">
        <w:fldChar w:fldCharType="begin" w:fldLock="1"/>
      </w:r>
      <w:r w:rsidR="006038BE">
        <w:instrText>ADDIN CSL_CITATION {"citationItems":[{"id":"ITEM-1","itemData":{"DOI":"10.1353/jod.1996.0031","ISSN":"10455736","author":[{"dropping-particle":"","family":"Linz","given":"Juan J.","non-dropping-particle":"","parse-names":false,"suffix":""},{"dropping-particle":"","family":"Stepan","given":"Alfred","non-dropping-particle":"","parse-names":false,"suffix":""}],"container-title":"Journal of Democracy","id":"ITEM-1","issue":"2","issued":{"date-parts":[["1996"]]},"page":"1-13","title":"Toward Consolidated Democracies","type":"article-journal","volume":"7"},"uris":["http://www.mendeley.com/documents/?uuid=f9fe4e28-6bca-46f7-b90b-0bf91f28afba"]},{"id":"ITEM-2","itemData":{"DOI":"10.1080/13510347.2012.725725","ISSN":"13510347","abstract":"A growing body of subnational comparative research on democracy has focused attention on 'subnational authoritarianism', in tandem with increasing interest in local politics across the developing world. Unsurprisingly, this evolving field of study has been characterized by a diversity - if not a dichotomy - of approaches, with quantitative and qualitative research proceeding along parallel and sometimes intersecting tracks. But scholars working in diverse contexts and with diverging approaches have begun to converge on a set of explanations for the patterns of variance observed in subnational authoritarianism within and across national settings. Drawing on studies of Russia, the United States, southern Italy, Argentina and West Africa, this article shows how scholarship has identified the underlying economic foundations of subnational authoritarianism. Combining the findings of recent qualitative and quantitative studies with the author's own research in the Philippines, this article spells out a set of hypotheses which may help to explain patterns of variance in subnational authoritarianism. Variance in subnational authoritarianism, it is suggested, stems from varying local economic conditions and possibilities for accumulation and maintenance of control over local economies. Further 'mapping' of subnational authoritarianism thus requires local fieldwork to complement the strengths - and overcome the limitations - of quantitative research. © 2012 Taylor &amp; Francis.","author":[{"dropping-particle":"","family":"Sidel","given":"John T.","non-dropping-particle":"","parse-names":false,"suffix":""}],"container-title":"Democratization","id":"ITEM-2","issue":"1","issued":{"date-parts":[["2014"]]},"page":"161-184","title":"Economic Foundations of Subnational Authoritarianism: Insights and Evidence from Qualitative and Quantitative Research","type":"article-journal","volume":"21"},"uris":["http://www.mendeley.com/documents/?uuid=88c3c6bc-8a51-4fe7-b856-ba2d3e0e5a52"]}],"mendeley":{"formattedCitation":"[7], [8]","plainTextFormattedCitation":"[7], [8]","previouslyFormattedCitation":"[7], [8]"},"properties":{"noteIndex":0},"schema":"https://github.com/citation-style-language/schema/raw/master/csl-citation.json"}</w:instrText>
      </w:r>
      <w:r w:rsidR="0090485E">
        <w:fldChar w:fldCharType="separate"/>
      </w:r>
      <w:r w:rsidR="0034724D" w:rsidRPr="0034724D">
        <w:rPr>
          <w:noProof/>
        </w:rPr>
        <w:t>[7], [8]</w:t>
      </w:r>
      <w:r w:rsidR="0090485E">
        <w:fldChar w:fldCharType="end"/>
      </w:r>
      <w:r w:rsidR="0090485E">
        <w:t>.</w:t>
      </w:r>
      <w:r w:rsidRPr="0019277A">
        <w:t xml:space="preserve"> The contours of agrarian issues in Indonesia, ranging from overt conflicts such as the 1965 Politicide and land grabbing to more subtle processes of contestation and exploitation, such as increasing socio-economic disparities in rural areas, also have </w:t>
      </w:r>
      <w:r w:rsidR="008153FD">
        <w:t>a significant</w:t>
      </w:r>
      <w:r w:rsidRPr="0019277A">
        <w:t xml:space="preserve"> influence on the quality of democracy in Indonesia. </w:t>
      </w:r>
      <w:r w:rsidR="008153FD">
        <w:t>These</w:t>
      </w:r>
      <w:r w:rsidRPr="0019277A">
        <w:t xml:space="preserve"> problems are closely related to the quality of the living space and the rights of the affected citizens.</w:t>
      </w:r>
    </w:p>
    <w:p w:rsidR="00BE008F" w:rsidRDefault="00DA483B" w:rsidP="00BE008F">
      <w:pPr>
        <w:pStyle w:val="TeksIsi"/>
        <w:ind w:firstLine="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ambar 3" o:spid="_x0000_i1026" type="#_x0000_t75" alt="" style="width:252.6pt;height:58.95pt;visibility:visible;mso-wrap-style:square;mso-width-percent:0;mso-height-percent:0;mso-width-percent:0;mso-height-percent:0">
            <v:imagedata r:id="rId8" o:title=""/>
          </v:shape>
        </w:pict>
      </w:r>
    </w:p>
    <w:p w:rsidR="00BE008F" w:rsidRPr="001D7D8E" w:rsidRDefault="00BE008F" w:rsidP="00BE008F">
      <w:pPr>
        <w:pStyle w:val="TeksIsi"/>
        <w:ind w:firstLine="0"/>
      </w:pPr>
      <w:r>
        <w:t xml:space="preserve">Figure 1. </w:t>
      </w:r>
      <w:r w:rsidRPr="00BE008F">
        <w:t>The Relationship between Agrarian Issues and Democracy in Indonesia</w:t>
      </w:r>
    </w:p>
    <w:p w:rsidR="005752C2" w:rsidRDefault="0019277A" w:rsidP="00433D52">
      <w:pPr>
        <w:pStyle w:val="TeksIsi"/>
      </w:pPr>
      <w:r w:rsidRPr="0019277A">
        <w:t xml:space="preserve">This article attempts to analyze the relationship between agrarian issues and democracy in Indonesia. </w:t>
      </w:r>
      <w:r w:rsidR="008153FD">
        <w:t>This article makes two central claims using</w:t>
      </w:r>
      <w:r w:rsidRPr="0019277A">
        <w:t xml:space="preserve"> references from agrarian studies and comparative social studies, especially comparative politics. First, various agrarian issues in Indonesia have influenced the quality and trajectory of democracy in Indonesia after the collapse of the New Order. More specifically, the four </w:t>
      </w:r>
      <w:r w:rsidR="008153FD">
        <w:t>primary</w:t>
      </w:r>
      <w:r w:rsidRPr="0019277A">
        <w:t xml:space="preserve"> and pressing agrarian issues—land grabbing, increasing class </w:t>
      </w:r>
      <w:r w:rsidRPr="0019277A">
        <w:lastRenderedPageBreak/>
        <w:t xml:space="preserve">differentiation among peasants, increasing socio-economic disparities in rural areas, and curbing </w:t>
      </w:r>
      <w:r w:rsidR="008153FD">
        <w:t>several</w:t>
      </w:r>
      <w:r w:rsidRPr="0019277A">
        <w:t xml:space="preserve"> democratic political rights at the local level—contributed to the tendency to veer towards non-discrimination</w:t>
      </w:r>
      <w:r w:rsidR="008153FD">
        <w:t>: liberal</w:t>
      </w:r>
      <w:r w:rsidRPr="0019277A">
        <w:t xml:space="preserve"> (illiberal turn) and the decline in the quality of Indonesian democracy.</w:t>
      </w:r>
    </w:p>
    <w:p w:rsidR="0019277A" w:rsidRPr="001D7D8E" w:rsidRDefault="0019277A" w:rsidP="00433D52">
      <w:pPr>
        <w:pStyle w:val="TeksIsi"/>
      </w:pPr>
      <w:r w:rsidRPr="0019277A">
        <w:t>Second, at the same time, with the increasing complexity of agrarian and democratic issues in Indonesia, contemporary agrarian movements, such as farmers' unions, environmental movements, and indigenous peoples' movements, have contributed to deepening and strengthening democracy in Indonesia. In other words, here</w:t>
      </w:r>
      <w:r w:rsidR="008153FD">
        <w:t>,</w:t>
      </w:r>
      <w:r w:rsidRPr="0019277A">
        <w:t xml:space="preserve"> there are two processes running simultaneously and tug-of-war, namely the decline and deepening of the quality of Indonesian democracy </w:t>
      </w:r>
      <w:r w:rsidR="008153FD">
        <w:t>about</w:t>
      </w:r>
      <w:r w:rsidRPr="0019277A">
        <w:t xml:space="preserve"> agrarian issues. This shows the importance of revisiting agrarian issues </w:t>
      </w:r>
      <w:r w:rsidR="008153FD">
        <w:t>to understand the dynamics of politics and democracy comprehensively</w:t>
      </w:r>
      <w:r w:rsidRPr="0019277A">
        <w:t>.</w:t>
      </w:r>
    </w:p>
    <w:p w:rsidR="008A55B5" w:rsidRPr="001D7D8E" w:rsidRDefault="005752C2" w:rsidP="00CB1404">
      <w:pPr>
        <w:pStyle w:val="Judul1"/>
      </w:pPr>
      <w:r w:rsidRPr="005752C2">
        <w:t>Research Method</w:t>
      </w:r>
    </w:p>
    <w:p w:rsidR="0017388F" w:rsidRDefault="0017388F" w:rsidP="00753F7B">
      <w:pPr>
        <w:pStyle w:val="TeksIsi"/>
      </w:pPr>
      <w:r w:rsidRPr="0017388F">
        <w:t xml:space="preserve">This study was conducted using bibliometric and descriptive evaluative analysis methods. The study population is primary data for journal articles from 2015-2021 taken from search results conducted in August 2021 through the Google Scholar database using the </w:t>
      </w:r>
      <w:proofErr w:type="spellStart"/>
      <w:r w:rsidRPr="0017388F">
        <w:t>Publis</w:t>
      </w:r>
      <w:proofErr w:type="spellEnd"/>
      <w:r w:rsidRPr="0017388F">
        <w:t xml:space="preserve"> or Peris application with the "abstract keyword" agrarian</w:t>
      </w:r>
      <w:r w:rsidR="006038BE">
        <w:t xml:space="preserve"> and</w:t>
      </w:r>
      <w:r w:rsidRPr="0017388F">
        <w:t xml:space="preserve"> democracy; the database obtained is 1000 articles, the data is exported in the format of Research Information Systems (RIS). The data is taken from the </w:t>
      </w:r>
      <w:proofErr w:type="spellStart"/>
      <w:r w:rsidRPr="0017388F">
        <w:t>Publis</w:t>
      </w:r>
      <w:proofErr w:type="spellEnd"/>
      <w:r w:rsidRPr="0017388F">
        <w:t xml:space="preserve"> or Peris application, then imported into the </w:t>
      </w:r>
      <w:proofErr w:type="spellStart"/>
      <w:r w:rsidRPr="0017388F">
        <w:t>VOSviewer</w:t>
      </w:r>
      <w:proofErr w:type="spellEnd"/>
      <w:r w:rsidRPr="0017388F">
        <w:t xml:space="preserve"> data management application</w:t>
      </w:r>
      <w:r w:rsidR="008153FD">
        <w:t>. The</w:t>
      </w:r>
      <w:r w:rsidRPr="0017388F">
        <w:t xml:space="preserve"> next step is to extract the title and abstract by using the binary counting method and using a minimum of 10 times the emergence of a term </w:t>
      </w:r>
      <w:r w:rsidR="0090485E">
        <w:fldChar w:fldCharType="begin" w:fldLock="1"/>
      </w:r>
      <w:r w:rsidR="006038BE">
        <w:instrText>ADDIN CSL_CITATION {"citationItems":[{"id":"ITEM-1","itemData":{"author":[{"dropping-particle":"van","family":"Eck","given":"Nees Jan","non-dropping-particle":"","parse-names":false,"suffix":""},{"dropping-particle":"","family":"Waltman","given":"Ludo","non-dropping-particle":"","parse-names":false,"suffix":""}],"container-title":"Univeristeit Leiden","id":"ITEM-1","issue":"July","issued":{"date-parts":[["2021"]]},"page":"3-51","publisher-place":"Netherlands","title":"VOSviewer Manual","type":"patent"},"uris":["http://www.mendeley.com/documents/?uuid=2eabf14a-fc5a-4645-b2b6-f462a872e1b2"]}],"mendeley":{"formattedCitation":"[9]","plainTextFormattedCitation":"[9]","previouslyFormattedCitation":"[9]"},"properties":{"noteIndex":0},"schema":"https://github.com/citation-style-language/schema/raw/master/csl-citation.json"}</w:instrText>
      </w:r>
      <w:r w:rsidR="0090485E">
        <w:fldChar w:fldCharType="separate"/>
      </w:r>
      <w:r w:rsidR="0034724D" w:rsidRPr="0034724D">
        <w:rPr>
          <w:noProof/>
        </w:rPr>
        <w:t>[9]</w:t>
      </w:r>
      <w:r w:rsidR="0090485E">
        <w:fldChar w:fldCharType="end"/>
      </w:r>
      <w:r w:rsidRPr="0017388F">
        <w:t xml:space="preserve">. The </w:t>
      </w:r>
      <w:r w:rsidR="008153FD">
        <w:t>data processing results</w:t>
      </w:r>
      <w:r w:rsidRPr="0017388F">
        <w:t xml:space="preserve"> show that very little research on the impact of </w:t>
      </w:r>
      <w:r w:rsidR="00C85E6F">
        <w:t>agrarianism</w:t>
      </w:r>
      <w:r w:rsidR="006038BE">
        <w:t xml:space="preserve"> and</w:t>
      </w:r>
      <w:r w:rsidR="006038BE" w:rsidRPr="0017388F">
        <w:t xml:space="preserve"> democracy</w:t>
      </w:r>
      <w:r w:rsidRPr="0017388F">
        <w:t xml:space="preserve"> has been carried out (see Figure </w:t>
      </w:r>
      <w:r w:rsidR="00BE008F">
        <w:t>2</w:t>
      </w:r>
      <w:r w:rsidRPr="0017388F">
        <w:t>).</w:t>
      </w:r>
    </w:p>
    <w:p w:rsidR="0017388F" w:rsidRDefault="00DA483B" w:rsidP="0017388F">
      <w:pPr>
        <w:pStyle w:val="TeksIsi"/>
        <w:ind w:firstLine="0"/>
      </w:pPr>
      <w:r w:rsidRPr="00DA483B">
        <w:rPr>
          <w:noProof/>
          <w:lang w:val="id-ID"/>
        </w:rPr>
        <w:pict>
          <v:shape id="Gambar 1" o:spid="_x0000_i1025" type="#_x0000_t75" alt="" style="width:251.4pt;height:162pt;visibility:visible;mso-wrap-style:square;mso-width-percent:0;mso-height-percent:0;mso-width-percent:0;mso-height-percent:0">
            <v:imagedata r:id="rId9" o:title=""/>
          </v:shape>
        </w:pict>
      </w:r>
    </w:p>
    <w:p w:rsidR="006038BE" w:rsidRDefault="006038BE" w:rsidP="006038BE">
      <w:pPr>
        <w:pStyle w:val="TeksIsi"/>
        <w:ind w:firstLine="0"/>
        <w:jc w:val="center"/>
      </w:pPr>
      <w:r>
        <w:t xml:space="preserve">Figure </w:t>
      </w:r>
      <w:r w:rsidR="00BE008F">
        <w:t>2</w:t>
      </w:r>
      <w:r>
        <w:t xml:space="preserve">. </w:t>
      </w:r>
      <w:r w:rsidRPr="006038BE">
        <w:t>Results of Data Analysis Using</w:t>
      </w:r>
      <w:r>
        <w:t xml:space="preserve"> </w:t>
      </w:r>
      <w:proofErr w:type="spellStart"/>
      <w:r w:rsidRPr="0017388F">
        <w:t>VOSviewer</w:t>
      </w:r>
      <w:proofErr w:type="spellEnd"/>
    </w:p>
    <w:p w:rsidR="0017388F" w:rsidRDefault="0017388F" w:rsidP="00753F7B">
      <w:pPr>
        <w:pStyle w:val="TeksIsi"/>
      </w:pPr>
      <w:r w:rsidRPr="0017388F">
        <w:t xml:space="preserve">To analyze the relationship between agrarian issues and broader political dynamics, the researcher uses Henry Bernstein's classical formulation model of four </w:t>
      </w:r>
      <w:r w:rsidR="008153FD">
        <w:t>critical</w:t>
      </w:r>
      <w:r w:rsidRPr="0017388F">
        <w:t xml:space="preserve"> questions of agrarian political economy—who owns what (ownership structure), who does what (work relations), who gets what (production and income), surplus-value from the agrarian production process), and what is done with the surplus-value (the process of accumulation and misappropriation of surplus-value)—is the initial perspective </w:t>
      </w:r>
      <w:r w:rsidRPr="0017388F">
        <w:t>that needs to be used to analyze the impact of agrarian issues on the political process. However, that alone is not enough</w:t>
      </w:r>
      <w:r w:rsidR="006038BE">
        <w:t xml:space="preserve"> </w:t>
      </w:r>
      <w:r w:rsidR="006038BE">
        <w:fldChar w:fldCharType="begin" w:fldLock="1"/>
      </w:r>
      <w:r w:rsidR="006038BE">
        <w:instrText>ADDIN CSL_CITATION {"citationItems":[{"id":"ITEM-1","itemData":{"author":[{"dropping-particle":"","family":"Bersntein","given":"Henry","non-dropping-particle":"","parse-names":false,"suffix":""}],"id":"ITEM-1","issued":{"date-parts":[["2010"]]},"publisher":"Fernwood","publisher-place":"Halifax","title":"Class Dynamics of Agrarian Change","type":"book"},"uris":["http://www.mendeley.com/documents/?uuid=754092df-a813-491d-a9c5-4da41baf2c16"]}],"mendeley":{"formattedCitation":"[10]","plainTextFormattedCitation":"[10]","previouslyFormattedCitation":"[10]"},"properties":{"noteIndex":0},"schema":"https://github.com/citation-style-language/schema/raw/master/csl-citation.json"}</w:instrText>
      </w:r>
      <w:r w:rsidR="006038BE">
        <w:fldChar w:fldCharType="separate"/>
      </w:r>
      <w:r w:rsidR="006038BE" w:rsidRPr="006038BE">
        <w:rPr>
          <w:noProof/>
        </w:rPr>
        <w:t>[10]</w:t>
      </w:r>
      <w:r w:rsidR="006038BE">
        <w:fldChar w:fldCharType="end"/>
      </w:r>
      <w:r w:rsidRPr="0017388F">
        <w:t xml:space="preserve">. </w:t>
      </w:r>
      <w:r w:rsidR="00C85E6F">
        <w:t>We know from</w:t>
      </w:r>
      <w:r w:rsidRPr="0017388F">
        <w:t xml:space="preserve"> classical </w:t>
      </w:r>
      <w:proofErr w:type="spellStart"/>
      <w:r w:rsidRPr="0017388F">
        <w:t>macrohistorical</w:t>
      </w:r>
      <w:proofErr w:type="spellEnd"/>
      <w:r w:rsidRPr="0017388F">
        <w:t xml:space="preserve"> studies of the peasants and revolution that the peasants </w:t>
      </w:r>
      <w:r w:rsidR="008153FD">
        <w:t>can</w:t>
      </w:r>
      <w:r w:rsidRPr="0017388F">
        <w:t xml:space="preserve"> mobilize for social transformation. </w:t>
      </w:r>
      <w:r w:rsidR="008153FD">
        <w:t>About</w:t>
      </w:r>
      <w:r w:rsidRPr="0017388F">
        <w:t xml:space="preserve"> the process of democratization and deepening of democracy, several </w:t>
      </w:r>
      <w:r w:rsidR="008153FD">
        <w:t>critical</w:t>
      </w:r>
      <w:r w:rsidRPr="0017388F">
        <w:t xml:space="preserve"> studies conducted by </w:t>
      </w:r>
      <w:r w:rsidR="008153FD">
        <w:t>several</w:t>
      </w:r>
      <w:r w:rsidRPr="0017388F">
        <w:t xml:space="preserve"> </w:t>
      </w:r>
      <w:proofErr w:type="gramStart"/>
      <w:r w:rsidRPr="0017388F">
        <w:t>scientists</w:t>
      </w:r>
      <w:proofErr w:type="gramEnd"/>
      <w:r w:rsidRPr="0017388F">
        <w:t xml:space="preserve"> politicians, such as Frances Hagopian, John </w:t>
      </w:r>
      <w:proofErr w:type="spellStart"/>
      <w:r w:rsidRPr="0017388F">
        <w:t>Sidel</w:t>
      </w:r>
      <w:proofErr w:type="spellEnd"/>
      <w:r w:rsidRPr="0017388F">
        <w:t xml:space="preserve">, and </w:t>
      </w:r>
      <w:proofErr w:type="spellStart"/>
      <w:r w:rsidRPr="0017388F">
        <w:t>Adaner</w:t>
      </w:r>
      <w:proofErr w:type="spellEnd"/>
      <w:r w:rsidRPr="0017388F">
        <w:t xml:space="preserve"> </w:t>
      </w:r>
      <w:proofErr w:type="spellStart"/>
      <w:r w:rsidRPr="0017388F">
        <w:t>Usmani</w:t>
      </w:r>
      <w:proofErr w:type="spellEnd"/>
      <w:r w:rsidRPr="0017388F">
        <w:t xml:space="preserve">, made two important findings. First, control over land-based economic assets facilitates dominant political influence and the hijacking of state resources, such as government budgets and political office. Second, land tenure-based oligarchy is one of the biggest obstacles to democratization </w:t>
      </w:r>
      <w:r w:rsidR="0090485E">
        <w:fldChar w:fldCharType="begin" w:fldLock="1"/>
      </w:r>
      <w:r w:rsidR="002C389C">
        <w:instrText>ADDIN CSL_CITATION {"citationItems":[{"id":"ITEM-1","itemData":{"author":[{"dropping-particle":"","family":"Hagopian","given":"Frances","non-dropping-particle":"","parse-names":false,"suffix":""},{"dropping-particle":"","family":"Berger","given":"Suzanne","non-dropping-particle":"","parse-names":false,"suffix":""}],"id":"ITEM-1","issued":{"date-parts":[["1986"]]},"publisher":"Massachusetts Institute of Technology","title":"The Politics of Oligarchy: The Persistence of Traditional Elites in Contemporary Brazil","type":"thesis"},"uris":["http://www.mendeley.com/documents/?uuid=7d6ad5e1-4c3e-4701-8015-d2d4f4960968"]},{"id":"ITEM-2","itemData":{"author":[{"dropping-particle":"","family":"Sidel","given":"John T","non-dropping-particle":"","parse-names":false,"suffix":""}],"id":"ITEM-2","issued":{"date-parts":[["1999"]]},"publisher":"Stanford University Press","publisher-place":"Stanford","title":"Capital, Coercion, and Crime: Bossism in the Philippines","type":"book"},"uris":["http://www.mendeley.com/documents/?uuid=1fb34b5b-04f6-43e9-bbc1-9d993e081b03"]},{"id":"ITEM-3","itemData":{"author":[{"dropping-particle":"","family":"Usmani","given":"Adaner","non-dropping-particle":"","parse-names":false,"suffix":""}],"id":"ITEM-3","issued":{"date-parts":[["2017"]]},"publisher":"New York University","title":"Essays on the Rise and Fall of Labor","type":"thesis"},"uris":["http://www.mendeley.com/documents/?uuid=909baf5b-e98f-4740-95f6-f745816b4719"]}],"mendeley":{"formattedCitation":"[11]–[13]","plainTextFormattedCitation":"[11]–[13]","previouslyFormattedCitation":"[11]–[13]"},"properties":{"noteIndex":0},"schema":"https://github.com/citation-style-language/schema/raw/master/csl-citation.json"}</w:instrText>
      </w:r>
      <w:r w:rsidR="0090485E">
        <w:fldChar w:fldCharType="separate"/>
      </w:r>
      <w:r w:rsidR="002C389C" w:rsidRPr="002C389C">
        <w:rPr>
          <w:noProof/>
        </w:rPr>
        <w:t>[11]–[13]</w:t>
      </w:r>
      <w:r w:rsidR="0090485E">
        <w:fldChar w:fldCharType="end"/>
      </w:r>
      <w:r w:rsidRPr="0017388F">
        <w:t>. In short, these studies show a close relationship between agrarian issues and political dynamics, especially in terms of the conflicting interests of the expansion of capitalism with the working classes (classes of labor)</w:t>
      </w:r>
      <w:r w:rsidR="008153FD">
        <w:t>, in</w:t>
      </w:r>
      <w:r w:rsidRPr="0017388F">
        <w:t xml:space="preserve"> rural areas and the articulation of democratic politics</w:t>
      </w:r>
      <w:r w:rsidR="002C389C">
        <w:t xml:space="preserve"> </w:t>
      </w:r>
      <w:r w:rsidR="002C389C">
        <w:fldChar w:fldCharType="begin" w:fldLock="1"/>
      </w:r>
      <w:r w:rsidR="008C6A57">
        <w:instrText>ADDIN CSL_CITATION {"citationItems":[{"id":"ITEM-1","itemData":{"author":[{"dropping-particle":"","family":"Bernstein","given":"Henry","non-dropping-particle":"","parse-names":false,"suffix":""}],"container-title":"Living on the Margins","id":"ITEM-1","issued":{"date-parts":[["2007"]]},"page":"1-11","title":"Capital and Labour from Centre to Margins","type":"paper-conference"},"uris":["http://www.mendeley.com/documents/?uuid=de0e2141-507a-4250-89f6-909f3f9d6e2f"]}],"mendeley":{"formattedCitation":"[14]","plainTextFormattedCitation":"[14]","previouslyFormattedCitation":"[14]"},"properties":{"noteIndex":0},"schema":"https://github.com/citation-style-language/schema/raw/master/csl-citation.json"}</w:instrText>
      </w:r>
      <w:r w:rsidR="002C389C">
        <w:fldChar w:fldCharType="separate"/>
      </w:r>
      <w:r w:rsidR="002C389C" w:rsidRPr="002C389C">
        <w:rPr>
          <w:noProof/>
        </w:rPr>
        <w:t>[14]</w:t>
      </w:r>
      <w:r w:rsidR="002C389C">
        <w:fldChar w:fldCharType="end"/>
      </w:r>
      <w:r w:rsidRPr="0017388F">
        <w:t>.</w:t>
      </w:r>
    </w:p>
    <w:p w:rsidR="00B0372C" w:rsidRPr="001D7D8E" w:rsidRDefault="0017388F" w:rsidP="0017388F">
      <w:pPr>
        <w:pStyle w:val="TeksIsi"/>
      </w:pPr>
      <w:r w:rsidRPr="0017388F">
        <w:t>A more comprehensive analysis of the relationship between agrarian issues and democracy is also needed because of the increasingly expansive process of accumulation through dispossession (ABD) in the era of neoliberal capitalism through various practices, ranging from the commodification and privatization of natural resources to expropriation under the pretext of conservation</w:t>
      </w:r>
      <w:r>
        <w:t xml:space="preserve"> </w:t>
      </w:r>
      <w:r w:rsidR="008C6A57">
        <w:fldChar w:fldCharType="begin" w:fldLock="1"/>
      </w:r>
      <w:r w:rsidR="00075E5F">
        <w:instrText>ADDIN CSL_CITATION {"citationItems":[{"id":"ITEM-1","itemData":{"ISSN":"00349437","PMID":"2616849","abstract":"An investigation was made of the effect of emergency endoscopic sclerotherapy on the evaluation of digestive hemorrhage (HDA) secondary to gastroduodenal ulcer disease in two consecutive groups of patients. The control group included 92 patients and the sclerotherapy group contained 63. Both groups had the same management and basic treatment of hemodynamic stabilization, anti-H2 agents and alkaline . The sclerotherapy group also received a local injection of 1/10,000 (5-12 ml) adrenaline and 1% polydocanol (5-12 ml) if direct signs of hemorrhage (active bleeding, red clot, visible vessel) were seen at the time of early endoscopy. Surgery was indicated in the presence of persistent, recurrent or massive digestive hemorrhage. Thirty-two percent of the control group and 34% of the sclerosis group presented direct signs of hemorrhage at the time of endoscopy. Both groups were homogeneous with respect to sex distribution, NSAID intake, hemoglobin, presence of shock and etiology (33.3% and 36.3%, respectively, had duodenal ulcer). The average age was significantly higher in the control group than in the sclerotherapy group. Neither the presence of any endoscopic sign nor etiology contributed to the evolution of digestive bleeding. It is concluded that emergency endoscopic sclerotherapy with injection of adrenaline and polydocanol has a clearly favorable effect on the evolution of bleeding secondary to gastrointestinal ulcer disease evidencing direct signs on endoscopy.","author":[{"dropping-particle":"","family":"Harvey","given":"David","non-dropping-particle":"","parse-names":false,"suffix":""}],"container-title":"Socialis Register","id":"ITEM-1","issued":{"date-parts":[["2004"]]},"page":"63-87","title":"The 'New' Imperialism: Accumulation by Dispessession","type":"article-journal","volume":"40"},"uris":["http://www.mendeley.com/documents/?uuid=5f45ce48-57bd-45b6-9d00-06c81822b41c"]},{"id":"ITEM-2","itemData":{"author":[{"dropping-particle":"","family":"Harvey","given":"David","non-dropping-particle":"","parse-names":false,"suffix":""}],"id":"ITEM-2","issued":{"date-parts":[["2005"]]},"publisher":"Oxford University Press","publisher-place":"New York","title":"A Brief History of Neoliberalism","type":"book"},"uris":["http://www.mendeley.com/documents/?uuid=6db3f1aa-d209-4272-b085-8c8ca6ae01b5"]}],"mendeley":{"formattedCitation":"[15], [16]","plainTextFormattedCitation":"[15], [16]","previouslyFormattedCitation":"[15], [16]"},"properties":{"noteIndex":0},"schema":"https://github.com/citation-style-language/schema/raw/master/csl-citation.json"}</w:instrText>
      </w:r>
      <w:r w:rsidR="008C6A57">
        <w:fldChar w:fldCharType="separate"/>
      </w:r>
      <w:r w:rsidR="008C6A57" w:rsidRPr="008C6A57">
        <w:rPr>
          <w:noProof/>
        </w:rPr>
        <w:t>[15], [16]</w:t>
      </w:r>
      <w:r w:rsidR="008C6A57">
        <w:fldChar w:fldCharType="end"/>
      </w:r>
      <w:r w:rsidRPr="0017388F">
        <w:t xml:space="preserve">. Historically, the process of capitalistic accumulation has had far </w:t>
      </w:r>
      <w:r w:rsidR="008153FD">
        <w:t>more significant</w:t>
      </w:r>
      <w:r w:rsidRPr="0017388F">
        <w:t xml:space="preserve"> political implications in the Southeast Asia region</w:t>
      </w:r>
      <w:r>
        <w:t xml:space="preserve"> </w:t>
      </w:r>
      <w:r w:rsidR="00075E5F">
        <w:fldChar w:fldCharType="begin" w:fldLock="1"/>
      </w:r>
      <w:r w:rsidR="00075E5F">
        <w:instrText>ADDIN CSL_CITATION {"citationItems":[{"id":"ITEM-1","itemData":{"DOI":"10.1017/trn.2014.12","ISSN":"20513658","abstract":"More than any other scholar, James C. Scott has drawn attention to the significance of what Marx termed 'primitive accumulation' in the historical transformation of the societies of Southeast Asia. Taking Scott's work as its point of departure, this article sketches the broad contours of primitive accumulation across the region from the mid-nineteenth century up through the early twentieth century. The article shows how primitive accumulation unfolded in different ways in different parts of Southeast Asia and suggests how the different modalities of primitive accumulation have continued to shape the trajectories and parameters of politics across the region to this day.","author":[{"dropping-particle":"","family":"Sidel","given":"John T.","non-dropping-particle":"","parse-names":false,"suffix":""}],"container-title":"TRaNS: Trans-Regional and -National Studies of Southeast Asia","id":"ITEM-1","issue":"1","issued":{"date-parts":[["2015"]]},"page":"5-23","title":"Primitive Accumulation and 'Progress' in Southeast Asia: The Diverse Legacies of a Common(s) Tragedy","type":"article-journal","volume":"3"},"uris":["http://www.mendeley.com/documents/?uuid=67c82e0f-ba8c-4e21-9c82-1c3f0254a5c2"]}],"mendeley":{"formattedCitation":"[17]","plainTextFormattedCitation":"[17]","previouslyFormattedCitation":"[17]"},"properties":{"noteIndex":0},"schema":"https://github.com/citation-style-language/schema/raw/master/csl-citation.json"}</w:instrText>
      </w:r>
      <w:r w:rsidR="00075E5F">
        <w:fldChar w:fldCharType="separate"/>
      </w:r>
      <w:r w:rsidR="00075E5F" w:rsidRPr="00075E5F">
        <w:rPr>
          <w:noProof/>
        </w:rPr>
        <w:t>[17]</w:t>
      </w:r>
      <w:r w:rsidR="00075E5F">
        <w:fldChar w:fldCharType="end"/>
      </w:r>
      <w:r w:rsidRPr="0017388F">
        <w:t xml:space="preserve">. In this regard, Indonesia is </w:t>
      </w:r>
      <w:r w:rsidR="008153FD">
        <w:t>a crucial</w:t>
      </w:r>
      <w:r w:rsidRPr="0017388F">
        <w:t xml:space="preserve"> case study as a young, middle-income democracy with a long history of rural political upheaval. </w:t>
      </w:r>
      <w:r w:rsidR="00C85E6F">
        <w:t>A</w:t>
      </w:r>
      <w:r w:rsidRPr="0017388F">
        <w:t xml:space="preserve"> deeper reading of agrarian and democratic issues is needed to understand and respond to the rising trend of contemporary authoritarian populism closely related to agrarian change and rural politics</w:t>
      </w:r>
      <w:r>
        <w:t xml:space="preserve"> </w:t>
      </w:r>
      <w:r w:rsidR="00075E5F">
        <w:fldChar w:fldCharType="begin" w:fldLock="1"/>
      </w:r>
      <w:r w:rsidR="00075E5F">
        <w:instrText>ADDIN CSL_CITATION {"citationItems":[{"id":"ITEM-1","itemData":{"DOI":"10.1080/03066150.2017.1339693","ISSN":"0306-6150","author":[{"dropping-particle":"","family":"Scoones","given":"Ian","non-dropping-particle":"","parse-names":false,"suffix":""},{"dropping-particle":"","family":"Edelman","given":"Marc","non-dropping-particle":"","parse-names":false,"suffix":""},{"dropping-particle":"","family":"Borras","given":"Saturnino M","non-dropping-particle":"","parse-names":false,"suffix":""},{"dropping-particle":"","family":"Hall","given":"Ruth","non-dropping-particle":"","parse-names":false,"suffix":""},{"dropping-particle":"","family":"Wolford","given":"Wendy","non-dropping-particle":"","parse-names":false,"suffix":""},{"dropping-particle":"","family":"White","given":"Ben","non-dropping-particle":"","parse-names":false,"suffix":""}],"container-title":"The Journal of Peasant Studies","id":"ITEM-1","issue":"1","issued":{"date-parts":[["2018"]]},"note":"doi: 10.1080/03066150.2017.1339693","page":"1-20","publisher":"Routledge","title":"Emancipatory Rural Politics: Confronting Authoritarian Populism","type":"article-journal","volume":"45"},"uris":["http://www.mendeley.com/documents/?uuid=192fe71f-076d-4002-a9b0-b96c7731cad5"]}],"mendeley":{"formattedCitation":"[18]","plainTextFormattedCitation":"[18]","previouslyFormattedCitation":"[18]"},"properties":{"noteIndex":0},"schema":"https://github.com/citation-style-language/schema/raw/master/csl-citation.json"}</w:instrText>
      </w:r>
      <w:r w:rsidR="00075E5F">
        <w:fldChar w:fldCharType="separate"/>
      </w:r>
      <w:r w:rsidR="00075E5F" w:rsidRPr="00075E5F">
        <w:rPr>
          <w:noProof/>
        </w:rPr>
        <w:t>[18]</w:t>
      </w:r>
      <w:r w:rsidR="00075E5F">
        <w:fldChar w:fldCharType="end"/>
      </w:r>
      <w:r w:rsidRPr="0017388F">
        <w:t>.</w:t>
      </w:r>
    </w:p>
    <w:p w:rsidR="008A55B5" w:rsidRPr="001D7D8E" w:rsidRDefault="00C62CE8" w:rsidP="00CB1404">
      <w:pPr>
        <w:pStyle w:val="Judul1"/>
      </w:pPr>
      <w:r w:rsidRPr="001D7D8E">
        <w:t>Result And Discussion</w:t>
      </w:r>
    </w:p>
    <w:p w:rsidR="00E63A07" w:rsidRDefault="00E63A07" w:rsidP="00E63A07">
      <w:pPr>
        <w:pStyle w:val="Judul2"/>
      </w:pPr>
      <w:r w:rsidRPr="00E63A07">
        <w:t>Four Agrarian Issues and Their Impact on Indonesian Democracy</w:t>
      </w:r>
    </w:p>
    <w:p w:rsidR="00E63A07" w:rsidRDefault="00E63A07" w:rsidP="00753F7B">
      <w:pPr>
        <w:pStyle w:val="TeksIsi"/>
      </w:pPr>
      <w:r w:rsidRPr="00E63A07">
        <w:t xml:space="preserve">Based on the analytical lens described previously, this section will describe how </w:t>
      </w:r>
      <w:r w:rsidR="008153FD">
        <w:t>Indonesia's</w:t>
      </w:r>
      <w:r w:rsidRPr="00E63A07">
        <w:t xml:space="preserve"> four main agrarian problems contribute to the decline in the quality of democracy and bring Indonesian democracy to a more illiberal direction based on various sources and illustrative empirical examples. Here, the four agrarian problems certainly do not appear suddenly</w:t>
      </w:r>
      <w:r w:rsidR="008153FD">
        <w:t>. These</w:t>
      </w:r>
      <w:r w:rsidRPr="00E63A07">
        <w:t xml:space="preserve"> problems are symptoms or symptoms of a broader structural problem, namely the inequality of control of rural resources in the form of an oligarchy that operates in a capitalistic political economy</w:t>
      </w:r>
      <w:r w:rsidR="008153FD">
        <w:t xml:space="preserve"> and</w:t>
      </w:r>
      <w:r w:rsidRPr="00E63A07">
        <w:t xml:space="preserve"> its various political implications</w:t>
      </w:r>
      <w:r w:rsidR="00075E5F">
        <w:t xml:space="preserve"> </w:t>
      </w:r>
      <w:r w:rsidR="00075E5F">
        <w:fldChar w:fldCharType="begin" w:fldLock="1"/>
      </w:r>
      <w:r w:rsidR="00302A32">
        <w:instrText>ADDIN CSL_CITATION {"citationItems":[{"id":"ITEM-1","itemData":{"author":[{"dropping-particle":"","family":"Robison","given":"Richard","non-dropping-particle":"","parse-names":false,"suffix":""},{"dropping-particle":"","family":"Hadiz","given":"Vedi R.","non-dropping-particle":"","parse-names":false,"suffix":""}],"id":"ITEM-1","issued":{"date-parts":[["2004"]]},"publisher":"RoutledgeCurzon","publisher-place":"London","title":"Reorganising Power in Indonesia: The Politics of Oligarchy in an Age of Markets","type":"book"},"uris":["http://www.mendeley.com/documents/?uuid=5a10aea0-16a1-4a38-b51c-bc846ff1bc03"]},{"id":"ITEM-2","itemData":{"DOI":"10.1353/ind.2013.0017","ISSN":"0019-7289","abstract":"Of all political power resources in Indonesia, material power is by far the most concentrated, versatile, durable, and least constrained. The gap in material power across the population is among the largest in the world. Data from 2010 show that the average net worth of Indonesia’s forty richest oligarchs is over 630,000 times the country’s GDP per capita (in Thailand and South Korea the gap is 190,000 and 69,000 times, respectively). Although these oligarchs constitute less than 2/1,000,000ths of the population, their combined assets equal 10 percent of GDP.1 Even if we widen the lens to include the 43,000 Indonesians with liquid financial assets of at least US$1 million, the result is still an extraordinary concentration of material power resources in very few hands.2 Although these individuals represent barely 2/10,000ths of the population, on average they have at their disposal financial assets that are 1,220 times the annual income of the median Indonesian. Their","author":[{"dropping-particle":"","family":"Winters","given":"Jeffrey A.","non-dropping-particle":"","parse-names":false,"suffix":""}],"container-title":"Indonesia","id":"ITEM-2","issue":"1","issued":{"date-parts":[["2013"]]},"page":"11-33","title":"Oligarchy and Democracy in Indonesia","type":"article-journal","volume":"96"},"uris":["http://www.mendeley.com/documents/?uuid=6c541547-e095-4cde-978d-f9356114e5ad"]}],"mendeley":{"formattedCitation":"[19], [20]","plainTextFormattedCitation":"[19], [20]","previouslyFormattedCitation":"[19], [20]"},"properties":{"noteIndex":0},"schema":"https://github.com/citation-style-language/schema/raw/master/csl-citation.json"}</w:instrText>
      </w:r>
      <w:r w:rsidR="00075E5F">
        <w:fldChar w:fldCharType="separate"/>
      </w:r>
      <w:r w:rsidR="00075E5F" w:rsidRPr="00075E5F">
        <w:rPr>
          <w:noProof/>
        </w:rPr>
        <w:t>[19], [20]</w:t>
      </w:r>
      <w:r w:rsidR="00075E5F">
        <w:fldChar w:fldCharType="end"/>
      </w:r>
      <w:r w:rsidRPr="00E63A07">
        <w:t>.</w:t>
      </w:r>
    </w:p>
    <w:p w:rsidR="00E63A07" w:rsidRDefault="008153FD" w:rsidP="00753F7B">
      <w:pPr>
        <w:pStyle w:val="TeksIsi"/>
      </w:pPr>
      <w:r>
        <w:t>The oligarchy significantly influences Indonesian politics</w:t>
      </w:r>
      <w:r w:rsidR="00E63A07" w:rsidRPr="00E63A07">
        <w:t xml:space="preserve">. What needs to be further questioned is what kind of social formation forms and maintains oligarchy, especially in rural areas, and </w:t>
      </w:r>
      <w:r>
        <w:t>the impacts</w:t>
      </w:r>
      <w:r w:rsidR="00E63A07" w:rsidRPr="00E63A07">
        <w:t xml:space="preserve"> of oligarchy on Indonesian democracy. To answer this question, we need to look at the behavior of two political forces, namely state actors (the bureaucracy and the political elite) and the capitalist class, which operate via corporations, and their impact on political dynamics in rural areas.</w:t>
      </w:r>
    </w:p>
    <w:p w:rsidR="00E63A07" w:rsidRDefault="00E63A07" w:rsidP="00753F7B">
      <w:pPr>
        <w:pStyle w:val="TeksIsi"/>
      </w:pPr>
      <w:r w:rsidRPr="00E63A07">
        <w:lastRenderedPageBreak/>
        <w:t>Both state actors and the capitalist class operate within the historical context of the development of capitalism in Indonesia, marked by various deepening capitalist social relations</w:t>
      </w:r>
      <w:r w:rsidR="008153FD">
        <w:t xml:space="preserve"> processes</w:t>
      </w:r>
      <w:r w:rsidRPr="00E63A07">
        <w:t xml:space="preserve">. Rural areas and farm households are one of the </w:t>
      </w:r>
      <w:r w:rsidR="008153FD">
        <w:t>primary</w:t>
      </w:r>
      <w:r w:rsidRPr="00E63A07">
        <w:t xml:space="preserve"> loci of the deepening process</w:t>
      </w:r>
      <w:r>
        <w:t xml:space="preserve"> </w:t>
      </w:r>
      <w:r w:rsidR="00302A32">
        <w:fldChar w:fldCharType="begin" w:fldLock="1"/>
      </w:r>
      <w:r w:rsidR="002A3CA0">
        <w:instrText>ADDIN CSL_CITATION {"citationItems":[{"id":"ITEM-1","itemData":{"DOI":"10.1017/S0022463400000552","ISSN":"14740680","author":[{"dropping-particle":"","family":"Knight","given":"G. R.","non-dropping-particle":"","parse-names":false,"suffix":""}],"container-title":"Journal of Southeast Asian Studies","id":"ITEM-1","issue":"2","issued":{"date-parts":[["1988"]]},"page":"245-265","title":"Peasant Labour and Capitalist Production in Late Colonial Indonesia: The ‘Campaign’ at a North Java Sugar Factory, 1840–70","type":"article-journal","volume":"19"},"uris":["http://www.mendeley.com/documents/?uuid=5d9ef7e8-cd03-4c38-afab-ad43e3bf5b4a"]},{"id":"ITEM-2","itemData":{"DOI":"10.1163/22134379-90003794","ISSN":"0006-2294","abstract":"[...]braakhuur is important for the light it throws on the nature of sugar capital - a category which, like the colonial state itself, needs a more nuanced treatment than that frequently accorded it. [...]at the beginning of the 1920s, a regime was beginning to consolidate in Batavia that was increasingly out of sympathy with the Ethical Trend and inclined towards a corporate view of the colonial state, one in which the interests of government and capital were essentially convergent. [...]the inducement would have to be a higher rent rate, which would compensate them adequately for any erop loss incurred. Since the price of rice, which determined the height of the cultivators' opportunity cost, was increasing, Obertop expected that braakhuur would soon become too expensive for be profitable to the factories. [...]although the braakhuur commission recommended that this form of rental should indeed be prohibited, it did so on grounds of social conservatism rather than of sympathy for the damage to peasant economie interests. lts recommendations were modified in the industry's interests: the phasing out of braakhuur was to take place over a period of nearly twenty years, and the implementation of these recommendations was placed in the hands of a new generation of colonial officials notably more sympathetic to the industry's interests than their predecessors.","author":[{"dropping-particle":"","family":"Knight","given":"G. Roger","non-dropping-particle":"","parse-names":false,"suffix":""},{"dropping-particle":"","family":"Schaik","given":"Arthur","non-dropping-particle":"","parse-names":false,"suffix":""}],"container-title":"Bijdragen tot de Taal-, Land- en Volkenkunde / Journal of the Humanities and Social Sciences of Southeast Asia","id":"ITEM-2","issue":"4","issued":{"date-parts":[["2013"]]},"page":"831-859","title":"State and Capital in Late Colonial Indonesia The Sugar Industry, Braakhuur, and the Colonial Bureaucracy in North Central Java This","type":"article-journal","volume":"157"},"uris":["http://www.mendeley.com/documents/?uuid=45a6850b-bc24-4617-a8ba-bd86b56a1442"]}],"mendeley":{"formattedCitation":"[21], [22]","plainTextFormattedCitation":"[21], [22]","previouslyFormattedCitation":"[21], [22]"},"properties":{"noteIndex":0},"schema":"https://github.com/citation-style-language/schema/raw/master/csl-citation.json"}</w:instrText>
      </w:r>
      <w:r w:rsidR="00302A32">
        <w:fldChar w:fldCharType="separate"/>
      </w:r>
      <w:r w:rsidR="00302A32" w:rsidRPr="00302A32">
        <w:rPr>
          <w:noProof/>
        </w:rPr>
        <w:t>[21], [22]</w:t>
      </w:r>
      <w:r w:rsidR="00302A32">
        <w:fldChar w:fldCharType="end"/>
      </w:r>
      <w:r w:rsidRPr="00E63A07">
        <w:t xml:space="preserve">. The state is also involved </w:t>
      </w:r>
      <w:r w:rsidR="008153FD">
        <w:t>as a regulator, and</w:t>
      </w:r>
      <w:r w:rsidRPr="00E63A07">
        <w:t xml:space="preserve"> an actor in ensuring the expansion of capitalism in rural areas runs smoothly and massively. This phenomenon was very clearly seen during the New Order era</w:t>
      </w:r>
      <w:r w:rsidR="008153FD">
        <w:t>, evidenced</w:t>
      </w:r>
      <w:r w:rsidRPr="00E63A07">
        <w:t xml:space="preserve"> by the issuance of a series of laws and policies that facilitated large-scale capital investment by State-Owned Enterprises (BUMN) and private companies in people's agricultural lands</w:t>
      </w:r>
      <w:r>
        <w:t xml:space="preserve"> </w:t>
      </w:r>
      <w:r w:rsidR="002A3CA0">
        <w:fldChar w:fldCharType="begin" w:fldLock="1"/>
      </w:r>
      <w:r w:rsidR="006424C8">
        <w:instrText>ADDIN CSL_CITATION {"citationItems":[{"id":"ITEM-1","itemData":{"author":[{"dropping-particle":"","family":"Robison","given":"Richard","non-dropping-particle":"","parse-names":false,"suffix":""}],"id":"ITEM-1","issued":{"date-parts":[["1986"]]},"publisher":"Allen &amp; Unwin","publisher-place":"Sydney","title":"Indonesia: The Rise of Capital","type":"book"},"uris":["http://www.mendeley.com/documents/?uuid=65363227-e1ff-496d-903b-17d522de046a"]}],"mendeley":{"formattedCitation":"[23]","plainTextFormattedCitation":"[23]","previouslyFormattedCitation":"[23]"},"properties":{"noteIndex":0},"schema":"https://github.com/citation-style-language/schema/raw/master/csl-citation.json"}</w:instrText>
      </w:r>
      <w:r w:rsidR="002A3CA0">
        <w:fldChar w:fldCharType="separate"/>
      </w:r>
      <w:r w:rsidR="002A3CA0" w:rsidRPr="002A3CA0">
        <w:rPr>
          <w:noProof/>
        </w:rPr>
        <w:t>[23]</w:t>
      </w:r>
      <w:r w:rsidR="002A3CA0">
        <w:fldChar w:fldCharType="end"/>
      </w:r>
      <w:r w:rsidRPr="00E63A07">
        <w:t>.</w:t>
      </w:r>
      <w:r w:rsidR="002A3CA0">
        <w:t xml:space="preserve"> </w:t>
      </w:r>
      <w:r w:rsidR="00C85E6F">
        <w:t>Several</w:t>
      </w:r>
      <w:r w:rsidR="002A3CA0" w:rsidRPr="002A3CA0">
        <w:t xml:space="preserve"> laws and regulations born during the New Order era facilitated large-scale capital investment in rural areas related to foreign and domestic investment, investment in forest resources, and the use of Cultivation Rights (HGU) as operating permits for corporations in rural areas.</w:t>
      </w:r>
    </w:p>
    <w:p w:rsidR="00E63A07" w:rsidRDefault="00E63A07" w:rsidP="00753F7B">
      <w:pPr>
        <w:pStyle w:val="TeksIsi"/>
      </w:pPr>
      <w:r w:rsidRPr="00E63A07">
        <w:t>The Reformation Era provided openness and political change that allowed mobilization and articulation of peasant demands, but at the same time</w:t>
      </w:r>
      <w:r w:rsidR="008153FD">
        <w:t>,</w:t>
      </w:r>
      <w:r w:rsidRPr="00E63A07">
        <w:t xml:space="preserve"> there was a deepening of capital expansion and market relations in rural areas</w:t>
      </w:r>
      <w:r w:rsidR="006424C8">
        <w:t xml:space="preserve"> </w:t>
      </w:r>
      <w:r w:rsidR="006424C8">
        <w:fldChar w:fldCharType="begin" w:fldLock="1"/>
      </w:r>
      <w:r w:rsidR="00E44CF3">
        <w:instrText>ADDIN CSL_CITATION {"citationItems":[{"id":"ITEM-1","itemData":{"DOI":"10.1111/j.1467-8373.2005.00269.x","ISSN":"13607456","abstract":"This paper uses historical sources to examine the relationship between demography, economy and ecology in three parts of the island of Sulawesi (Indonesia) over a long time period. Broadly speaking, these case studies suggest both the density of population and the intensity of agricultural activity at any given time and place were controlled by two factors. The first was the agricultural potential of the natural environment in terms of soil, climate and topography: populations were denser, and farming more area-intensive, in naturally fertile areas. The second was the extent to which the local economy was commercialised rather than subsistence-oriented: when commerce grew, so did both the population and the intensity of its farming systems. In terms of ecological sustainability and resilience, densely populated enclaves of intensive, commercialised agriculture tended to perform better than did sparsely populated and economically isolated areas of subsistence production, where progressive deforestation and land degradation sometimes occurred. Although one reason for this was simply that the former were located on better soils than the latter, other reasons included the greater use of tree crops, and the greater availability of labour for investment in what Brookfield called 'landesque capital', which characterised the more populous and commercialised areas. © Victoria University of Wellington, 2005.","author":[{"dropping-particle":"","family":"Henley","given":"David","non-dropping-particle":"","parse-names":false,"suffix":""}],"container-title":"Asia Pacific Viewpoint","id":"ITEM-1","issue":"2","issued":{"date-parts":[["2005"]]},"number-of-pages":"153-172","title":"Agrarian Change and Diversity in the Light of Brookfield, Boserup and Malthus: Historical Illustrations from Sulawesi, Indonesia","type":"thesis","volume":"46"},"uris":["http://www.mendeley.com/documents/?uuid=a57a8e58-6b0f-4d86-a1d2-ec23f7fa5df6"]}],"mendeley":{"formattedCitation":"[1]","plainTextFormattedCitation":"[1]","previouslyFormattedCitation":"[1]"},"properties":{"noteIndex":0},"schema":"https://github.com/citation-style-language/schema/raw/master/csl-citation.json"}</w:instrText>
      </w:r>
      <w:r w:rsidR="006424C8">
        <w:fldChar w:fldCharType="separate"/>
      </w:r>
      <w:r w:rsidR="006424C8" w:rsidRPr="006424C8">
        <w:rPr>
          <w:noProof/>
        </w:rPr>
        <w:t>[1]</w:t>
      </w:r>
      <w:r w:rsidR="006424C8">
        <w:fldChar w:fldCharType="end"/>
      </w:r>
      <w:r w:rsidRPr="00E63A07">
        <w:t>. Just look at the structure of land tenure and village resources in the last two decades since the Reformation</w:t>
      </w:r>
      <w:r w:rsidR="008153FD">
        <w:t>.</w:t>
      </w:r>
      <w:r w:rsidRPr="00E63A07">
        <w:t xml:space="preserve"> In 2000, 25 large-scale companies, some of the cronies of former president Suharto, still controlled more than 223 Forest Concession Rights (HPH)</w:t>
      </w:r>
      <w:r w:rsidR="00B63AD5">
        <w:t>,</w:t>
      </w:r>
      <w:r w:rsidRPr="00E63A07">
        <w:t xml:space="preserve"> covering 27 million hectares of forest land </w:t>
      </w:r>
      <w:r w:rsidR="00E44CF3">
        <w:fldChar w:fldCharType="begin" w:fldLock="1"/>
      </w:r>
      <w:r w:rsidR="00E44CF3">
        <w:instrText>ADDIN CSL_CITATION {"citationItems":[{"id":"ITEM-1","itemData":{"author":[{"dropping-particle":"","family":"Arifin","given":"Bustanul","non-dropping-particle":"","parse-names":false,"suffix":""},{"dropping-particle":"","family":"Rachbini","given":"Didik J","non-dropping-particle":"","parse-names":false,"suffix":""}],"id":"ITEM-1","issued":{"date-parts":[["2001"]]},"publisher":"PT Raja Grafindo","publisher-place":"Jakarta","title":"Ekonomi-Politik dan Kebijakan Publik","type":"book"},"uris":["http://www.mendeley.com/documents/?uuid=293506d6-d18b-43ec-8dd8-c579243d92e1"]}],"mendeley":{"formattedCitation":"[24]","plainTextFormattedCitation":"[24]","previouslyFormattedCitation":"[24]"},"properties":{"noteIndex":0},"schema":"https://github.com/citation-style-language/schema/raw/master/csl-citation.json"}</w:instrText>
      </w:r>
      <w:r w:rsidR="00E44CF3">
        <w:fldChar w:fldCharType="separate"/>
      </w:r>
      <w:r w:rsidR="00E44CF3" w:rsidRPr="00E44CF3">
        <w:rPr>
          <w:noProof/>
        </w:rPr>
        <w:t>[24]</w:t>
      </w:r>
      <w:r w:rsidR="00E44CF3">
        <w:fldChar w:fldCharType="end"/>
      </w:r>
      <w:r w:rsidRPr="00E63A07">
        <w:t xml:space="preserve">. Then, between 2010-2014, although the amount of agricultural land tended to be the same (between 36-38 million hectares), ownership and control of the land </w:t>
      </w:r>
      <w:r w:rsidR="00B63AD5">
        <w:t>are</w:t>
      </w:r>
      <w:r w:rsidRPr="00E63A07">
        <w:t xml:space="preserve"> still dominated by state-owned enterprises and large-scale private companies</w:t>
      </w:r>
      <w:r w:rsidR="00E44CF3">
        <w:t xml:space="preserve"> </w:t>
      </w:r>
      <w:r w:rsidR="00E44CF3">
        <w:fldChar w:fldCharType="begin" w:fldLock="1"/>
      </w:r>
      <w:r w:rsidR="00E44CF3">
        <w:instrText>ADDIN CSL_CITATION {"citationItems":[{"id":"ITEM-1","itemData":{"author":[{"dropping-particle":"","family":"Pusat Data dan Sistem Informasi Pertanian","given":"","non-dropping-particle":"","parse-names":false,"suffix":""}],"id":"ITEM-1","issued":{"date-parts":[["2015"]]},"publisher":"Kementerian Pertanian","publisher-place":"Jakarta","title":"Statistik Lahan Pertanian Tahun 2010-2014","type":"book"},"uris":["http://www.mendeley.com/documents/?uuid=0776d4ad-0b53-4132-a5a7-8c94b26cd752"]}],"mendeley":{"formattedCitation":"[25]","plainTextFormattedCitation":"[25]","previouslyFormattedCitation":"[25]"},"properties":{"noteIndex":0},"schema":"https://github.com/citation-style-language/schema/raw/master/csl-citation.json"}</w:instrText>
      </w:r>
      <w:r w:rsidR="00E44CF3">
        <w:fldChar w:fldCharType="separate"/>
      </w:r>
      <w:r w:rsidR="00E44CF3" w:rsidRPr="00E44CF3">
        <w:rPr>
          <w:noProof/>
        </w:rPr>
        <w:t>[25]</w:t>
      </w:r>
      <w:r w:rsidR="00E44CF3">
        <w:fldChar w:fldCharType="end"/>
      </w:r>
      <w:r w:rsidRPr="00E63A07">
        <w:t xml:space="preserve">. In more or less the same period, namely between 2000-2012, investors managed to acquire 9.5 million hectares of land in Indonesia—one of the </w:t>
      </w:r>
      <w:r w:rsidR="00C85E6F">
        <w:t>most extensive</w:t>
      </w:r>
      <w:r w:rsidRPr="00E63A07">
        <w:t xml:space="preserve"> global </w:t>
      </w:r>
      <w:r w:rsidR="00C85E6F">
        <w:t>records</w:t>
      </w:r>
      <w:r w:rsidR="00E44CF3">
        <w:t xml:space="preserve"> </w:t>
      </w:r>
      <w:r w:rsidR="00E44CF3">
        <w:fldChar w:fldCharType="begin" w:fldLock="1"/>
      </w:r>
      <w:r w:rsidR="00D057D5">
        <w:instrText>ADDIN CSL_CITATION {"citationItems":[{"id":"ITEM-1","itemData":{"URL":"https://www.insideindonesia.org/an-agrarian-reform-agenda-for-jokowi","accessed":{"date-parts":[["2021","12","20"]]},"author":[{"dropping-particle":"","family":"Kurniawan","given":"Nanang Indra","non-dropping-particle":"","parse-names":false,"suffix":""}],"container-title":"Inside Indonesia","id":"ITEM-1","issued":{"date-parts":[["2014"]]},"title":"An agrarian reform agenda for Jokowi","type":"webpage"},"uris":["http://www.mendeley.com/documents/?uuid=51c54273-f418-492a-a7de-efcc1cce3f88"]}],"mendeley":{"formattedCitation":"[26]","plainTextFormattedCitation":"[26]","previouslyFormattedCitation":"[26]"},"properties":{"noteIndex":0},"schema":"https://github.com/citation-style-language/schema/raw/master/csl-citation.json"}</w:instrText>
      </w:r>
      <w:r w:rsidR="00E44CF3">
        <w:fldChar w:fldCharType="separate"/>
      </w:r>
      <w:r w:rsidR="00E44CF3" w:rsidRPr="00E44CF3">
        <w:rPr>
          <w:noProof/>
        </w:rPr>
        <w:t>[26]</w:t>
      </w:r>
      <w:r w:rsidR="00E44CF3">
        <w:fldChar w:fldCharType="end"/>
      </w:r>
      <w:r w:rsidRPr="00E63A07">
        <w:t>.</w:t>
      </w:r>
    </w:p>
    <w:p w:rsidR="00E63A07" w:rsidRDefault="00E63A07" w:rsidP="00753F7B">
      <w:pPr>
        <w:pStyle w:val="TeksIsi"/>
      </w:pPr>
      <w:r w:rsidRPr="00E63A07">
        <w:t xml:space="preserve">The number of large plantation companies operating in Indonesia is quite fantastic. Data from the Central Bureau of Statistics </w:t>
      </w:r>
      <w:r w:rsidR="00B63AD5">
        <w:t>show</w:t>
      </w:r>
      <w:r w:rsidRPr="00E63A07">
        <w:t xml:space="preserve"> that as of </w:t>
      </w:r>
      <w:r w:rsidR="00D057D5" w:rsidRPr="00D057D5">
        <w:t>2016</w:t>
      </w:r>
      <w:r w:rsidR="00B63AD5">
        <w:t>,</w:t>
      </w:r>
      <w:r w:rsidRPr="00E63A07">
        <w:t xml:space="preserve"> there were </w:t>
      </w:r>
      <w:r w:rsidR="00D057D5" w:rsidRPr="00D057D5">
        <w:t>1.592</w:t>
      </w:r>
      <w:r w:rsidRPr="00E63A07">
        <w:t xml:space="preserve"> plantation companies in Indonesia</w:t>
      </w:r>
      <w:r w:rsidR="00B63AD5">
        <w:t>,</w:t>
      </w:r>
      <w:r w:rsidRPr="00E63A07">
        <w:t xml:space="preserve"> and half of them were oil palm plantation companies</w:t>
      </w:r>
      <w:r w:rsidR="00D057D5">
        <w:t xml:space="preserve"> </w:t>
      </w:r>
      <w:r w:rsidR="00D057D5">
        <w:fldChar w:fldCharType="begin" w:fldLock="1"/>
      </w:r>
      <w:r w:rsidR="006B39AC">
        <w:instrText>ADDIN CSL_CITATION {"citationItems":[{"id":"ITEM-1","itemData":{"URL":"https://databoks.katadata.co.id/datapublish/2017/12/12/berapa-jumlah-perusahaan-perkebunan-besar-kelapa-sawit","accessed":{"date-parts":[["2021","12","20"]]},"author":[{"dropping-particle":"","family":"Badan Pusat Statistik","given":"","non-dropping-particle":"","parse-names":false,"suffix":""}],"container-title":"Kata Data","id":"ITEM-1","issued":{"date-parts":[["2017"]]},"title":"Berapa Jumlah Perusahaan Perkebunan Besar Kelapa Sawit?","type":"webpage"},"uris":["http://www.mendeley.com/documents/?uuid=c468f2eb-a2cb-44bf-86a8-3bad849d2cf4"]}],"mendeley":{"formattedCitation":"[27]","plainTextFormattedCitation":"[27]","previouslyFormattedCitation":"[27]"},"properties":{"noteIndex":0},"schema":"https://github.com/citation-style-language/schema/raw/master/csl-citation.json"}</w:instrText>
      </w:r>
      <w:r w:rsidR="00D057D5">
        <w:fldChar w:fldCharType="separate"/>
      </w:r>
      <w:r w:rsidR="00D057D5" w:rsidRPr="00D057D5">
        <w:rPr>
          <w:noProof/>
        </w:rPr>
        <w:t>[27]</w:t>
      </w:r>
      <w:r w:rsidR="00D057D5">
        <w:fldChar w:fldCharType="end"/>
      </w:r>
      <w:r w:rsidRPr="00E63A07">
        <w:t>. In several sectors, such as the large-scale food and biofuel industry, seed</w:t>
      </w:r>
      <w:r w:rsidR="00B63AD5">
        <w:t>,</w:t>
      </w:r>
      <w:r w:rsidRPr="00E63A07">
        <w:t xml:space="preserve"> and sugar, corporate actors also continue to play a role</w:t>
      </w:r>
      <w:r w:rsidR="006840E0">
        <w:t xml:space="preserve"> </w:t>
      </w:r>
      <w:r w:rsidR="006840E0">
        <w:fldChar w:fldCharType="begin" w:fldLock="1"/>
      </w:r>
      <w:r w:rsidR="006840E0">
        <w:instrText>ADDIN CSL_CITATION {"citationItems":[{"id":"ITEM-1","itemData":{"DOI":"10.1080/03066150.2013.873029","ISSN":"03066150","abstract":"The Merauke Integrated Food and Energy Estate (MIFEE) in Papua, Indonesia, is a state-led mega-project to transform local agriculture through large-scale corporate investment in food crops and biofuels for foreign markets. The project has led to extensive land dispossession, accompanied by devastating social and ecological impacts. This contribution analyzes how discourse regarding food and energy crises has been employed to release land from customary tenure to a coalition of state, corporate and local elite actors. The interests of these actors have converged on the state-led mega-project to transform local agriculture through large-scale corporate investment in food crops and biofuels in the name of national food security. © 2014 Taylor &amp; Francis.","author":[{"dropping-particle":"","family":"Ito","given":"Takeshi","non-dropping-particle":"","parse-names":false,"suffix":""},{"dropping-particle":"","family":"Rachman","given":"Noer Fauzi","non-dropping-particle":"","parse-names":false,"suffix":""},{"dropping-particle":"","family":"Savitri","given":"Laksmi A.","non-dropping-particle":"","parse-names":false,"suffix":""}],"container-title":"Journal of Peasant Studies","id":"ITEM-1","issue":"1","issued":{"date-parts":[["2014"]]},"page":"29-50","title":"Power to Make Land Dispossession Acceptable: A Policy Discourse Analysis of the Merauke Integrated Food and Energy Estate (MIFEE), Papua, Indonesia","type":"article-journal","volume":"41"},"uris":["http://www.mendeley.com/documents/?uuid=adfa116e-026f-44e7-a592-317a0938be8f"]}],"mendeley":{"formattedCitation":"[28]","plainTextFormattedCitation":"[28]","previouslyFormattedCitation":"[28]"},"properties":{"noteIndex":0},"schema":"https://github.com/citation-style-language/schema/raw/master/csl-citation.json"}</w:instrText>
      </w:r>
      <w:r w:rsidR="006840E0">
        <w:fldChar w:fldCharType="separate"/>
      </w:r>
      <w:r w:rsidR="006840E0" w:rsidRPr="006840E0">
        <w:rPr>
          <w:noProof/>
        </w:rPr>
        <w:t>[28]</w:t>
      </w:r>
      <w:r w:rsidR="006840E0">
        <w:fldChar w:fldCharType="end"/>
      </w:r>
      <w:r w:rsidRPr="00E63A07">
        <w:t xml:space="preserve">. The state continues to be the </w:t>
      </w:r>
      <w:r w:rsidR="008153FD">
        <w:t>leading</w:t>
      </w:r>
      <w:r w:rsidRPr="00E63A07">
        <w:t xml:space="preserve"> proponent of corporate expansion, as evidenced by government subsidies to corporate actors</w:t>
      </w:r>
      <w:r w:rsidR="006840E0">
        <w:t xml:space="preserve"> </w:t>
      </w:r>
      <w:r w:rsidR="006840E0">
        <w:fldChar w:fldCharType="begin" w:fldLock="1"/>
      </w:r>
      <w:r w:rsidR="006840E0">
        <w:instrText>ADDIN CSL_CITATION {"citationItems":[{"id":"ITEM-1","itemData":{"URL":"https://www.cnnindonesia.com/ekonomi/20180116202504-92-269411/lima-konglomerat-sawit-disuntik-subsidi-mega-rp75-triliun","accessed":{"date-parts":[["2021","12","18"]]},"author":[{"dropping-particle":"","family":"CNN Indonesia","given":"","non-dropping-particle":"","parse-names":false,"suffix":""}],"container-title":"2018","id":"ITEM-1","issued":{"date-parts":[["0"]]},"title":"Lima Konglomerat Sawit 'Disuntik' Subsidi Mega Rp7,5 Triliun","type":"webpage"},"uris":["http://www.mendeley.com/documents/?uuid=f5609803-4ef9-44f4-ac39-c842faa2924e"]}],"mendeley":{"formattedCitation":"[29]","plainTextFormattedCitation":"[29]","previouslyFormattedCitation":"[29]"},"properties":{"noteIndex":0},"schema":"https://github.com/citation-style-language/schema/raw/master/csl-citation.json"}</w:instrText>
      </w:r>
      <w:r w:rsidR="006840E0">
        <w:fldChar w:fldCharType="separate"/>
      </w:r>
      <w:r w:rsidR="006840E0" w:rsidRPr="006840E0">
        <w:rPr>
          <w:noProof/>
        </w:rPr>
        <w:t>[29]</w:t>
      </w:r>
      <w:r w:rsidR="006840E0">
        <w:fldChar w:fldCharType="end"/>
      </w:r>
      <w:r w:rsidRPr="00E63A07">
        <w:t xml:space="preserve">. Such collusive relations between the state and the capitalist class further exacerbate converting agricultural land </w:t>
      </w:r>
      <w:r w:rsidR="008153FD">
        <w:t>to maximize</w:t>
      </w:r>
      <w:r w:rsidRPr="00E63A07">
        <w:t xml:space="preserve"> profit accumulation.</w:t>
      </w:r>
    </w:p>
    <w:p w:rsidR="00E63A07" w:rsidRDefault="00E63A07" w:rsidP="00753F7B">
      <w:pPr>
        <w:pStyle w:val="TeksIsi"/>
      </w:pPr>
      <w:r w:rsidRPr="00E63A07">
        <w:t xml:space="preserve">With such a political configuration, it is not surprising that land grabbing in Indonesia has increased sharply. The Consortium for Agrarian Reform (KPA) noted that in </w:t>
      </w:r>
      <w:r w:rsidR="008153FD">
        <w:t>ten years</w:t>
      </w:r>
      <w:r w:rsidRPr="00E63A07">
        <w:t xml:space="preserve"> (2004-2014)</w:t>
      </w:r>
      <w:r w:rsidR="00B63AD5">
        <w:t>,</w:t>
      </w:r>
      <w:r w:rsidRPr="00E63A07">
        <w:t xml:space="preserve"> there were 1,500 open agrarian conflicts involving one million farming households and covering more than 6.5 million hectares of land</w:t>
      </w:r>
      <w:r w:rsidR="006840E0">
        <w:t xml:space="preserve"> </w:t>
      </w:r>
      <w:r w:rsidR="006840E0">
        <w:fldChar w:fldCharType="begin" w:fldLock="1"/>
      </w:r>
      <w:r w:rsidR="00324E77">
        <w:instrText>ADDIN CSL_CITATION {"citationItems":[{"id":"ITEM-1","itemData":{"author":[{"dropping-particle":"","family":"Konsorsium Pembaruan Agraria","given":"","non-dropping-particle":"","parse-names":false,"suffix":""}],"id":"ITEM-1","issued":{"date-parts":[["2020"]]},"publisher-place":"Jakarta","title":"Catatan Akhir Tahun 2020: Pandemi Covid-19 dan Perampasan Tanah Berskala Besar","type":"report"},"uris":["http://www.mendeley.com/documents/?uuid=49c5b5ad-e1d4-4af9-a028-cbf34a15cb18"]}],"mendeley":{"formattedCitation":"[30]","plainTextFormattedCitation":"[30]","previouslyFormattedCitation":"[30]"},"properties":{"noteIndex":0},"schema":"https://github.com/citation-style-language/schema/raw/master/csl-citation.json"}</w:instrText>
      </w:r>
      <w:r w:rsidR="006840E0">
        <w:fldChar w:fldCharType="separate"/>
      </w:r>
      <w:r w:rsidR="006840E0" w:rsidRPr="006840E0">
        <w:rPr>
          <w:noProof/>
        </w:rPr>
        <w:t>[30]</w:t>
      </w:r>
      <w:r w:rsidR="006840E0">
        <w:fldChar w:fldCharType="end"/>
      </w:r>
      <w:r w:rsidR="006840E0">
        <w:t>.</w:t>
      </w:r>
      <w:r w:rsidRPr="00E63A07">
        <w:t xml:space="preserve"> </w:t>
      </w:r>
      <w:r w:rsidR="00C85E6F">
        <w:t>T</w:t>
      </w:r>
      <w:r w:rsidRPr="00E63A07">
        <w:t xml:space="preserve">his trend </w:t>
      </w:r>
      <w:r w:rsidR="00B63AD5">
        <w:t>has</w:t>
      </w:r>
      <w:r w:rsidRPr="00E63A07">
        <w:t xml:space="preserve"> </w:t>
      </w:r>
      <w:r w:rsidR="00B63AD5">
        <w:t>continued</w:t>
      </w:r>
      <w:r w:rsidRPr="00E63A07">
        <w:t xml:space="preserve"> </w:t>
      </w:r>
      <w:r w:rsidR="00C85E6F">
        <w:t>from</w:t>
      </w:r>
      <w:r w:rsidRPr="00E63A07">
        <w:t xml:space="preserve"> </w:t>
      </w:r>
      <w:r w:rsidR="00B63AD5">
        <w:t xml:space="preserve">the </w:t>
      </w:r>
      <w:r w:rsidRPr="00E63A07">
        <w:t xml:space="preserve">1970s to </w:t>
      </w:r>
      <w:r w:rsidR="00C85E6F">
        <w:t xml:space="preserve">the </w:t>
      </w:r>
      <w:r w:rsidRPr="00E63A07">
        <w:t>1980s</w:t>
      </w:r>
      <w:r w:rsidR="00B63AD5">
        <w:t>. It</w:t>
      </w:r>
      <w:r w:rsidRPr="00E63A07">
        <w:t xml:space="preserve"> is a consequence of the massive issuance of HGU permits. Looking at the trend, we can predict that land grabbing will continue to increase in the future.</w:t>
      </w:r>
    </w:p>
    <w:p w:rsidR="00E63A07" w:rsidRDefault="00E63A07" w:rsidP="00753F7B">
      <w:pPr>
        <w:pStyle w:val="TeksIsi"/>
      </w:pPr>
      <w:r w:rsidRPr="00E63A07">
        <w:t xml:space="preserve">The issue of class differentiation among farmers is also important to discuss. Contrary to popular and romantic assumptions that imagine the peasants as a homogeneous and harmonious entity, the accumulation of land and rural </w:t>
      </w:r>
      <w:r w:rsidRPr="00E63A07">
        <w:t>resources ultimately encourages the process of class differentiation among farmers</w:t>
      </w:r>
      <w:r w:rsidR="00324E77">
        <w:t xml:space="preserve"> </w:t>
      </w:r>
      <w:r w:rsidR="00324E77">
        <w:fldChar w:fldCharType="begin" w:fldLock="1"/>
      </w:r>
      <w:r w:rsidR="00324E77">
        <w:instrText>ADDIN CSL_CITATION {"citationItems":[{"id":"ITEM-1","itemData":{"abstract":"[What is a class? Do peasants constitute a single class? What is the peasant question from the Marxists' revolutionary perspective? These issues are raised in this paper, based on the writings of Marx, Engels and Lenin, above all. The empirical part, mainly on the Russian agrarian scene from the 1890s to 1930, explores if the peasants constituted a cohesive social force free from internal contradictions. There is also a brief discussion on the post-Soviet situation.]","author":[{"dropping-particle":"","family":"Chandra","given":"Nirmal K","non-dropping-particle":"","parse-names":false,"suffix":""}],"container-title":"Economic And Political Weekly","id":"ITEM-1","issue":"20","issued":{"date-parts":[["2002"]]},"page":"1927-1938","title":"The Peasant Question from Marx to Lenin: The Russian Experience","type":"article-journal","volume":"37"},"uris":["http://www.mendeley.com/documents/?uuid=f3f69442-b555-48c8-a92a-b6ad29218fe3"]}],"mendeley":{"formattedCitation":"[31]","plainTextFormattedCitation":"[31]","previouslyFormattedCitation":"[31]"},"properties":{"noteIndex":0},"schema":"https://github.com/citation-style-language/schema/raw/master/csl-citation.json"}</w:instrText>
      </w:r>
      <w:r w:rsidR="00324E77">
        <w:fldChar w:fldCharType="separate"/>
      </w:r>
      <w:r w:rsidR="00324E77" w:rsidRPr="00324E77">
        <w:rPr>
          <w:noProof/>
        </w:rPr>
        <w:t>[31]</w:t>
      </w:r>
      <w:r w:rsidR="00324E77">
        <w:fldChar w:fldCharType="end"/>
      </w:r>
      <w:r w:rsidRPr="00E63A07">
        <w:t>. The trend over the three decades shows that the absolute number of landless farmers and smallholders is increasing, as is the inequality of land tenure structures among farmers.</w:t>
      </w:r>
    </w:p>
    <w:p w:rsidR="00E63A07" w:rsidRDefault="00E63A07" w:rsidP="00753F7B">
      <w:pPr>
        <w:pStyle w:val="TeksIsi"/>
      </w:pPr>
      <w:r w:rsidRPr="00E63A07">
        <w:t xml:space="preserve">Equally important, the issue of political democracy in rural areas has also emerged as a </w:t>
      </w:r>
      <w:r w:rsidR="008153FD">
        <w:t>severe</w:t>
      </w:r>
      <w:r w:rsidRPr="00E63A07">
        <w:t xml:space="preserve"> problem. Although in general</w:t>
      </w:r>
      <w:r w:rsidR="00B63AD5">
        <w:t>,</w:t>
      </w:r>
      <w:r w:rsidRPr="00E63A07">
        <w:t xml:space="preserve"> there are no changes in the rule of law or policies that change the rules of the game of political democracy –for example, in terms of electoral contestation at the local level– significantly, cases of repression and intimidation</w:t>
      </w:r>
      <w:r w:rsidR="00B63AD5">
        <w:t>,</w:t>
      </w:r>
      <w:r w:rsidRPr="00E63A07">
        <w:t xml:space="preserve"> as well as restraints on civil and political rights by </w:t>
      </w:r>
      <w:proofErr w:type="gramStart"/>
      <w:r w:rsidRPr="00E63A07">
        <w:t>actors</w:t>
      </w:r>
      <w:proofErr w:type="gramEnd"/>
      <w:r w:rsidRPr="00E63A07">
        <w:t xml:space="preserve"> state and corporate affairs</w:t>
      </w:r>
      <w:r w:rsidR="00B63AD5">
        <w:t>,</w:t>
      </w:r>
      <w:r w:rsidRPr="00E63A07">
        <w:t xml:space="preserve"> continue to occur, both through the state's coercive apparatus and thuggery. Here, we cannot dwell only on the issue of the legal-formal rules of the game because the impact of political repression and intimidation ultimately has a real negative impact on efforts to mobilize and advocate for agrarian movements at the local level. Indeed, such restraints are episodic and unsystematic. However, these actions have become a trend that worries farmers, activists, and agrarian movement activists in many places</w:t>
      </w:r>
      <w:r w:rsidR="00324E77">
        <w:t xml:space="preserve"> </w:t>
      </w:r>
      <w:r w:rsidR="00324E77">
        <w:fldChar w:fldCharType="begin" w:fldLock="1"/>
      </w:r>
      <w:r w:rsidR="00324E77">
        <w:instrText>ADDIN CSL_CITATION {"citationItems":[{"id":"ITEM-1","itemData":{"DOI":"10.1080/14442213.2019.1670243","ISSN":"17409314","abstract":"Community advocates for land rights justice in post-reformasi Indonesia frame their claims in terms of either indigenous (adat) rights or agrarian justice discourses. This study considers how these framings function, how effectively they support land rights struggles, and how they advance justice claims. The article provides analytical insights by comparing two conflicts involving communities and large-scale forest plantation companies in Sumatra. It finds that, where democratisation has opened up political space, agrarian justice framing provides a more effective basis for mobilising a wider coalition of actors in heterogeneous contexts and can provide political leverage in such conflicts. While recent changes have widened the legal space for indigenous (adat) rights within de jure ‘state forests’, the customary framing needs to fit community claims into the restricted, bureaucratised adat concept found in state laws and, in diverse rural contexts, may provide a limited vehicle for social mobilisation. Irrespective of the framing, unless effective mobilisation and legal reform can provide legal and political empowerment, political, institutional and structural barriers will continue to generate truncated agreements in conflict negotiations that potentially cement the exclusion and marginalisation of local communities from land access and control.","author":[{"dropping-particle":"","family":"Dhiaulhaq","given":"Ahmad","non-dropping-particle":"","parse-names":false,"suffix":""},{"dropping-particle":"","family":"McCarthy","given":"John F.","non-dropping-particle":"","parse-names":false,"suffix":""}],"container-title":"Asia Pacific Journal of Anthropology","id":"ITEM-1","issue":"1","issued":{"date-parts":[["2020"]]},"page":"34-54","publisher":"Taylor &amp; Francis","title":"Indigenous Rights and Agrarian Justice Framings in Forest Land Conflicts in Indonesia","type":"article-journal","volume":"21"},"uris":["http://www.mendeley.com/documents/?uuid=0d7d9aed-30ca-4435-8d41-edc341fc3a18"]}],"mendeley":{"formattedCitation":"[32]","plainTextFormattedCitation":"[32]","previouslyFormattedCitation":"[32]"},"properties":{"noteIndex":0},"schema":"https://github.com/citation-style-language/schema/raw/master/csl-citation.json"}</w:instrText>
      </w:r>
      <w:r w:rsidR="00324E77">
        <w:fldChar w:fldCharType="separate"/>
      </w:r>
      <w:r w:rsidR="00324E77" w:rsidRPr="00324E77">
        <w:rPr>
          <w:noProof/>
        </w:rPr>
        <w:t>[32]</w:t>
      </w:r>
      <w:r w:rsidR="00324E77">
        <w:fldChar w:fldCharType="end"/>
      </w:r>
      <w:r w:rsidRPr="00E63A07">
        <w:t>. Not to mention the issue of campaigning in various high-cost regional elections (</w:t>
      </w:r>
      <w:proofErr w:type="spellStart"/>
      <w:r w:rsidRPr="00E63A07">
        <w:t>pilkada</w:t>
      </w:r>
      <w:proofErr w:type="spellEnd"/>
      <w:r w:rsidRPr="00E63A07">
        <w:t>)</w:t>
      </w:r>
      <w:r w:rsidR="00B63AD5">
        <w:t>, t</w:t>
      </w:r>
      <w:r w:rsidRPr="00E63A07">
        <w:t xml:space="preserve">his condition opens up </w:t>
      </w:r>
      <w:r w:rsidR="008153FD">
        <w:t>collaborations</w:t>
      </w:r>
      <w:r w:rsidRPr="00E63A07">
        <w:t xml:space="preserve"> between extractive industries, such as coal mining, which requires business licenses and regional head candidates who need donors for their campaigns and reduces the chances of candidates from social movements to win elections</w:t>
      </w:r>
      <w:r w:rsidR="00324E77">
        <w:t xml:space="preserve"> </w:t>
      </w:r>
      <w:r w:rsidR="00324E77">
        <w:fldChar w:fldCharType="begin" w:fldLock="1"/>
      </w:r>
      <w:r w:rsidR="00C04E32">
        <w:instrText>ADDIN CSL_CITATION {"citationItems":[{"id":"ITEM-1","itemData":{"DOI":"10.1016/j.forpol.2020.102291","ISSN":"13899341","abstract":"Palm oil is very important exported commodity in Indonesia, which currently generates more than USD18 billion to the national earnings. Oil palm (Elaeis guineensis, Jacq.) is the most efficient crop in terms of productivity in producing oil compared with other crops, such as soybean, rapeseed and sunflower. Indonesia is a major palm oil producer in the world, where the oil palm plantation covers more than 14 million hectare of lands. The Government of Indonesia (GoI) has set a target to increase its palm oil production from 25 million tons in 2010 to 50 million tons by 2020. While the total palm oil production in 2019 is about 40 million tons, then it needs 10 million tons more palm oil production to achieve the target in 2020. Consequently, further forestland conversion maybe required to establish new oil palm plantations. This study proposes a scenario to swap forest lands with non-forests or low carbon lands in Central Kalimantan. The scenario will be successfully implemented through the presence of incentives to participate, appropriate policies, and facilitative government. Agrarian reform is a facilitative top down policy of landuse and land distribution has to be implemented by local government. This study concludes that integration of landswap proposal into agrarian reform, so called adjusted landuse scenario is relevant to the evidence-based policy that will provide local government with a strong institutional basis, simplifying process, and significant cost efficiency to perform land swap procedures. This policy has a great potential to reconcile growth of the oil palm plantation and reducing deforestation.","author":[{"dropping-particle":"","family":"Nurrochmat","given":"Dodik Ridho","non-dropping-particle":"","parse-names":false,"suffix":""},{"dropping-particle":"","family":"Boer","given":"Rizaldi","non-dropping-particle":"","parse-names":false,"suffix":""},{"dropping-particle":"","family":"Ardiansyah","given":"Muhammad","non-dropping-particle":"","parse-names":false,"suffix":""},{"dropping-particle":"","family":"Immanuel","given":"Gito","non-dropping-particle":"","parse-names":false,"suffix":""},{"dropping-particle":"","family":"Purwawangsa","given":"Handian","non-dropping-particle":"","parse-names":false,"suffix":""}],"container-title":"Forest Policy and Economics","id":"ITEM-1","issue":"June","issued":{"date-parts":[["2020"]]},"page":"102291","publisher":"Elsevier","title":"Policy Forum: Reconciling Palm Oil Targets and Reduced Deforestation: Landswap and Agrarian Reform in Indonesia","type":"article-journal","volume":"119"},"uris":["http://www.mendeley.com/documents/?uuid=0c41f16d-9cea-4e95-bb16-fcefc2ed8008"]}],"mendeley":{"formattedCitation":"[33]","plainTextFormattedCitation":"[33]","previouslyFormattedCitation":"[33]"},"properties":{"noteIndex":0},"schema":"https://github.com/citation-style-language/schema/raw/master/csl-citation.json"}</w:instrText>
      </w:r>
      <w:r w:rsidR="00324E77">
        <w:fldChar w:fldCharType="separate"/>
      </w:r>
      <w:r w:rsidR="00324E77" w:rsidRPr="00324E77">
        <w:rPr>
          <w:noProof/>
        </w:rPr>
        <w:t>[33]</w:t>
      </w:r>
      <w:r w:rsidR="00324E77">
        <w:fldChar w:fldCharType="end"/>
      </w:r>
      <w:r w:rsidRPr="00E63A07">
        <w:t>.</w:t>
      </w:r>
    </w:p>
    <w:p w:rsidR="00C62CE8" w:rsidRPr="001D7D8E" w:rsidRDefault="00E63A07" w:rsidP="00E63A07">
      <w:pPr>
        <w:pStyle w:val="TeksIsi"/>
      </w:pPr>
      <w:r w:rsidRPr="00E63A07">
        <w:t>The combined effect of the various problems above, which are interrelated, ultimately affects the quality and trajectory of Indonesian democracy at the local level. The economic-political configuration that tends to favor political elites and business actors is increasingly perpetuating their power, coupled with the strength of the agrarian and peasant movements</w:t>
      </w:r>
      <w:r w:rsidR="008153FD">
        <w:t xml:space="preserve">. It </w:t>
      </w:r>
      <w:r w:rsidR="00B63AD5">
        <w:t xml:space="preserve">is </w:t>
      </w:r>
      <w:r w:rsidRPr="00E63A07">
        <w:t xml:space="preserve">still </w:t>
      </w:r>
      <w:r w:rsidR="008153FD">
        <w:t>challenging</w:t>
      </w:r>
      <w:r w:rsidRPr="00E63A07">
        <w:t xml:space="preserve"> to consolidate </w:t>
      </w:r>
      <w:r w:rsidR="008153FD">
        <w:t>amid</w:t>
      </w:r>
      <w:r w:rsidRPr="00E63A07">
        <w:t xml:space="preserve"> a deepening class gap, making local democracy, both in terms of contestation and electoral politics and broader political dynamics and institutions</w:t>
      </w:r>
      <w:r w:rsidR="00B63AD5">
        <w:t>,</w:t>
      </w:r>
      <w:r w:rsidRPr="00E63A07">
        <w:t xml:space="preserve"> tend to benefit the elites and reduce the space and possibility for agrarian movement activists to make political breakthroughs. Using a Bernsteinian perspective, the explanation above shows that the capitalist class and state apparatus </w:t>
      </w:r>
      <w:r w:rsidR="008153FD">
        <w:t>controlling</w:t>
      </w:r>
      <w:r w:rsidRPr="00E63A07">
        <w:t xml:space="preserve"> various rural production and distribution resources such as land</w:t>
      </w:r>
      <w:r w:rsidR="008153FD">
        <w:t xml:space="preserve"> and</w:t>
      </w:r>
      <w:r w:rsidRPr="00E63A07">
        <w:t xml:space="preserve"> natural resources enable them to extract surplus-value from the rural sector and dominate the political arena to win their interests. </w:t>
      </w:r>
      <w:r w:rsidR="008153FD">
        <w:t>Sometimes</w:t>
      </w:r>
      <w:r w:rsidRPr="00E63A07">
        <w:t xml:space="preserve"> the limitation of democratic space is carried out in repressive ways. In short, contemporary agrarian issues also hurt the quality of Indonesian democracy.</w:t>
      </w:r>
    </w:p>
    <w:p w:rsidR="008A55B5" w:rsidRPr="001D7D8E" w:rsidRDefault="00E63A07" w:rsidP="00EF3A1A">
      <w:pPr>
        <w:pStyle w:val="Judul2"/>
      </w:pPr>
      <w:r w:rsidRPr="00E63A07">
        <w:t>How the Agrarian Movement Answers the Problem of Indonesian Democracy</w:t>
      </w:r>
    </w:p>
    <w:p w:rsidR="00E63A07" w:rsidRDefault="00E63A07" w:rsidP="00753F7B">
      <w:pPr>
        <w:pStyle w:val="TeksIsi"/>
      </w:pPr>
      <w:r w:rsidRPr="00E63A07">
        <w:t xml:space="preserve">Another question that is also important to answer is the response of the agrarian movement to agrarian issues and democracy in Indonesia? To answer this problem, we need to look at the dialectical relationship between the agrarian movement and the democratization process in Indonesia. </w:t>
      </w:r>
      <w:r w:rsidR="008153FD">
        <w:t>A</w:t>
      </w:r>
      <w:r w:rsidRPr="00E63A07">
        <w:t>lthough its influence tends to be limited, the agrarian movement has contributed positively to the process of democratization and deepening of democracy in Indonesia.30</w:t>
      </w:r>
    </w:p>
    <w:p w:rsidR="00E63A07" w:rsidRDefault="00DF24AE" w:rsidP="00753F7B">
      <w:pPr>
        <w:pStyle w:val="TeksIsi"/>
      </w:pPr>
      <w:r w:rsidRPr="00DF24AE">
        <w:lastRenderedPageBreak/>
        <w:t xml:space="preserve">The historiography of the contemporary agrarian movement begins in post-1965 from the 1970s, the period when </w:t>
      </w:r>
      <w:r w:rsidR="008153FD">
        <w:t>several</w:t>
      </w:r>
      <w:r w:rsidRPr="00DF24AE">
        <w:t xml:space="preserve"> non-governmental organizations (NGOs), such as the Institute for Economic and Social Research, Education and Information (LP3ES), </w:t>
      </w:r>
      <w:proofErr w:type="spellStart"/>
      <w:r w:rsidRPr="00DF24AE">
        <w:t>Mitra</w:t>
      </w:r>
      <w:proofErr w:type="spellEnd"/>
      <w:r w:rsidRPr="00DF24AE">
        <w:t xml:space="preserve"> </w:t>
      </w:r>
      <w:proofErr w:type="spellStart"/>
      <w:r w:rsidRPr="00DF24AE">
        <w:t>Tani</w:t>
      </w:r>
      <w:proofErr w:type="spellEnd"/>
      <w:r w:rsidRPr="00DF24AE">
        <w:t xml:space="preserve">, Bina </w:t>
      </w:r>
      <w:proofErr w:type="spellStart"/>
      <w:r w:rsidRPr="00DF24AE">
        <w:t>Desa</w:t>
      </w:r>
      <w:proofErr w:type="spellEnd"/>
      <w:r w:rsidRPr="00DF24AE">
        <w:t>, and other institutions which is the network of the three institutions to carry out advocacy work and organizing alternative economies in rural areas</w:t>
      </w:r>
      <w:r w:rsidR="00C04E32">
        <w:t xml:space="preserve"> </w:t>
      </w:r>
      <w:r w:rsidR="00C04E32">
        <w:fldChar w:fldCharType="begin" w:fldLock="1"/>
      </w:r>
      <w:r w:rsidR="00C04E32">
        <w:instrText>ADDIN CSL_CITATION {"citationItems":[{"id":"ITEM-1","itemData":{"author":[{"dropping-particle":"","family":"Hadiz","given":"Vedi R.","non-dropping-particle":"","parse-names":false,"suffix":""},{"dropping-particle":"","family":"Robison","given":"Richard","non-dropping-particle":"","parse-names":false,"suffix":""}],"id":"ITEM-1","issued":{"date-parts":[["2006"]]},"number-of-pages":"35-57","publisher":"RoutledgeCurzon","publisher-place":"London dan New York","title":"The Political Economy of Oligarchy and the Reorganization of Power in Indonesia","type":"book"},"uris":["http://www.mendeley.com/documents/?uuid=4c87ee65-b7b3-41e1-bf4e-ec7253c81b4a"]}],"mendeley":{"formattedCitation":"[34]","plainTextFormattedCitation":"[34]","previouslyFormattedCitation":"[34]"},"properties":{"noteIndex":0},"schema":"https://github.com/citation-style-language/schema/raw/master/csl-citation.json"}</w:instrText>
      </w:r>
      <w:r w:rsidR="00C04E32">
        <w:fldChar w:fldCharType="separate"/>
      </w:r>
      <w:r w:rsidR="00C04E32" w:rsidRPr="00C04E32">
        <w:rPr>
          <w:noProof/>
        </w:rPr>
        <w:t>[34]</w:t>
      </w:r>
      <w:r w:rsidR="00C04E32">
        <w:fldChar w:fldCharType="end"/>
      </w:r>
      <w:r w:rsidRPr="00DF24AE">
        <w:t>. However, even though these institutions promote alternative development works in rural areas, their agrarian political vision is still limited to moderate criticism of the developmentalism of the Order. New instead offers a more radical and fundamental critique.</w:t>
      </w:r>
    </w:p>
    <w:p w:rsidR="00DF24AE" w:rsidRDefault="00DF24AE" w:rsidP="00DF24AE">
      <w:pPr>
        <w:pStyle w:val="TeksIsi"/>
      </w:pPr>
      <w:r w:rsidRPr="00DF24AE">
        <w:t>More confrontational resistance began to occur in the 1980s, when large-scale land conflicts between citizens and state actors, corporations, and international financial institutions began to erupt and various legal aid institutions (LBH), NGOs, and student action committees began to erupt</w:t>
      </w:r>
      <w:r w:rsidR="00B63AD5">
        <w:t xml:space="preserve"> and</w:t>
      </w:r>
      <w:r w:rsidRPr="00DF24AE">
        <w:t xml:space="preserve"> engage in efforts to advocate for the rights of citizens in the conflict. This can be seen, for example, in advocating for </w:t>
      </w:r>
      <w:r w:rsidR="008153FD">
        <w:t>several</w:t>
      </w:r>
      <w:r w:rsidRPr="00DF24AE">
        <w:t xml:space="preserve"> land conflict cases, such as the </w:t>
      </w:r>
      <w:proofErr w:type="spellStart"/>
      <w:r w:rsidRPr="00DF24AE">
        <w:t>Kedung</w:t>
      </w:r>
      <w:proofErr w:type="spellEnd"/>
      <w:r w:rsidRPr="00DF24AE">
        <w:t xml:space="preserve"> </w:t>
      </w:r>
      <w:proofErr w:type="spellStart"/>
      <w:r w:rsidRPr="00DF24AE">
        <w:t>Ombo</w:t>
      </w:r>
      <w:proofErr w:type="spellEnd"/>
      <w:r w:rsidRPr="00DF24AE">
        <w:t xml:space="preserve"> Dam case in Central Java and the </w:t>
      </w:r>
      <w:proofErr w:type="spellStart"/>
      <w:r w:rsidRPr="00DF24AE">
        <w:t>Cimacan</w:t>
      </w:r>
      <w:proofErr w:type="spellEnd"/>
      <w:r w:rsidRPr="00DF24AE">
        <w:t xml:space="preserve"> golf course in West Java in the 1980s and 1990s</w:t>
      </w:r>
      <w:r w:rsidR="00C04E32">
        <w:t xml:space="preserve"> </w:t>
      </w:r>
      <w:r w:rsidR="00C04E32">
        <w:fldChar w:fldCharType="begin" w:fldLock="1"/>
      </w:r>
      <w:r w:rsidR="00C04E32">
        <w:instrText>ADDIN CSL_CITATION {"citationItems":[{"id":"ITEM-1","itemData":{"DOI":"10.2307/3351117","ISSN":"00197289","abstract":"In March 1991 a student from a Yogyakarta activist women's group visited the Inter Universities Center office, to ask for a donation for her organization. Her group was one of nine sponsors of a calendar called \"Land for the People\" (Tanah untuk Rakyat). The calendar attracted considerable comment after she had left, as those in the office at the time crowded around, trying to guess which national political figures were being satirized there--not a difficult task. About a week later, the government suddenly banned the calender for \"jeopardizing national security\" and for insulting the President and the government of","author":[{"dropping-particle":"","family":"Lucas","given":"Anton","non-dropping-particle":"","parse-names":false,"suffix":""}],"container-title":"Indonesia","id":"ITEM-1","issue":"53","issued":{"date-parts":[["1992"]]},"page":"79","title":"Land Disputes in Indonesia: Some Current Perspectives","type":"article-journal","volume":"53"},"uris":["http://www.mendeley.com/documents/?uuid=cb3d5261-3adc-4759-99e9-f95139d1dab1"]}],"mendeley":{"formattedCitation":"[35]","plainTextFormattedCitation":"[35]","previouslyFormattedCitation":"[35]"},"properties":{"noteIndex":0},"schema":"https://github.com/citation-style-language/schema/raw/master/csl-citation.json"}</w:instrText>
      </w:r>
      <w:r w:rsidR="00C04E32">
        <w:fldChar w:fldCharType="separate"/>
      </w:r>
      <w:r w:rsidR="00C04E32" w:rsidRPr="00C04E32">
        <w:rPr>
          <w:noProof/>
        </w:rPr>
        <w:t>[35]</w:t>
      </w:r>
      <w:r w:rsidR="00C04E32">
        <w:fldChar w:fldCharType="end"/>
      </w:r>
      <w:r w:rsidRPr="00DF24AE">
        <w:t xml:space="preserve">. This period also marked the beginning of efforts to build alliances between </w:t>
      </w:r>
      <w:r w:rsidR="00B63AD5">
        <w:t>middle-class</w:t>
      </w:r>
      <w:r w:rsidRPr="00DF24AE">
        <w:t xml:space="preserve"> activists and all peasants and marginalized villagers as well as various farmer unions, which manifest in the form of local farmers' unions, such as the West Java Peasants Union (SPJB) or North Sumatra Peasants' Union (SPSU), as well as agrarian movement coalitions</w:t>
      </w:r>
      <w:r w:rsidR="00B63AD5">
        <w:t>,</w:t>
      </w:r>
      <w:r w:rsidRPr="00DF24AE">
        <w:t xml:space="preserve"> broader ones, such as the Agrarian Reform Consortium (KPA)</w:t>
      </w:r>
      <w:r w:rsidR="00C04E32">
        <w:t xml:space="preserve"> </w:t>
      </w:r>
      <w:r w:rsidR="00C04E32">
        <w:fldChar w:fldCharType="begin" w:fldLock="1"/>
      </w:r>
      <w:r w:rsidR="00FE7D64">
        <w:instrText>ADDIN CSL_CITATION {"citationItems":[{"id":"ITEM-1","itemData":{"DOI":"10.5728/indonesia.96.0011","author":[{"dropping-particle":"","family":"Aspinall","given":"Edward","non-dropping-particle":"","parse-names":false,"suffix":""}],"container-title":"Indonesia","id":"ITEM-1","issued":{"date-parts":[["2013"]]},"page":"101-121","title":"Popular Agency and Interests in Indonesia's Democratic Transition and Consolidation","type":"article-journal","volume":"96"},"uris":["http://www.mendeley.com/documents/?uuid=fad391c9-5c24-4dc0-a420-f7a3d7d68324"]}],"mendeley":{"formattedCitation":"[36]","plainTextFormattedCitation":"[36]","previouslyFormattedCitation":"[36]"},"properties":{"noteIndex":0},"schema":"https://github.com/citation-style-language/schema/raw/master/csl-citation.json"}</w:instrText>
      </w:r>
      <w:r w:rsidR="00C04E32">
        <w:fldChar w:fldCharType="separate"/>
      </w:r>
      <w:r w:rsidR="00C04E32" w:rsidRPr="00C04E32">
        <w:rPr>
          <w:noProof/>
        </w:rPr>
        <w:t>[36]</w:t>
      </w:r>
      <w:r w:rsidR="00C04E32">
        <w:fldChar w:fldCharType="end"/>
      </w:r>
      <w:r w:rsidRPr="00DF24AE">
        <w:t>.</w:t>
      </w:r>
    </w:p>
    <w:p w:rsidR="00DF24AE" w:rsidRDefault="00DF24AE" w:rsidP="00DF24AE">
      <w:pPr>
        <w:pStyle w:val="TeksIsi"/>
      </w:pPr>
      <w:r w:rsidRPr="00DF24AE">
        <w:t xml:space="preserve">Efforts to gain land rights (the </w:t>
      </w:r>
      <w:r w:rsidR="008153FD">
        <w:t>primary</w:t>
      </w:r>
      <w:r w:rsidRPr="00DF24AE">
        <w:t xml:space="preserve"> aspiration of the peasants) and build a new mass political tradition (the </w:t>
      </w:r>
      <w:r w:rsidR="008153FD">
        <w:t>primary</w:t>
      </w:r>
      <w:r w:rsidRPr="00DF24AE">
        <w:t xml:space="preserve"> aspiration of the activists) were a challenge for the authoritarian New Order regime</w:t>
      </w:r>
      <w:r w:rsidR="00B63AD5">
        <w:t>,</w:t>
      </w:r>
      <w:r w:rsidRPr="00DF24AE">
        <w:t xml:space="preserve"> which also experimented with political openness. At least, from the 1980s to the 1990s, what happened was a long effort where various models of activism, ranging from legal and political advocacy on land rights, the formation of farmers' unions to demonstrations, intersect and reinforce one another. This wave of agrarian activism also strengthened and became part of </w:t>
      </w:r>
      <w:r w:rsidR="008153FD">
        <w:t>many</w:t>
      </w:r>
      <w:r w:rsidRPr="00DF24AE">
        <w:t xml:space="preserve"> pro-democracy movements demanding regime change. However, overall, the impact of the agrarian movement on the overthrow of the New Order regime, although </w:t>
      </w:r>
      <w:r w:rsidR="008153FD">
        <w:t>necessary</w:t>
      </w:r>
      <w:r w:rsidRPr="00DF24AE">
        <w:t>, tends to be limited because its mass base and activities are concentrated in rural areas and provincial cities.</w:t>
      </w:r>
    </w:p>
    <w:p w:rsidR="00DF24AE" w:rsidRDefault="00DF24AE" w:rsidP="00DF24AE">
      <w:pPr>
        <w:pStyle w:val="TeksIsi"/>
      </w:pPr>
      <w:r w:rsidRPr="00DF24AE">
        <w:t xml:space="preserve">Meanwhile, the most </w:t>
      </w:r>
      <w:r w:rsidR="008153FD">
        <w:t>critical</w:t>
      </w:r>
      <w:r w:rsidRPr="00DF24AE">
        <w:t xml:space="preserve"> political crises and moments, such as the 1997 Asian Financial Crisis and the inability of the New Order regime to deal with them, actually occurred in the center of government and the big cities</w:t>
      </w:r>
      <w:r w:rsidR="00FE7D64">
        <w:t xml:space="preserve"> </w:t>
      </w:r>
      <w:r w:rsidR="00FE7D64">
        <w:fldChar w:fldCharType="begin" w:fldLock="1"/>
      </w:r>
      <w:r w:rsidR="00FE7D64">
        <w:instrText>ADDIN CSL_CITATION {"citationItems":[{"id":"ITEM-1","itemData":{"ISSN":"0022-197X","author":[{"dropping-particle":"","family":"Smith","given":"Benjamin","non-dropping-particle":"","parse-names":false,"suffix":""}],"container-title":"Journal of International Affairs","id":"ITEM-1","issue":"1","issued":{"date-parts":[["2003"]]},"page":"113-128","title":"\"If I Do These Things, They Will Throw Me Out\": Economic Reform and the Collapse of Indonesia's New Order","type":"article-journal","volume":"57"},"uris":["http://www.mendeley.com/documents/?uuid=d54609e4-001e-4652-b7d0-a1472f74288d"]}],"mendeley":{"formattedCitation":"[37]","plainTextFormattedCitation":"[37]","previouslyFormattedCitation":"[37]"},"properties":{"noteIndex":0},"schema":"https://github.com/citation-style-language/schema/raw/master/csl-citation.json"}</w:instrText>
      </w:r>
      <w:r w:rsidR="00FE7D64">
        <w:fldChar w:fldCharType="separate"/>
      </w:r>
      <w:r w:rsidR="00FE7D64" w:rsidRPr="00FE7D64">
        <w:rPr>
          <w:noProof/>
        </w:rPr>
        <w:t>[37]</w:t>
      </w:r>
      <w:r w:rsidR="00FE7D64">
        <w:fldChar w:fldCharType="end"/>
      </w:r>
      <w:r w:rsidRPr="00DF24AE">
        <w:t>.</w:t>
      </w:r>
      <w:r w:rsidR="00FE7D64">
        <w:t xml:space="preserve"> </w:t>
      </w:r>
      <w:r w:rsidRPr="00DF24AE">
        <w:t xml:space="preserve"> Therefore, at the end of the New Order era, a cross-class coalition and power</w:t>
      </w:r>
      <w:r w:rsidR="00FE7D64">
        <w:t>-</w:t>
      </w:r>
      <w:r w:rsidRPr="00DF24AE">
        <w:t>urban-based social forces (students, workers, activists, and leaders of religious groups) dealt the final blow to the New Order</w:t>
      </w:r>
      <w:r w:rsidR="00FE7D64">
        <w:t xml:space="preserve"> </w:t>
      </w:r>
      <w:r w:rsidR="00FE7D64">
        <w:fldChar w:fldCharType="begin" w:fldLock="1"/>
      </w:r>
      <w:r w:rsidR="00106078">
        <w:instrText>ADDIN CSL_CITATION {"citationItems":[{"id":"ITEM-1","itemData":{"DOI":"10.22459/snol.08.2010.11","ISBN":"9781921666469","author":[{"dropping-particle":"","family":"Jenkins","given":"David","non-dropping-particle":"","parse-names":false,"suffix":""}],"container-title":"Soeharto's New Order and Its Legacy: Essays in honour of Harold Crouch","editor":[{"dropping-particle":"","family":"Aspinall","given":"Edward","non-dropping-particle":"","parse-names":false,"suffix":""},{"dropping-particle":"","family":"Fealy","given":"Greg","non-dropping-particle":"","parse-names":false,"suffix":""}],"id":"ITEM-1","issued":{"date-parts":[["2010"]]},"publisher":"ANU E Press","publisher-place":"Canberra","title":"One Reasonably Capable Man: Soeharto’s Early Fundraising","type":"chapter"},"uris":["http://www.mendeley.com/documents/?uuid=25ce15d5-50df-461e-82f0-ef92017d0f49"]}],"mendeley":{"formattedCitation":"[38]","plainTextFormattedCitation":"[38]","previouslyFormattedCitation":"[38]"},"properties":{"noteIndex":0},"schema":"https://github.com/citation-style-language/schema/raw/master/csl-citation.json"}</w:instrText>
      </w:r>
      <w:r w:rsidR="00FE7D64">
        <w:fldChar w:fldCharType="separate"/>
      </w:r>
      <w:r w:rsidR="00FE7D64" w:rsidRPr="00FE7D64">
        <w:rPr>
          <w:noProof/>
        </w:rPr>
        <w:t>[38]</w:t>
      </w:r>
      <w:r w:rsidR="00FE7D64">
        <w:fldChar w:fldCharType="end"/>
      </w:r>
      <w:r w:rsidRPr="00DF24AE">
        <w:t>. The agrarian movement did contribute to the struggle to overthrow authoritarianism</w:t>
      </w:r>
      <w:r w:rsidR="008153FD">
        <w:t>. However, the</w:t>
      </w:r>
      <w:r w:rsidRPr="00DF24AE">
        <w:t xml:space="preserve"> constellation and political direction made the struggle for land rights and other peasant rights merely footnotes rather than </w:t>
      </w:r>
      <w:r w:rsidR="00B63AD5">
        <w:t xml:space="preserve">the </w:t>
      </w:r>
      <w:r w:rsidRPr="00DF24AE">
        <w:t>main demands of the pro-democracy agenda.</w:t>
      </w:r>
    </w:p>
    <w:p w:rsidR="00DF24AE" w:rsidRDefault="00DF24AE" w:rsidP="00DF24AE">
      <w:pPr>
        <w:pStyle w:val="TeksIsi"/>
      </w:pPr>
      <w:r w:rsidRPr="00DF24AE">
        <w:t xml:space="preserve">Somewhat more encouraging developments appear to have occurred in the post-Reformation era of democracy. Political </w:t>
      </w:r>
      <w:r w:rsidRPr="00DF24AE">
        <w:t>change and openness provided sufficient space for a more assertive and militant political articulation of the agrarian movement</w:t>
      </w:r>
      <w:r w:rsidR="00106078">
        <w:t xml:space="preserve"> </w:t>
      </w:r>
      <w:r w:rsidR="00106078">
        <w:fldChar w:fldCharType="begin" w:fldLock="1"/>
      </w:r>
      <w:r w:rsidR="00106078">
        <w:instrText>ADDIN CSL_CITATION {"citationItems":[{"id":"ITEM-1","itemData":{"DOI":"10.1002/9781444307191.ch8","ISBN":"9781405190411","author":[{"dropping-particle":"","family":"Peluso","given":"Nancy Lee","non-dropping-particle":"","parse-names":false,"suffix":""},{"dropping-particle":"","family":"Afiff","given":"Suraya","non-dropping-particle":"","parse-names":false,"suffix":""},{"dropping-particle":"","family":"Rachman","given":"Noer Fauzi","non-dropping-particle":"","parse-names":false,"suffix":""}],"container-title":"Transnational Agrarian Movements Confronting Globalization","id":"ITEM-1","issued":{"date-parts":[["2009"]]},"page":"209-238","title":"Claiming the Grounds for Reform: Agrarian and Environmental Movements in Indonesia","type":"article-journal"},"uris":["http://www.mendeley.com/documents/?uuid=cfde3ab9-2f6d-499e-8a8b-c710f219933d"]}],"mendeley":{"formattedCitation":"[2]","plainTextFormattedCitation":"[2]","previouslyFormattedCitation":"[2]"},"properties":{"noteIndex":0},"schema":"https://github.com/citation-style-language/schema/raw/master/csl-citation.json"}</w:instrText>
      </w:r>
      <w:r w:rsidR="00106078">
        <w:fldChar w:fldCharType="separate"/>
      </w:r>
      <w:r w:rsidR="00106078" w:rsidRPr="00106078">
        <w:rPr>
          <w:noProof/>
        </w:rPr>
        <w:t>[2]</w:t>
      </w:r>
      <w:r w:rsidR="00106078">
        <w:fldChar w:fldCharType="end"/>
      </w:r>
      <w:r w:rsidRPr="00DF24AE">
        <w:t xml:space="preserve">. In 2001, for example, the </w:t>
      </w:r>
      <w:proofErr w:type="spellStart"/>
      <w:r w:rsidRPr="00DF24AE">
        <w:t>Pasundan</w:t>
      </w:r>
      <w:proofErr w:type="spellEnd"/>
      <w:r w:rsidRPr="00DF24AE">
        <w:t xml:space="preserve"> Peasants Union (SPP) carried out a massive mass action in Jakarta</w:t>
      </w:r>
      <w:r w:rsidR="00106078">
        <w:t xml:space="preserve"> </w:t>
      </w:r>
      <w:r w:rsidR="00106078">
        <w:fldChar w:fldCharType="begin" w:fldLock="1"/>
      </w:r>
      <w:r w:rsidR="00106078">
        <w:instrText>ADDIN CSL_CITATION {"citationItems":[{"id":"ITEM-1","itemData":{"DOI":"10.1002/9781444307191.ch8","ISBN":"9781405190411","author":[{"dropping-particle":"","family":"Peluso","given":"Nancy Lee","non-dropping-particle":"","parse-names":false,"suffix":""},{"dropping-particle":"","family":"Afiff","given":"Suraya","non-dropping-particle":"","parse-names":false,"suffix":""},{"dropping-particle":"","family":"Rachman","given":"Noer Fauzi","non-dropping-particle":"","parse-names":false,"suffix":""}],"container-title":"Transnational Agrarian Movements Confronting Globalization","id":"ITEM-1","issued":{"date-parts":[["2009"]]},"page":"209-238","title":"Claiming the Grounds for Reform: Agrarian and Environmental Movements in Indonesia","type":"article-journal"},"uris":["http://www.mendeley.com/documents/?uuid=cfde3ab9-2f6d-499e-8a8b-c710f219933d"]}],"mendeley":{"formattedCitation":"[2]","plainTextFormattedCitation":"[2]","previouslyFormattedCitation":"[2]"},"properties":{"noteIndex":0},"schema":"https://github.com/citation-style-language/schema/raw/master/csl-citation.json"}</w:instrText>
      </w:r>
      <w:r w:rsidR="00106078">
        <w:fldChar w:fldCharType="separate"/>
      </w:r>
      <w:r w:rsidR="00106078" w:rsidRPr="00106078">
        <w:rPr>
          <w:noProof/>
        </w:rPr>
        <w:t>[2]</w:t>
      </w:r>
      <w:r w:rsidR="00106078">
        <w:fldChar w:fldCharType="end"/>
      </w:r>
      <w:r w:rsidRPr="00DF24AE">
        <w:t>. This action succeeded in winning the enforcement of a Consultative Assembly Decree People (Tap MPR) Number IX/2001 concerning agrarian reform and natural resources whose mandate is to strengthen the implementation of the mandate of agrarian reform, as stated in Law Number 5 of 1960 concerning Basic Regulations on Agrarian Principles</w:t>
      </w:r>
      <w:r w:rsidR="00106078">
        <w:t xml:space="preserve"> </w:t>
      </w:r>
      <w:r w:rsidR="00106078">
        <w:fldChar w:fldCharType="begin" w:fldLock="1"/>
      </w:r>
      <w:r w:rsidR="0039062D">
        <w:instrText>ADDIN CSL_CITATION {"citationItems":[{"id":"ITEM-1","itemData":{"ISSN":"1884-5088","author":[{"dropping-particle":"","family":"Afiff","given":"Suraya","non-dropping-particle":"","parse-names":false,"suffix":""},{"dropping-particle":"","family":"Fauzi","given":"Noer","non-dropping-particle":"","parse-names":false,"suffix":""},{"dropping-particle":"","family":"Hart","given":"Gillian","non-dropping-particle":"","parse-names":false,"suffix":""},{"dropping-particle":"","family":"Ntsebesa","given":"Lungisile","non-dropping-particle":"","parse-names":false,"suffix":""},{"dropping-particle":"","family":"Peluso","given":"Nancy","non-dropping-particle":"","parse-names":false,"suffix":""}],"container-title":"UC Berkeley: Center for Southeast Asia Studies","id":"ITEM-1","issue":"4","issued":{"date-parts":[["2013"]]},"page":"250-260","title":"Redefining Agrarian Power: Resurgent Agrarian Movements in West Java, Indonesia","type":"article-journal","volume":"15"},"uris":["http://www.mendeley.com/documents/?uuid=498165a2-6c9a-48c5-b027-ef02b0a0433e"]}],"mendeley":{"formattedCitation":"[39]","plainTextFormattedCitation":"[39]","previouslyFormattedCitation":"[39]"},"properties":{"noteIndex":0},"schema":"https://github.com/citation-style-language/schema/raw/master/csl-citation.json"}</w:instrText>
      </w:r>
      <w:r w:rsidR="00106078">
        <w:fldChar w:fldCharType="separate"/>
      </w:r>
      <w:r w:rsidR="00106078" w:rsidRPr="00106078">
        <w:rPr>
          <w:noProof/>
        </w:rPr>
        <w:t>[39]</w:t>
      </w:r>
      <w:r w:rsidR="00106078">
        <w:fldChar w:fldCharType="end"/>
      </w:r>
      <w:r w:rsidRPr="00DF24AE">
        <w:t>. Then, early 2000 marked the political momentum where local farmers' unions in various places began to emerge as a forum to fight for the resolution of agrarian conflicts and land rights</w:t>
      </w:r>
      <w:r w:rsidR="0039062D">
        <w:t xml:space="preserve"> </w:t>
      </w:r>
      <w:r w:rsidR="0039062D">
        <w:fldChar w:fldCharType="begin" w:fldLock="1"/>
      </w:r>
      <w:r w:rsidR="0039062D">
        <w:instrText>ADDIN CSL_CITATION {"citationItems":[{"id":"ITEM-1","itemData":{"URL":"https://www.insideindonesia.org/fighting-for-land-3","accessed":{"date-parts":[["2021","12","19"]]},"author":[{"dropping-particle":"","family":"Bachriadi","given":"Dianto","non-dropping-particle":"","parse-names":false,"suffix":""}],"container-title":"Inside Indonesia","id":"ITEM-1","issued":{"date-parts":[["2012"]]},"title":"Fighting for Land","type":"webpage"},"uris":["http://www.mendeley.com/documents/?uuid=94fd519a-aa6d-4dfd-9892-417ec9cb0a15"]}],"mendeley":{"formattedCitation":"[40]","plainTextFormattedCitation":"[40]","previouslyFormattedCitation":"[40]"},"properties":{"noteIndex":0},"schema":"https://github.com/citation-style-language/schema/raw/master/csl-citation.json"}</w:instrText>
      </w:r>
      <w:r w:rsidR="0039062D">
        <w:fldChar w:fldCharType="separate"/>
      </w:r>
      <w:r w:rsidR="0039062D" w:rsidRPr="0039062D">
        <w:rPr>
          <w:noProof/>
        </w:rPr>
        <w:t>[40]</w:t>
      </w:r>
      <w:r w:rsidR="0039062D">
        <w:fldChar w:fldCharType="end"/>
      </w:r>
      <w:r w:rsidRPr="00DF24AE">
        <w:t>.</w:t>
      </w:r>
    </w:p>
    <w:p w:rsidR="00DF24AE" w:rsidRDefault="008153FD" w:rsidP="00DF24AE">
      <w:pPr>
        <w:pStyle w:val="TeksIsi"/>
      </w:pPr>
      <w:r>
        <w:t>The</w:t>
      </w:r>
      <w:r w:rsidR="00DF24AE">
        <w:t xml:space="preserve"> peasant unions adopted various strategies to advance their agenda</w:t>
      </w:r>
      <w:r>
        <w:t xml:space="preserve"> in its development</w:t>
      </w:r>
      <w:r w:rsidR="0039062D">
        <w:t xml:space="preserve"> </w:t>
      </w:r>
      <w:r w:rsidR="0039062D">
        <w:fldChar w:fldCharType="begin" w:fldLock="1"/>
      </w:r>
      <w:r w:rsidR="0039062D">
        <w:instrText>ADDIN CSL_CITATION {"citationItems":[{"id":"ITEM-1","itemData":{"ISBN":"9781626239777","author":[{"dropping-particle":"","family":"Putra","given":"Said Hidayat","non-dropping-particle":"","parse-names":false,"suffix":""},{"dropping-particle":"","family":"Turtiantoro","given":"","non-dropping-particle":"","parse-names":false,"suffix":""},{"dropping-particle":"","family":"Astuti","given":"Puji","non-dropping-particle":"","parse-names":false,"suffix":""}],"container-title":"Journal of Politic and Government Studies","id":"ITEM-1","issue":"1","issued":{"date-parts":[["2014"]]},"page":"1-15","title":"Faktor Determinan Konflik Agraria di Desa Setrojenar Kecamatan Buluspesantren Kabupaten Kebumen","type":"article-journal","volume":"4"},"uris":["http://www.mendeley.com/documents/?uuid=2e870260-2640-4873-aed3-7031cbeab5c5"]}],"mendeley":{"formattedCitation":"[41]","plainTextFormattedCitation":"[41]","previouslyFormattedCitation":"[41]"},"properties":{"noteIndex":0},"schema":"https://github.com/citation-style-language/schema/raw/master/csl-citation.json"}</w:instrText>
      </w:r>
      <w:r w:rsidR="0039062D">
        <w:fldChar w:fldCharType="separate"/>
      </w:r>
      <w:r w:rsidR="0039062D" w:rsidRPr="0039062D">
        <w:rPr>
          <w:noProof/>
        </w:rPr>
        <w:t>[41]</w:t>
      </w:r>
      <w:r w:rsidR="0039062D">
        <w:fldChar w:fldCharType="end"/>
      </w:r>
      <w:r w:rsidR="00DF24AE">
        <w:t>. Direct action strategies, such as mass mobilization, demonstrations, and in some cases</w:t>
      </w:r>
      <w:r w:rsidR="00C85E6F">
        <w:t>,</w:t>
      </w:r>
      <w:r w:rsidR="00DF24AE">
        <w:t xml:space="preserve"> land occupation, remained the </w:t>
      </w:r>
      <w:r>
        <w:t>primary</w:t>
      </w:r>
      <w:r w:rsidR="00DF24AE">
        <w:t xml:space="preserve"> weapon of many farmers' unions and other local agrarian movements. In addition, </w:t>
      </w:r>
      <w:r>
        <w:t>some</w:t>
      </w:r>
      <w:r w:rsidR="00DF24AE">
        <w:t xml:space="preserve"> forms of political strategy, particularly electoral mobilization and negotiations with local elites, were also adopted to strengthen and win the struggle. </w:t>
      </w:r>
      <w:r>
        <w:t>Many</w:t>
      </w:r>
      <w:r w:rsidR="00DF24AE">
        <w:t xml:space="preserve"> local farmers' unions and other agrarian organizations such as SPP, Bengkulu Farmers Union (</w:t>
      </w:r>
      <w:proofErr w:type="spellStart"/>
      <w:r w:rsidR="00DF24AE">
        <w:t>STaB</w:t>
      </w:r>
      <w:proofErr w:type="spellEnd"/>
      <w:r w:rsidR="00DF24AE">
        <w:t xml:space="preserve">), </w:t>
      </w:r>
      <w:proofErr w:type="spellStart"/>
      <w:r w:rsidR="00DF24AE">
        <w:t>Batang</w:t>
      </w:r>
      <w:proofErr w:type="spellEnd"/>
      <w:r w:rsidR="00DF24AE">
        <w:t xml:space="preserve"> Regency Farmers Association Forum (FPPB), </w:t>
      </w:r>
      <w:proofErr w:type="spellStart"/>
      <w:r w:rsidR="00DF24AE">
        <w:t>Nahdliyin</w:t>
      </w:r>
      <w:proofErr w:type="spellEnd"/>
      <w:r w:rsidR="00DF24AE">
        <w:t xml:space="preserve"> Front for Natural Resources Sovereignty (FNKSDA), to the Alliance of Indigenous Peoples of the Archipelago (AMAN), are involved in various types of electoral battles, from village head elections (</w:t>
      </w:r>
      <w:proofErr w:type="spellStart"/>
      <w:r w:rsidR="00DF24AE">
        <w:t>pilkades</w:t>
      </w:r>
      <w:proofErr w:type="spellEnd"/>
      <w:r w:rsidR="00DF24AE">
        <w:t xml:space="preserve">) to </w:t>
      </w:r>
      <w:proofErr w:type="spellStart"/>
      <w:r w:rsidR="00DF24AE">
        <w:t>pilkada</w:t>
      </w:r>
      <w:proofErr w:type="spellEnd"/>
      <w:r w:rsidR="00DF24AE">
        <w:t>, with varying degrees of success</w:t>
      </w:r>
      <w:r w:rsidR="0039062D">
        <w:t xml:space="preserve"> </w:t>
      </w:r>
      <w:r w:rsidR="0039062D">
        <w:fldChar w:fldCharType="begin" w:fldLock="1"/>
      </w:r>
      <w:r w:rsidR="0039062D">
        <w:instrText>ADDIN CSL_CITATION {"citationItems":[{"id":"ITEM-1","itemData":{"DOI":"10.53341/jgpi.v1i1.4","ISSN":"2807-3746","abstract":"The military's involvement in power and land ownership often leads to conflicts, both vertically and horizontally. According to the Agrarian Reform Consortium's records in 2020, agrarian conflicts involving military personnel during the Covid-19 pandemic were relatively stagnant. This paper aims to explore the conflict between the TNI Akmil Magelang and the Magelang City Government. The method used in this study uses a descriptive qualitative approach. Data collection techniques in this study using observation and documentation techniques and processing research data using the stages of data presentation, verification, and concluding. This study uses Pondy's (1967) theory regarding the stages of conflict as an analytical tool. The results show that the military conflict over land control with the city government has occurred since 1985. However, this conflict has not yet found common ground. The peak of the conflict occurred in mid-August 2020 when the TNI put up a sign at the mayor's office complex. The TNI gave an ultimatum to the Magelang City Government to leave or compensate for land assets. The development of the conflict is currently heading towards conflict resolution. However, it does not mean that in the end the conflict resolution can be found. This departs from the historical record where this conflict has been going on for a long time, and various parties as mediators are involved. However, the conflict continues to roll on and at any time can explode again in public.  ","author":[{"dropping-particle":"","family":"Setiawan","given":"Hendy","non-dropping-particle":"","parse-names":false,"suffix":""}],"container-title":"Journal of Government and Political Issues","id":"ITEM-1","issue":"1","issued":{"date-parts":[["2021"]]},"page":"1-14","title":"Military and Control of Land Resources? Conflict TNI and Magelang City Government","type":"article-journal","volume":"1"},"uris":["http://www.mendeley.com/documents/?uuid=e51dbb1c-f181-4654-bdc7-5cd8f6044f7b"]}],"mendeley":{"formattedCitation":"[6]","plainTextFormattedCitation":"[6]","previouslyFormattedCitation":"[6]"},"properties":{"noteIndex":0},"schema":"https://github.com/citation-style-language/schema/raw/master/csl-citation.json"}</w:instrText>
      </w:r>
      <w:r w:rsidR="0039062D">
        <w:fldChar w:fldCharType="separate"/>
      </w:r>
      <w:r w:rsidR="0039062D" w:rsidRPr="0039062D">
        <w:rPr>
          <w:noProof/>
        </w:rPr>
        <w:t>[6]</w:t>
      </w:r>
      <w:r w:rsidR="0039062D">
        <w:fldChar w:fldCharType="end"/>
      </w:r>
      <w:r w:rsidR="00DF24AE">
        <w:t>.</w:t>
      </w:r>
    </w:p>
    <w:p w:rsidR="00DF24AE" w:rsidRDefault="00DF24AE" w:rsidP="00DF24AE">
      <w:pPr>
        <w:pStyle w:val="TeksIsi"/>
      </w:pPr>
      <w:r>
        <w:t xml:space="preserve">In recent years, farmers' unions have also begun to organize alternative economies to support political work and </w:t>
      </w:r>
      <w:r w:rsidR="00C85E6F">
        <w:t>structure</w:t>
      </w:r>
      <w:r>
        <w:t xml:space="preserve"> the rural economy based on the principle of collectivity. The development of production cooperatives to manage the production process and distribution of agricultural products, for example, is one of the common strategies adopted</w:t>
      </w:r>
      <w:r w:rsidR="0039062D">
        <w:t xml:space="preserve"> </w:t>
      </w:r>
      <w:r w:rsidR="0039062D">
        <w:fldChar w:fldCharType="begin" w:fldLock="1"/>
      </w:r>
      <w:r w:rsidR="0039062D">
        <w:instrText>ADDIN CSL_CITATION {"citationItems":[{"id":"ITEM-1","itemData":{"URL":"https://bengkulu.antaranews.com/berita/37673/spi-tingkatkan-kapasitas-petani-kopi-bengkulu","accessed":{"date-parts":[["2021","12","19"]]},"author":[{"dropping-particle":"","family":"Sipayung","given":"Helti Marini","non-dropping-particle":"","parse-names":false,"suffix":""}],"container-title":"Antara Bengkulu","id":"ITEM-1","issued":{"date-parts":[["2016"]]},"title":"SPI Tingkatkan Kapasitas Petani Bengkulu","type":"webpage"},"uris":["http://www.mendeley.com/documents/?uuid=264bbcb5-c534-4d7f-9192-176ffd740bdc"]}],"mendeley":{"formattedCitation":"[42]","plainTextFormattedCitation":"[42]","previouslyFormattedCitation":"[42]"},"properties":{"noteIndex":0},"schema":"https://github.com/citation-style-language/schema/raw/master/csl-citation.json"}</w:instrText>
      </w:r>
      <w:r w:rsidR="0039062D">
        <w:fldChar w:fldCharType="separate"/>
      </w:r>
      <w:r w:rsidR="0039062D" w:rsidRPr="0039062D">
        <w:rPr>
          <w:noProof/>
        </w:rPr>
        <w:t>[42]</w:t>
      </w:r>
      <w:r w:rsidR="0039062D">
        <w:fldChar w:fldCharType="end"/>
      </w:r>
      <w:r>
        <w:t>. Credit unions based on the agrarian movement have also begun to form to meet alternative financial needs outside the institutions of large banks, some of which already have rotations</w:t>
      </w:r>
      <w:r w:rsidR="00B63AD5">
        <w:t xml:space="preserve"> access</w:t>
      </w:r>
      <w:r>
        <w:t xml:space="preserve"> quite fast</w:t>
      </w:r>
      <w:r w:rsidR="0039062D">
        <w:t xml:space="preserve"> </w:t>
      </w:r>
      <w:r w:rsidR="0039062D">
        <w:fldChar w:fldCharType="begin" w:fldLock="1"/>
      </w:r>
      <w:r w:rsidR="0039062D">
        <w:instrText>ADDIN CSL_CITATION {"citationItems":[{"id":"ITEM-1","itemData":{"DOI":"10.1080/03066150.2012.691879","ISSN":"03066150","abstract":"The contributions to this collection use the tools of agrarian political economy to explore the rapid growth and complex dynamics of large-scale land deals in recent years, with a special focus on the implications of big land deals for property and labour regimes, labour processes and structures of accumulation. The first part of this introductory essay examines the implications of this agrarian political economy perspective. First we explore the continuities and contrasts between historical and contemporary land grabs, before examining the core underlying debate around large- versus small-scale farming futures. Next, we unpack the diverse contexts and causes of land grabbing today, highlighting six overlapping mechanisms. The following section turns to assessing the crisis narratives that frame the justifications for land deals, and the flaws in the argument around there being excess, empty or idle land available. Next the paper turns to an examination of the impacts of land deals, and the processes of inclusion and exclusion at play, before looking at patterns of resistance and constructions of alternatives. The final section introduces the papers in the collection. © 2012 Copyright Taylor and Francis Group, LLC.","author":[{"dropping-particle":"","family":"White","given":"Ben","non-dropping-particle":"","parse-names":false,"suffix":""},{"dropping-particle":"","family":"Borras","given":"Saturnino M.","non-dropping-particle":"","parse-names":false,"suffix":""},{"dropping-particle":"","family":"Hall","given":"Ruth","non-dropping-particle":"","parse-names":false,"suffix":""},{"dropping-particle":"","family":"Scoones","given":"Ian","non-dropping-particle":"","parse-names":false,"suffix":""},{"dropping-particle":"","family":"Wolford","given":"Wendy","non-dropping-particle":"","parse-names":false,"suffix":""}],"container-title":"Journal of Peasant Studies","id":"ITEM-1","issue":"3-4","issued":{"date-parts":[["2012"]]},"page":"619-647","title":"The New Enclosures: Critical Perspectives on Corporate Land Deals","type":"article-journal","volume":"39"},"uris":["http://www.mendeley.com/documents/?uuid=032715ad-087d-4c49-a2f5-80d895938e27"]}],"mendeley":{"formattedCitation":"[43]","plainTextFormattedCitation":"[43]","previouslyFormattedCitation":"[43]"},"properties":{"noteIndex":0},"schema":"https://github.com/citation-style-language/schema/raw/master/csl-citation.json"}</w:instrText>
      </w:r>
      <w:r w:rsidR="0039062D">
        <w:fldChar w:fldCharType="separate"/>
      </w:r>
      <w:r w:rsidR="0039062D" w:rsidRPr="0039062D">
        <w:rPr>
          <w:noProof/>
        </w:rPr>
        <w:t>[43]</w:t>
      </w:r>
      <w:r w:rsidR="0039062D">
        <w:fldChar w:fldCharType="end"/>
      </w:r>
      <w:r>
        <w:t xml:space="preserve">. Some farmer groups are also experimenting with organic or natural farming to break the chain of dependence </w:t>
      </w:r>
      <w:r w:rsidR="00C85E6F">
        <w:t>on</w:t>
      </w:r>
      <w:r>
        <w:t xml:space="preserve"> agricultural corporations</w:t>
      </w:r>
      <w:r w:rsidR="0039062D">
        <w:t xml:space="preserve"> </w:t>
      </w:r>
      <w:r w:rsidR="0039062D">
        <w:fldChar w:fldCharType="begin" w:fldLock="1"/>
      </w:r>
      <w:r w:rsidR="0039062D">
        <w:instrText>ADDIN CSL_CITATION {"citationItems":[{"id":"ITEM-1","itemData":{"DOI":"10.1080/03066150.2012.691879","ISSN":"03066150","abstract":"The contributions to this collection use the tools of agrarian political economy to explore the rapid growth and complex dynamics of large-scale land deals in recent years, with a special focus on the implications of big land deals for property and labour regimes, labour processes and structures of accumulation. The first part of this introductory essay examines the implications of this agrarian political economy perspective. First we explore the continuities and contrasts between historical and contemporary land grabs, before examining the core underlying debate around large- versus small-scale farming futures. Next, we unpack the diverse contexts and causes of land grabbing today, highlighting six overlapping mechanisms. The following section turns to assessing the crisis narratives that frame the justifications for land deals, and the flaws in the argument around there being excess, empty or idle land available. Next the paper turns to an examination of the impacts of land deals, and the processes of inclusion and exclusion at play, before looking at patterns of resistance and constructions of alternatives. The final section introduces the papers in the collection. © 2012 Copyright Taylor and Francis Group, LLC.","author":[{"dropping-particle":"","family":"White","given":"Ben","non-dropping-particle":"","parse-names":false,"suffix":""},{"dropping-particle":"","family":"Borras","given":"Saturnino M.","non-dropping-particle":"","parse-names":false,"suffix":""},{"dropping-particle":"","family":"Hall","given":"Ruth","non-dropping-particle":"","parse-names":false,"suffix":""},{"dropping-particle":"","family":"Scoones","given":"Ian","non-dropping-particle":"","parse-names":false,"suffix":""},{"dropping-particle":"","family":"Wolford","given":"Wendy","non-dropping-particle":"","parse-names":false,"suffix":""}],"container-title":"Journal of Peasant Studies","id":"ITEM-1","issue":"3-4","issued":{"date-parts":[["2012"]]},"page":"619-647","title":"The New Enclosures: Critical Perspectives on Corporate Land Deals","type":"article-journal","volume":"39"},"uris":["http://www.mendeley.com/documents/?uuid=032715ad-087d-4c49-a2f5-80d895938e27"]}],"mendeley":{"formattedCitation":"[43]","plainTextFormattedCitation":"[43]","previouslyFormattedCitation":"[43]"},"properties":{"noteIndex":0},"schema":"https://github.com/citation-style-language/schema/raw/master/csl-citation.json"}</w:instrText>
      </w:r>
      <w:r w:rsidR="0039062D">
        <w:fldChar w:fldCharType="separate"/>
      </w:r>
      <w:r w:rsidR="0039062D" w:rsidRPr="0039062D">
        <w:rPr>
          <w:noProof/>
        </w:rPr>
        <w:t>[43]</w:t>
      </w:r>
      <w:r w:rsidR="0039062D">
        <w:fldChar w:fldCharType="end"/>
      </w:r>
      <w:r>
        <w:t xml:space="preserve">. There are also farmer unions that have built and </w:t>
      </w:r>
      <w:r w:rsidR="008153FD">
        <w:t>sustainably run social institutions</w:t>
      </w:r>
      <w:r>
        <w:t>, such as educational institutions</w:t>
      </w:r>
      <w:r w:rsidR="00C85E6F">
        <w:t xml:space="preserve"> from</w:t>
      </w:r>
      <w:r>
        <w:t xml:space="preserve"> elementary schools (SD) to vocational high schools (SMK) built by SPP</w:t>
      </w:r>
      <w:r w:rsidR="0039062D">
        <w:t xml:space="preserve"> </w:t>
      </w:r>
      <w:r w:rsidR="0039062D">
        <w:fldChar w:fldCharType="begin" w:fldLock="1"/>
      </w:r>
      <w:r w:rsidR="001C75C2">
        <w:instrText>ADDIN CSL_CITATION {"citationItems":[{"id":"ITEM-1","itemData":{"DOI":"10.1088/1755-1315/202/1/012030","ISSN":"17551315","abstract":"Almost Indonesian farmers are small scale farming that its number is continuously increasing. Because of land hunger, some farmers cultivate vacant lands illegally, such as unproductive lands of plantation estates and forest lands. For solving the illegal occupation, the government has applied agrarian reforms consisting of land redistribution and empowering farmer scheme. Study areas consist of 9 selected pilot project locations applied in Java and Sumatra islands. The data of location distributions, area sizes, land backgrounds, asset reforms, and access reforms were compiled and analyzed descriptively. Locations 1 to 7 in Java Island consist of agricultural lands, except location 7 was housing. These land objects were under conflict between occupants and land owners. Location 8 and 9 were in Lampung Province, the case of local farmers' utilized unproductive state lands. Due to helping poor people, this agrarian model answers the debate between access to land and access to income. Both sides must be combined in scheme of asset reform and access reform. Secondly, agrarian reform solves land conflicts particularly land occupation and increases welfare of landless people. Finally, agrarian reform will be successful if it's supported with for poor political atmosphere.","author":[{"dropping-particle":"","family":"Sadyohutomo","given":"M.","non-dropping-particle":"","parse-names":false,"suffix":""}],"container-title":"IOP Conference Series: Earth and Environmental Science","id":"ITEM-1","issue":"1","issued":{"date-parts":[["2018"]]},"title":"The Benefits of an Agrarian Reform Model in Indonesia","type":"paper-conference","volume":"202"},"uris":["http://www.mendeley.com/documents/?uuid=825429c9-f68c-4357-bf0c-84f407f67b42"]}],"mendeley":{"formattedCitation":"[4]","plainTextFormattedCitation":"[4]","previouslyFormattedCitation":"[4]"},"properties":{"noteIndex":0},"schema":"https://github.com/citation-style-language/schema/raw/master/csl-citation.json"}</w:instrText>
      </w:r>
      <w:r w:rsidR="0039062D">
        <w:fldChar w:fldCharType="separate"/>
      </w:r>
      <w:r w:rsidR="0039062D" w:rsidRPr="0039062D">
        <w:rPr>
          <w:noProof/>
        </w:rPr>
        <w:t>[4]</w:t>
      </w:r>
      <w:r w:rsidR="0039062D">
        <w:fldChar w:fldCharType="end"/>
      </w:r>
      <w:r>
        <w:t>.</w:t>
      </w:r>
    </w:p>
    <w:p w:rsidR="00DF24AE" w:rsidRDefault="00DF24AE" w:rsidP="00DF24AE">
      <w:pPr>
        <w:pStyle w:val="TeksIsi"/>
      </w:pPr>
      <w:r w:rsidRPr="00DF24AE">
        <w:t>What can be evaluated from the progress of the agrarian movement in Indonesia, especially in the last two decades after the Reformation? At the very least, we need to evaluate the achievements of the contemporary agrarian movement in two domains, namely the political impact of the agrarian movement's mobilization efforts and the policy changes it causes.</w:t>
      </w:r>
    </w:p>
    <w:p w:rsidR="00DF24AE" w:rsidRDefault="00B63AD5" w:rsidP="00DF24AE">
      <w:pPr>
        <w:pStyle w:val="TeksIsi"/>
      </w:pPr>
      <w:r>
        <w:t xml:space="preserve">The </w:t>
      </w:r>
      <w:r w:rsidR="00DF24AE" w:rsidRPr="00DF24AE">
        <w:t xml:space="preserve">findings of </w:t>
      </w:r>
      <w:r w:rsidR="008153FD">
        <w:t>several</w:t>
      </w:r>
      <w:r w:rsidR="00DF24AE" w:rsidRPr="00DF24AE">
        <w:t xml:space="preserve"> historical and quantitative studies need to be used as references</w:t>
      </w:r>
      <w:r>
        <w:t xml:space="preserve"> t</w:t>
      </w:r>
      <w:r w:rsidRPr="00DF24AE">
        <w:t>o evaluate the agrarian movement</w:t>
      </w:r>
      <w:r>
        <w:t xml:space="preserve"> </w:t>
      </w:r>
      <w:r w:rsidRPr="00DF24AE">
        <w:t>achievements in the fi</w:t>
      </w:r>
      <w:r>
        <w:t>r</w:t>
      </w:r>
      <w:r w:rsidRPr="00DF24AE">
        <w:t>st realm, the</w:t>
      </w:r>
      <w:r w:rsidR="00DF24AE" w:rsidRPr="00DF24AE">
        <w:t xml:space="preserve">. Frances </w:t>
      </w:r>
      <w:proofErr w:type="spellStart"/>
      <w:r w:rsidR="00DF24AE" w:rsidRPr="00DF24AE">
        <w:t>Piven</w:t>
      </w:r>
      <w:proofErr w:type="spellEnd"/>
      <w:r w:rsidR="00DF24AE" w:rsidRPr="00DF24AE">
        <w:t xml:space="preserve"> and Richard Cloward underlined in their historical study of contemporary social movements in the US and the Ottomans</w:t>
      </w:r>
      <w:r w:rsidR="00C85E6F">
        <w:t>.</w:t>
      </w:r>
      <w:r w:rsidR="00DF24AE" w:rsidRPr="00DF24AE">
        <w:t xml:space="preserve"> </w:t>
      </w:r>
      <w:r w:rsidR="00C85E6F">
        <w:t xml:space="preserve">In </w:t>
      </w:r>
      <w:r w:rsidR="00DF24AE" w:rsidRPr="00DF24AE">
        <w:t xml:space="preserve">their quantitative study of the role of the working class in </w:t>
      </w:r>
      <w:r w:rsidR="00DF24AE" w:rsidRPr="00DF24AE">
        <w:lastRenderedPageBreak/>
        <w:t xml:space="preserve">democratization since the first half of the twentieth century, it is the “disruptive action” of marginalized social groups that makes authority and </w:t>
      </w:r>
      <w:r>
        <w:t>power-holders</w:t>
      </w:r>
      <w:r w:rsidR="00DF24AE" w:rsidRPr="00DF24AE">
        <w:t xml:space="preserve"> are willing to negotiate, accommodate </w:t>
      </w:r>
      <w:r w:rsidR="008153FD">
        <w:t>some</w:t>
      </w:r>
      <w:r w:rsidR="00DF24AE" w:rsidRPr="00DF24AE">
        <w:t xml:space="preserve"> demands “from below”, and ultimately encourage a broader process of political democratization</w:t>
      </w:r>
      <w:r w:rsidR="006B39AC">
        <w:t xml:space="preserve"> </w:t>
      </w:r>
      <w:r w:rsidR="006B39AC">
        <w:fldChar w:fldCharType="begin" w:fldLock="1"/>
      </w:r>
      <w:r w:rsidR="0039062D">
        <w:rPr>
          <w:rFonts w:hint="eastAsia"/>
        </w:rPr>
        <w:instrText>ADDIN CSL_CITATION {"citationItems":[{"id":"ITEM-1","itemData":{"DOI":"10.1111/j.1759-5436.1984.mp15001004.x","ISSN":"17595436","abstract":"SUMMARY In small</w:instrText>
      </w:r>
      <w:r w:rsidR="0039062D">
        <w:rPr>
          <w:rFonts w:hint="eastAsia"/>
        </w:rPr>
        <w:instrText>‐</w:instrText>
      </w:r>
      <w:r w:rsidR="0039062D">
        <w:rPr>
          <w:rFonts w:hint="eastAsia"/>
        </w:rPr>
        <w:instrText>scale research on rural women a combination of quantitative and qualitative approaches can serve a</w:instrText>
      </w:r>
      <w:r w:rsidR="0039062D">
        <w:instrText>s a check on the biases inherent in each method. Quantitative data in themselves can rarely explain anything but they have important uses in the foreceful challenging of conventional ideas on rural women and in raising new questions for more detailed stud</w:instrText>
      </w:r>
      <w:r w:rsidR="0039062D">
        <w:rPr>
          <w:rFonts w:hint="eastAsia"/>
        </w:rPr>
        <w:instrText>y. Examples are given form recent research on the allocation of labour time by men and women, the relative partivipation of husbands and wives in decision</w:instrText>
      </w:r>
      <w:r w:rsidR="0039062D">
        <w:rPr>
          <w:rFonts w:hint="eastAsia"/>
        </w:rPr>
        <w:instrText>‐</w:instrText>
      </w:r>
      <w:r w:rsidR="0039062D">
        <w:rPr>
          <w:rFonts w:hint="eastAsia"/>
        </w:rPr>
        <w:instrText>making and changes in modes of female farm labour recruitment and payment. RESUMEN Medición de la as</w:instrText>
      </w:r>
      <w:r w:rsidR="0039062D">
        <w:instrText>ignación del tiempo, la toma de decisiones y los cambios agrarios que afectan a las muferes rurales: ejemplos de una investigación reciente en Indonesia En la investigación en pequenña escala sobre las mujeres rurales, una combinación e enfoques cuantitativos y cualitativos puede servir de control de los sesgos inherentes a cada método. Los datos cuantivativos rara vez logran explicar algo por si mismos, pero pueden jugar un ro importante en el enérgico desafío de las ideas convencionales sobre las mujeres rurales, planteando nuevas interrogantes para la realización de estudios mas acusiosos. Se proorcionan ejemplos de investigaciones recientes, referidas a la asignación del tienpo de trabajo de hombres y mujeres, la participación relativa de ambos cónyuges en la toma de decisiones y los cambios en las formas de reclutamiento y remuneración del trabajo femenino en lasa granjas. RESUMES Evaluation du femps allouè des prises de décision et des changements agraires affectant les paysannes: exemples cítés a partir de recherches récentes éffectuées en Indonésie Dans des études de faible portée sur les paysannes, un mélange d'approches quantitatives et quanlitatives peut étre utilisé en tant que vérification des influences inhérentes a chaque méthode. Les donné</w:instrText>
      </w:r>
      <w:r w:rsidR="0039062D">
        <w:rPr>
          <w:rFonts w:hint="eastAsia"/>
        </w:rPr>
        <w:instrText>es quantitatives en elles</w:instrText>
      </w:r>
      <w:r w:rsidR="0039062D">
        <w:rPr>
          <w:rFonts w:hint="eastAsia"/>
        </w:rPr>
        <w:instrText>‐</w:instrText>
      </w:r>
      <w:r w:rsidR="0039062D">
        <w:rPr>
          <w:rFonts w:hint="eastAsia"/>
        </w:rPr>
        <w:instrText>mémes peuvent rarement éclaircir quoi que ce soit maís elles ont un róle important dans le défi puissant des idées conventionnelles en ce qui converne les paysannes et en soulevant de mouvelles questions pour des études plus déta</w:instrText>
      </w:r>
      <w:r w:rsidR="0039062D">
        <w:instrText>illées. Das exemples sont fournis à partir de recherches récentes sur l'allocation du temps de travail par des hommes et des femmes, la participation relative des maris et des femmes dans la prise de décision et les changements dans les méthodes de recrutement et de paiement de la main d'oeuvre fermière féminine. © 1984 Institue of Developm…","author":[{"dropping-particle":"","family":"White","given":"Benjamin","non-dropping-particle":"","parse-names":false,"suffix":""}],"container-title":"IDS Bulletin","</w:instrText>
      </w:r>
      <w:r w:rsidR="0039062D">
        <w:rPr>
          <w:rFonts w:hint="eastAsia"/>
        </w:rPr>
        <w:instrText>id":"ITEM-1","issue":"1","issued":{"date-parts":[["1984"]]},"page":"18-33","title":"Measuring Time Allocation, Decision</w:instrText>
      </w:r>
      <w:r w:rsidR="0039062D">
        <w:rPr>
          <w:rFonts w:hint="eastAsia"/>
        </w:rPr>
        <w:instrText>‐</w:instrText>
      </w:r>
      <w:r w:rsidR="0039062D">
        <w:rPr>
          <w:rFonts w:hint="eastAsia"/>
        </w:rPr>
        <w:instrText>making and Agrarian Changes Affecting Rural Women: Examples from Recent Research in Indonesia","type":"article-journal","volume":"15"},</w:instrText>
      </w:r>
      <w:r w:rsidR="0039062D">
        <w:instrText>"uris":["http://www.mendeley.com/documents/?uuid=bd29fcb3-cc7c-4418-9cdf-83deaf7e0953"]}],"mendeley":{"formattedCitation":"[44]","plainTextFormattedCitation":"[44]","previouslyFormattedCitation":"[44]"},"properties":{"noteIndex":0},"schema":"https://github.com/citation-style-language/schema/raw/master/csl-citation.json"}</w:instrText>
      </w:r>
      <w:r w:rsidR="006B39AC">
        <w:fldChar w:fldCharType="separate"/>
      </w:r>
      <w:r w:rsidR="0039062D" w:rsidRPr="0039062D">
        <w:rPr>
          <w:noProof/>
        </w:rPr>
        <w:t>[44]</w:t>
      </w:r>
      <w:r w:rsidR="006B39AC">
        <w:fldChar w:fldCharType="end"/>
      </w:r>
      <w:r w:rsidR="00DF24AE" w:rsidRPr="00DF24AE">
        <w:t xml:space="preserve">. Several </w:t>
      </w:r>
      <w:r w:rsidR="00C85E6F">
        <w:t>key works</w:t>
      </w:r>
      <w:r w:rsidR="00DF24AE" w:rsidRPr="00DF24AE">
        <w:t xml:space="preserve"> in democratization studies also show that historically the collective action of all working people was one of the factors that forced the elite to </w:t>
      </w:r>
      <w:r>
        <w:t>pave</w:t>
      </w:r>
      <w:r w:rsidR="00DF24AE" w:rsidRPr="00DF24AE">
        <w:t xml:space="preserve"> the way for the democratization process</w:t>
      </w:r>
      <w:r w:rsidR="006B39AC">
        <w:t xml:space="preserve"> </w:t>
      </w:r>
      <w:r w:rsidR="006B39AC">
        <w:fldChar w:fldCharType="begin" w:fldLock="1"/>
      </w:r>
      <w:r w:rsidR="0039062D">
        <w:instrText>ADDIN CSL_CITATION {"citationItems":[{"id":"ITEM-1","itemData":{"abstract":"Regimes controlled by a rich elite often collapse and make way for democracy amidst widespread social unrest. Such regime changes are often followed by redistribution to the poor at the expense of the former elite. We argue that the reason why the elite may have to resort to full-scale democratization, despite its apparent costs to themselves, may be that lesser concessions would be viewed as a sign a weakness and spur further unrest and more radical demands. The elite may therefore be forced to choose between repression and the most generous concession, a transition to full democracy. (C) 2000 Elsevier Science B.V. All rights reserved.","author":[{"dropping-particle":"","family":"Acemoglu","given":"Daron","non-dropping-particle":"","parse-names":false,"suffix":""},{"dropping-particle":"","family":"Robinson","given":"James A.","non-dropping-particle":"","parse-names":false,"suffix":""}],"container-title":"European Economic Review","id":"ITEM-1","issue":"4-6","issued":{"date-parts":[["2000"]]},"page":"683-693","title":"Inequality, Growth and Development: Democratization or Repression?","type":"article-journal","volume":"44"},"uris":["http://www.mendeley.com/documents/?uuid=0f07343b-f004-48a2-beaf-3f2b8663c2f4"]}],"mendeley":{"formattedCitation":"[45]","plainTextFormattedCitation":"[45]","previouslyFormattedCitation":"[45]"},"properties":{"noteIndex":0},"schema":"https://github.com/citation-style-language/schema/raw/master/csl-citation.json"}</w:instrText>
      </w:r>
      <w:r w:rsidR="006B39AC">
        <w:fldChar w:fldCharType="separate"/>
      </w:r>
      <w:r w:rsidR="0039062D" w:rsidRPr="0039062D">
        <w:rPr>
          <w:noProof/>
        </w:rPr>
        <w:t>[45]</w:t>
      </w:r>
      <w:r w:rsidR="006B39AC">
        <w:fldChar w:fldCharType="end"/>
      </w:r>
      <w:r w:rsidR="00DF24AE" w:rsidRPr="00DF24AE">
        <w:t>.</w:t>
      </w:r>
    </w:p>
    <w:p w:rsidR="00DF24AE" w:rsidRDefault="00DF24AE" w:rsidP="00DF24AE">
      <w:pPr>
        <w:pStyle w:val="TeksIsi"/>
      </w:pPr>
      <w:r w:rsidRPr="00DF24AE">
        <w:t xml:space="preserve">The agrarian movement in Indonesia also shows a similar pattern. Various mobilization efforts carried out by the agrarian movement, especially in its disruptive </w:t>
      </w:r>
      <w:r w:rsidR="00B63AD5">
        <w:t>forms</w:t>
      </w:r>
      <w:r w:rsidRPr="00DF24AE">
        <w:t>, such as demonstrations, land occupations, theatrical actions, to debates with security forces and local officials, forced the elite to listen and accommodate some of the movement's demands which in turn expanded the democratic space at the local level. The accommodations may be small concessions or victories</w:t>
      </w:r>
      <w:r w:rsidR="008153FD">
        <w:t>. However, the</w:t>
      </w:r>
      <w:r w:rsidRPr="00DF24AE">
        <w:t xml:space="preserve"> overall effect of these accommodations is the expansion and deepening of democratic space at the local level—one thing that could be said to have been absent throughout the New Order era. It can be said that this is a fairly fundamental change.</w:t>
      </w:r>
    </w:p>
    <w:p w:rsidR="00DF24AE" w:rsidRDefault="00DF24AE" w:rsidP="00DF24AE">
      <w:pPr>
        <w:pStyle w:val="TeksIsi"/>
      </w:pPr>
      <w:r w:rsidRPr="00DF24AE">
        <w:t xml:space="preserve">However, we still need to provide </w:t>
      </w:r>
      <w:r w:rsidR="008153FD">
        <w:t>several</w:t>
      </w:r>
      <w:r w:rsidRPr="00DF24AE">
        <w:t xml:space="preserve"> notes for these achievements, because practically</w:t>
      </w:r>
      <w:r w:rsidR="00B63AD5">
        <w:t>,</w:t>
      </w:r>
      <w:r w:rsidRPr="00DF24AE">
        <w:t xml:space="preserve"> there has been no radical change in the realm of agrarian policy, especially in terms of inequality in land tenure and rural production resources. </w:t>
      </w:r>
      <w:r w:rsidR="008153FD">
        <w:t>Some</w:t>
      </w:r>
      <w:r w:rsidRPr="00DF24AE">
        <w:t xml:space="preserve"> policies referred to as “agrarian reform policies”, </w:t>
      </w:r>
      <w:r w:rsidR="008153FD">
        <w:t>such as</w:t>
      </w:r>
      <w:r w:rsidRPr="00DF24AE">
        <w:t xml:space="preserve"> land titling (which started </w:t>
      </w:r>
      <w:r w:rsidR="00B63AD5">
        <w:t>in</w:t>
      </w:r>
      <w:r w:rsidRPr="00DF24AE">
        <w:t xml:space="preserve"> the </w:t>
      </w:r>
      <w:proofErr w:type="spellStart"/>
      <w:r w:rsidRPr="00DF24AE">
        <w:t>Susilo</w:t>
      </w:r>
      <w:proofErr w:type="spellEnd"/>
      <w:r w:rsidRPr="00DF24AE">
        <w:t xml:space="preserve"> Bambang </w:t>
      </w:r>
      <w:proofErr w:type="spellStart"/>
      <w:r w:rsidRPr="00DF24AE">
        <w:t>Yudhoyono</w:t>
      </w:r>
      <w:proofErr w:type="spellEnd"/>
      <w:r w:rsidRPr="00DF24AE">
        <w:t xml:space="preserve"> administration) and social forestry, are more moderate than radical. The legalization of individual land ownership by farming households without collective control from the community itself is prone to paving the way for </w:t>
      </w:r>
      <w:r w:rsidR="008153FD">
        <w:t>transforming</w:t>
      </w:r>
      <w:r w:rsidRPr="00DF24AE">
        <w:t xml:space="preserve"> people's land into a land market dominated by large corporations</w:t>
      </w:r>
      <w:r w:rsidR="006B39AC">
        <w:t xml:space="preserve"> </w:t>
      </w:r>
      <w:r w:rsidR="006B39AC">
        <w:fldChar w:fldCharType="begin" w:fldLock="1"/>
      </w:r>
      <w:r w:rsidR="0039062D">
        <w:instrText>ADDIN CSL_CITATION {"citationItems":[{"id":"ITEM-1","itemData":{"DOI":"10.1080/03066150.2012.691879","ISSN":"03066150","abstract":"The contributions to this collection use the tools of agrarian political economy to explore the rapid growth and complex dynamics of large-scale land deals in recent years, with a special focus on the implications of big land deals for property and labour regimes, labour processes and structures of accumulation. The first part of this introductory essay examines the implications of this agrarian political economy perspective. First we explore the continuities and contrasts between historical and contemporary land grabs, before examining the core underlying debate around large- versus small-scale farming futures. Next, we unpack the diverse contexts and causes of land grabbing today, highlighting six overlapping mechanisms. The following section turns to assessing the crisis narratives that frame the justifications for land deals, and the flaws in the argument around there being excess, empty or idle land available. Next the paper turns to an examination of the impacts of land deals, and the processes of inclusion and exclusion at play, before looking at patterns of resistance and constructions of alternatives. The final section introduces the papers in the collection. © 2012 Copyright Taylor and Francis Group, LLC.","author":[{"dropping-particle":"","family":"White","given":"Ben","non-dropping-particle":"","parse-names":false,"suffix":""},{"dropping-particle":"","family":"Borras","given":"Saturnino M.","non-dropping-particle":"","parse-names":false,"suffix":""},{"dropping-particle":"","family":"Hall","given":"Ruth","non-dropping-particle":"","parse-names":false,"suffix":""},{"dropping-particle":"","family":"Scoones","given":"Ian","non-dropping-particle":"","parse-names":false,"suffix":""},{"dropping-particle":"","family":"Wolford","given":"Wendy","non-dropping-particle":"","parse-names":false,"suffix":""}],"container-title":"Journal of Peasant Studies","id":"ITEM-1","issue":"3-4","issued":{"date-parts":[["2012"]]},"page":"619-647","title":"The New Enclosures: Critical Perspectives on Corporate Land Deals","type":"article-journal","volume":"39"},"uris":["http://www.mendeley.com/documents/?uuid=032715ad-087d-4c49-a2f5-80d895938e27"]}],"mendeley":{"formattedCitation":"[43]","plainTextFormattedCitation":"[43]","previouslyFormattedCitation":"[43]"},"properties":{"noteIndex":0},"schema":"https://github.com/citation-style-language/schema/raw/master/csl-citation.json"}</w:instrText>
      </w:r>
      <w:r w:rsidR="006B39AC">
        <w:fldChar w:fldCharType="separate"/>
      </w:r>
      <w:r w:rsidR="0039062D" w:rsidRPr="0039062D">
        <w:rPr>
          <w:noProof/>
        </w:rPr>
        <w:t>[43]</w:t>
      </w:r>
      <w:r w:rsidR="006B39AC">
        <w:fldChar w:fldCharType="end"/>
      </w:r>
      <w:r w:rsidRPr="00DF24AE">
        <w:t>.</w:t>
      </w:r>
    </w:p>
    <w:p w:rsidR="00DF24AE" w:rsidRDefault="00DF24AE" w:rsidP="00DF24AE">
      <w:pPr>
        <w:pStyle w:val="TeksIsi"/>
      </w:pPr>
      <w:r w:rsidRPr="00DF24AE">
        <w:t xml:space="preserve">Then, schemes such as social forestry also </w:t>
      </w:r>
      <w:r w:rsidR="00C85E6F">
        <w:t>can</w:t>
      </w:r>
      <w:r w:rsidRPr="00DF24AE">
        <w:t xml:space="preserve"> reduce political issues regarding forest land management to mere technical issues—a process that Tania Li calls “rendering technical”</w:t>
      </w:r>
      <w:r w:rsidR="006B39AC">
        <w:fldChar w:fldCharType="begin" w:fldLock="1"/>
      </w:r>
      <w:r w:rsidR="0039062D">
        <w:instrText>ADDIN CSL_CITATION {"citationItems":[{"id":"ITEM-1","itemData":{"DOI":"10.1515/9780822389781","ISBN":"9780822389781","abstract":"Predicting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approach.","author":[{"dropping-particle":"","family":"Li","given":"Tania","non-dropping-particle":"","parse-names":false,"suffix":""}],"id":"ITEM-1","issued":{"date-parts":[["2007"]]},"publisher":"Duke University Press","publisher-place":"Durham","title":"The Will to Improve? Governmentality, Development, and the Practice of Politics","type":"book"},"uris":["http://www.mendeley.com/documents/?uuid=79ff5913-50f7-4547-be39-ce5da9993b22"]}],"mendeley":{"formattedCitation":"[46]","plainTextFormattedCitation":"[46]","previouslyFormattedCitation":"[46]"},"properties":{"noteIndex":0},"schema":"https://github.com/citation-style-language/schema/raw/master/csl-citation.json"}</w:instrText>
      </w:r>
      <w:r w:rsidR="006B39AC">
        <w:fldChar w:fldCharType="separate"/>
      </w:r>
      <w:r w:rsidR="0039062D" w:rsidRPr="0039062D">
        <w:rPr>
          <w:noProof/>
        </w:rPr>
        <w:t>[46]</w:t>
      </w:r>
      <w:r w:rsidR="006B39AC">
        <w:fldChar w:fldCharType="end"/>
      </w:r>
      <w:r w:rsidR="006B39AC">
        <w:t xml:space="preserve">. </w:t>
      </w:r>
      <w:r w:rsidRPr="00DF24AE">
        <w:t xml:space="preserve"> Schemes that can target agrarian issues more fundamentally are not only focused on the implementation of land certification and social forestry but also require the implementation of </w:t>
      </w:r>
      <w:r w:rsidR="008153FD">
        <w:t>many</w:t>
      </w:r>
      <w:r w:rsidRPr="00DF24AE">
        <w:t xml:space="preserve"> other policies, such as the resolution of cases of agrarian conflicts and land grabbing, control over corporate activities</w:t>
      </w:r>
      <w:r w:rsidR="00B63AD5">
        <w:t>,</w:t>
      </w:r>
      <w:r w:rsidRPr="00DF24AE">
        <w:t xml:space="preserve"> and suppression of investment in the regions</w:t>
      </w:r>
      <w:r w:rsidR="00B63AD5">
        <w:t>. The rural</w:t>
      </w:r>
      <w:r w:rsidRPr="00DF24AE">
        <w:t xml:space="preserve"> areas, a moratorium on the issuance of HGU permits, </w:t>
      </w:r>
      <w:r w:rsidR="008153FD">
        <w:t>and</w:t>
      </w:r>
      <w:r w:rsidRPr="00DF24AE">
        <w:t xml:space="preserve"> government assistance for collective farm production and distribution schemes driven autonomously by the agrarian movement.</w:t>
      </w:r>
    </w:p>
    <w:p w:rsidR="00DF24AE" w:rsidRDefault="00DF24AE" w:rsidP="00DF24AE">
      <w:pPr>
        <w:pStyle w:val="TeksIsi"/>
      </w:pPr>
      <w:r w:rsidRPr="00DF24AE">
        <w:t xml:space="preserve">In other words, the influence of the agrarian movement on </w:t>
      </w:r>
      <w:r w:rsidR="008153FD">
        <w:t>agricultural</w:t>
      </w:r>
      <w:r w:rsidRPr="00DF24AE">
        <w:t xml:space="preserve"> policy in post-New Order Indonesia—despite myopia and the hallucinations of some of its activists—still seems limited. The agrarian movement has made </w:t>
      </w:r>
      <w:r w:rsidR="008153FD">
        <w:t>many</w:t>
      </w:r>
      <w:r w:rsidRPr="00DF24AE">
        <w:t xml:space="preserve"> significant achievements, but the impetus for implementing one main agrarian movement agenda, namely agrarian reform from below with significant redistribution elements, is still very limited. The benchmark is clear: so far</w:t>
      </w:r>
      <w:r w:rsidR="00B63AD5">
        <w:t>,</w:t>
      </w:r>
      <w:r w:rsidRPr="00DF24AE">
        <w:t xml:space="preserve"> there is no agrarian reform agenda commensurate with the campaign and implementation of agrarian reform in the Old Order era in terms of scope, speed of implementation, and socialist-populist </w:t>
      </w:r>
      <w:r w:rsidRPr="00DF24AE">
        <w:t xml:space="preserve">spirit. At the national level, the agrarian movement is more successful in encouraging a policy to be discussed by </w:t>
      </w:r>
      <w:r w:rsidR="00B63AD5">
        <w:t>policymakers</w:t>
      </w:r>
      <w:r w:rsidRPr="00DF24AE">
        <w:t xml:space="preserve"> and related parties but has not been very successful in ensuring that the policy is implemented properly and consistently.</w:t>
      </w:r>
    </w:p>
    <w:p w:rsidR="00DF24AE" w:rsidRDefault="00DF24AE" w:rsidP="00DF24AE">
      <w:pPr>
        <w:pStyle w:val="TeksIsi"/>
      </w:pPr>
      <w:r>
        <w:t xml:space="preserve">However, at least in some aspects, we can say that the agrarian movement has contributed positively to deepening and improving the quality of Indonesian democracy, especially at the local level. First, the agrarian movement </w:t>
      </w:r>
      <w:r w:rsidR="008153FD">
        <w:t>returned</w:t>
      </w:r>
      <w:r>
        <w:t xml:space="preserve"> the discourse on agrarian and ecological justice and agrarian reform into Indonesian politics. Second, </w:t>
      </w:r>
      <w:r w:rsidR="008153FD">
        <w:t xml:space="preserve">the agrarian movement's </w:t>
      </w:r>
      <w:r>
        <w:t xml:space="preserve">various mobilization and advocacy efforts have also </w:t>
      </w:r>
      <w:r w:rsidR="00C85E6F">
        <w:t>increased</w:t>
      </w:r>
      <w:r>
        <w:t xml:space="preserve"> citizen participation, especially among the agricultural working class, in local democratic processes.</w:t>
      </w:r>
    </w:p>
    <w:p w:rsidR="00DF24AE" w:rsidRDefault="00DF24AE" w:rsidP="00DF24AE">
      <w:pPr>
        <w:pStyle w:val="TeksIsi"/>
      </w:pPr>
      <w:r>
        <w:t xml:space="preserve">Third, through mobilization and advocacy efforts, the agrarian movement </w:t>
      </w:r>
      <w:r w:rsidR="008153FD">
        <w:t>helps counter</w:t>
      </w:r>
      <w:r>
        <w:t xml:space="preserve"> authoritarian tendencies at the local level. Fourth, by raising agrarian issues and the rights of farmers and other marginalized villagers, the agrarian movement enriches the discourse on democracy in Indonesia beyond the conceptualization of liberal democracy</w:t>
      </w:r>
      <w:r w:rsidR="008153FD">
        <w:t>, which emphasizes</w:t>
      </w:r>
      <w:r>
        <w:t xml:space="preserve"> only civil and political rights. Thus, the agrarian movement also contributes to democratizing class relations in Indonesia, where electoral democracy is still heavily characterized by oligarchic and patron-</w:t>
      </w:r>
      <w:proofErr w:type="spellStart"/>
      <w:r>
        <w:t>clientelistic</w:t>
      </w:r>
      <w:proofErr w:type="spellEnd"/>
      <w:r>
        <w:t xml:space="preserve"> political processes and sharp </w:t>
      </w:r>
      <w:r w:rsidR="00B63AD5">
        <w:t>socioeconomic</w:t>
      </w:r>
      <w:r>
        <w:t xml:space="preserve"> </w:t>
      </w:r>
      <w:proofErr w:type="gramStart"/>
      <w:r>
        <w:t>disparities</w:t>
      </w:r>
      <w:r w:rsidR="00C706B3">
        <w:t xml:space="preserve"> </w:t>
      </w:r>
      <w:r w:rsidR="001C75C2">
        <w:fldChar w:fldCharType="begin" w:fldLock="1"/>
      </w:r>
      <w:r w:rsidR="001C75C2">
        <w:instrText>ADDIN CSL_CITATION {"citationItems":[{"id":"ITEM-1","itemData":{"DOI":"10.20473/mkp.v34i42021.417-430","ISSN":"2086-7050","abstract":"Intense competition in the regional head election (Pilkada) has implications for the increasing costs that candidates have to prepare to win the competition. The high cost in the regional head election makes many regional heads, when elected, commit political corruption and practices that are more adapted to the situation, namely the new styles of clientelism. This study aims to determine the shift in the relationship between political corruption and clientelism and to see new forms of clientelism. The approach used in this research was a literature study. Documents were selected using an application from the Publish or Perish database. The results of this study indicate that first, the power of money in politics in Indonesia creates a significant dependence on economic power, which influences a high level of political corruption. Second, there are two new styles of clientelism, including buying and selling votes and patronage in the bureaucracy. This paper concludes that the various modes of political corruption and new styles of clientelism that occur underline political vulnerabilities at the local level due to the broad elaboration of regional authority discretion.","author":[{"dropping-particle":"","family":"Habibi","given":"Muhammad","non-dropping-particle":"","parse-names":false,"suffix":""}],"container-title":"Masyarakat, Kebudayaan dan Politik","id":"ITEM-1","issue":"4","issued":{"date-parts":[["2021"]]},"page":"417-430","title":"A regional head election’s political corruption and new styles of clientelism","type":"article-journal","volume":"34"},"uris":["http://www.mendeley.com/documents/?uuid=4a4b62de-fd66-41cd-876b-54499341d524"]}],"mendeley":{"formattedCitation":"[47]","plainTextFormattedCitation":"[47]"},"properties":{"noteIndex":0},"schema":"https://github.com/citation-style-language/schema/raw/master/csl-citation.json"}</w:instrText>
      </w:r>
      <w:r w:rsidR="001C75C2">
        <w:fldChar w:fldCharType="separate"/>
      </w:r>
      <w:r w:rsidR="001C75C2" w:rsidRPr="001C75C2">
        <w:rPr>
          <w:noProof/>
        </w:rPr>
        <w:t>[47]</w:t>
      </w:r>
      <w:r w:rsidR="001C75C2">
        <w:fldChar w:fldCharType="end"/>
      </w:r>
      <w:r>
        <w:t>.</w:t>
      </w:r>
      <w:proofErr w:type="gramEnd"/>
    </w:p>
    <w:p w:rsidR="008A55B5" w:rsidRPr="001D7D8E" w:rsidRDefault="001D7D8E" w:rsidP="00CB1404">
      <w:pPr>
        <w:pStyle w:val="Judul1"/>
      </w:pPr>
      <w:r w:rsidRPr="001D7D8E">
        <w:t>Conclusion</w:t>
      </w:r>
    </w:p>
    <w:p w:rsidR="00DF24AE" w:rsidRDefault="00DF24AE" w:rsidP="001D7D8E">
      <w:pPr>
        <w:pStyle w:val="TeksIsi"/>
      </w:pPr>
      <w:r w:rsidRPr="00DF24AE">
        <w:t xml:space="preserve">There is a close relationship between agrarian issues and the future of democracy in Indonesia. </w:t>
      </w:r>
      <w:r w:rsidR="008153FD">
        <w:t>The</w:t>
      </w:r>
      <w:r w:rsidRPr="00DF24AE">
        <w:t xml:space="preserve"> results of this study can say that the "ghost" of agrarian issues continues to overshadow the trajectory of democracy in the future. </w:t>
      </w:r>
      <w:r w:rsidR="00C85E6F">
        <w:t>T</w:t>
      </w:r>
      <w:r w:rsidR="008153FD">
        <w:t xml:space="preserve">he agrarian movement </w:t>
      </w:r>
      <w:r w:rsidR="00C85E6F">
        <w:t>can</w:t>
      </w:r>
      <w:r w:rsidRPr="00DF24AE">
        <w:t xml:space="preserve"> respond to the challenges of the socio-ecological crisis and the deconsolidation of democracy that has been increasing recently. However, the agrarian movement requires more advanced policy and political prescriptions to carry out this task. The presentation in this article is one of the few initial steps to spark </w:t>
      </w:r>
      <w:r w:rsidR="00B63AD5">
        <w:t xml:space="preserve">a </w:t>
      </w:r>
      <w:r w:rsidRPr="00DF24AE">
        <w:t>debate that can help us answer that question.</w:t>
      </w:r>
    </w:p>
    <w:p w:rsidR="008A55B5" w:rsidRDefault="008A55B5">
      <w:pPr>
        <w:pStyle w:val="Judul5"/>
        <w:rPr>
          <w:rFonts w:eastAsia="MS Mincho"/>
        </w:rPr>
      </w:pPr>
      <w:r w:rsidRPr="001D7D8E">
        <w:rPr>
          <w:rFonts w:eastAsia="MS Mincho"/>
        </w:rPr>
        <w:t>References</w:t>
      </w:r>
    </w:p>
    <w:p w:rsidR="00825ACB" w:rsidRPr="00825ACB" w:rsidRDefault="00825ACB" w:rsidP="00825ACB">
      <w:pPr>
        <w:rPr>
          <w:rFonts w:eastAsia="MS Mincho"/>
        </w:rPr>
      </w:pPr>
    </w:p>
    <w:p w:rsidR="001C75C2" w:rsidRPr="001C75C2" w:rsidRDefault="004B1EDB" w:rsidP="00713099">
      <w:pPr>
        <w:widowControl w:val="0"/>
        <w:autoSpaceDE w:val="0"/>
        <w:autoSpaceDN w:val="0"/>
        <w:adjustRightInd w:val="0"/>
        <w:spacing w:after="120"/>
        <w:ind w:left="426" w:hanging="426"/>
        <w:jc w:val="both"/>
        <w:rPr>
          <w:noProof/>
          <w:sz w:val="16"/>
        </w:rPr>
      </w:pPr>
      <w:r w:rsidRPr="004B1EDB">
        <w:rPr>
          <w:sz w:val="16"/>
        </w:rPr>
        <w:fldChar w:fldCharType="begin" w:fldLock="1"/>
      </w:r>
      <w:r w:rsidRPr="004B1EDB">
        <w:rPr>
          <w:sz w:val="16"/>
        </w:rPr>
        <w:instrText xml:space="preserve">ADDIN Mendeley Bibliography CSL_BIBLIOGRAPHY </w:instrText>
      </w:r>
      <w:r w:rsidRPr="004B1EDB">
        <w:rPr>
          <w:sz w:val="16"/>
        </w:rPr>
        <w:fldChar w:fldCharType="separate"/>
      </w:r>
      <w:r w:rsidR="001C75C2" w:rsidRPr="001C75C2">
        <w:rPr>
          <w:noProof/>
          <w:sz w:val="16"/>
        </w:rPr>
        <w:t>[1]</w:t>
      </w:r>
      <w:r w:rsidR="001C75C2" w:rsidRPr="001C75C2">
        <w:rPr>
          <w:noProof/>
          <w:sz w:val="16"/>
        </w:rPr>
        <w:tab/>
        <w:t>D. Henley, “Agrarian Change and Diversity in the Light of Brookfield, Boserup and Malthus: Historical Illustrations from Sulawesi, Indonesia,” 2005.</w:t>
      </w:r>
    </w:p>
    <w:p w:rsidR="001C75C2" w:rsidRPr="001C75C2" w:rsidRDefault="001C75C2" w:rsidP="00713099">
      <w:pPr>
        <w:widowControl w:val="0"/>
        <w:autoSpaceDE w:val="0"/>
        <w:autoSpaceDN w:val="0"/>
        <w:adjustRightInd w:val="0"/>
        <w:spacing w:after="120"/>
        <w:ind w:left="426" w:hanging="426"/>
        <w:jc w:val="both"/>
        <w:rPr>
          <w:noProof/>
          <w:sz w:val="16"/>
        </w:rPr>
      </w:pPr>
      <w:r w:rsidRPr="001C75C2">
        <w:rPr>
          <w:noProof/>
          <w:sz w:val="16"/>
        </w:rPr>
        <w:t>[2]</w:t>
      </w:r>
      <w:r w:rsidRPr="001C75C2">
        <w:rPr>
          <w:noProof/>
          <w:sz w:val="16"/>
        </w:rPr>
        <w:tab/>
        <w:t xml:space="preserve">N. L. Peluso, S. Afiff, and N. F. Rachman, “Claiming the Grounds for Reform: Agrarian and Environmental Movements in Indonesia,” </w:t>
      </w:r>
      <w:r w:rsidRPr="001C75C2">
        <w:rPr>
          <w:i/>
          <w:iCs/>
          <w:noProof/>
          <w:sz w:val="16"/>
        </w:rPr>
        <w:t>Transnatl. Agrar. Movements Confronting Glob.</w:t>
      </w:r>
      <w:r w:rsidRPr="001C75C2">
        <w:rPr>
          <w:noProof/>
          <w:sz w:val="16"/>
        </w:rPr>
        <w:t>, pp. 209–238, 2009, doi: 10.1002/9781444307191.ch8.</w:t>
      </w:r>
    </w:p>
    <w:p w:rsidR="001C75C2" w:rsidRPr="001C75C2" w:rsidRDefault="001C75C2" w:rsidP="00713099">
      <w:pPr>
        <w:widowControl w:val="0"/>
        <w:autoSpaceDE w:val="0"/>
        <w:autoSpaceDN w:val="0"/>
        <w:adjustRightInd w:val="0"/>
        <w:spacing w:after="120"/>
        <w:ind w:left="426" w:hanging="426"/>
        <w:jc w:val="both"/>
        <w:rPr>
          <w:noProof/>
          <w:sz w:val="16"/>
        </w:rPr>
      </w:pPr>
      <w:r w:rsidRPr="001C75C2">
        <w:rPr>
          <w:noProof/>
          <w:sz w:val="16"/>
        </w:rPr>
        <w:t>[3]</w:t>
      </w:r>
      <w:r w:rsidRPr="001C75C2">
        <w:rPr>
          <w:noProof/>
          <w:sz w:val="16"/>
        </w:rPr>
        <w:tab/>
        <w:t xml:space="preserve">J. Nerenberg, “‘Start from the Garden’: Distribution, Livelihood Diversification and Narratives of Agrarian Decline in Papua, Indonesia,” </w:t>
      </w:r>
      <w:r w:rsidRPr="001C75C2">
        <w:rPr>
          <w:i/>
          <w:iCs/>
          <w:noProof/>
          <w:sz w:val="16"/>
        </w:rPr>
        <w:t>Dev. Change</w:t>
      </w:r>
      <w:r w:rsidRPr="001C75C2">
        <w:rPr>
          <w:noProof/>
          <w:sz w:val="16"/>
        </w:rPr>
        <w:t>, pp. 1–23, 2021, doi: 10.1111/dech.12691.</w:t>
      </w:r>
    </w:p>
    <w:p w:rsidR="001C75C2" w:rsidRPr="001C75C2" w:rsidRDefault="001C75C2" w:rsidP="00713099">
      <w:pPr>
        <w:widowControl w:val="0"/>
        <w:autoSpaceDE w:val="0"/>
        <w:autoSpaceDN w:val="0"/>
        <w:adjustRightInd w:val="0"/>
        <w:spacing w:after="120"/>
        <w:ind w:left="426" w:hanging="426"/>
        <w:jc w:val="both"/>
        <w:rPr>
          <w:noProof/>
          <w:sz w:val="16"/>
        </w:rPr>
      </w:pPr>
      <w:r w:rsidRPr="001C75C2">
        <w:rPr>
          <w:noProof/>
          <w:sz w:val="16"/>
        </w:rPr>
        <w:t>[4]</w:t>
      </w:r>
      <w:r w:rsidRPr="001C75C2">
        <w:rPr>
          <w:noProof/>
          <w:sz w:val="16"/>
        </w:rPr>
        <w:tab/>
        <w:t xml:space="preserve">M. Sadyohutomo, “The Benefits of an Agrarian Reform Model in Indonesia,” in </w:t>
      </w:r>
      <w:r w:rsidRPr="001C75C2">
        <w:rPr>
          <w:i/>
          <w:iCs/>
          <w:noProof/>
          <w:sz w:val="16"/>
        </w:rPr>
        <w:t>IOP Conference Series: Earth and Environmental Science</w:t>
      </w:r>
      <w:r w:rsidRPr="001C75C2">
        <w:rPr>
          <w:noProof/>
          <w:sz w:val="16"/>
        </w:rPr>
        <w:t>, 2018, vol. 202, no. 1, doi: 10.1088/1755-1315/202/1/012030.</w:t>
      </w:r>
    </w:p>
    <w:p w:rsidR="001C75C2" w:rsidRPr="001C75C2" w:rsidRDefault="001C75C2" w:rsidP="00713099">
      <w:pPr>
        <w:widowControl w:val="0"/>
        <w:autoSpaceDE w:val="0"/>
        <w:autoSpaceDN w:val="0"/>
        <w:adjustRightInd w:val="0"/>
        <w:spacing w:after="120"/>
        <w:ind w:left="426" w:hanging="426"/>
        <w:jc w:val="both"/>
        <w:rPr>
          <w:noProof/>
          <w:sz w:val="16"/>
        </w:rPr>
      </w:pPr>
      <w:r w:rsidRPr="001C75C2">
        <w:rPr>
          <w:noProof/>
          <w:sz w:val="16"/>
        </w:rPr>
        <w:t>[5]</w:t>
      </w:r>
      <w:r w:rsidRPr="001C75C2">
        <w:rPr>
          <w:noProof/>
          <w:sz w:val="16"/>
        </w:rPr>
        <w:tab/>
        <w:t xml:space="preserve">J. Fox, “The Challenge of Rural Democratization: Perspectives From Latin America and the Philippines,” </w:t>
      </w:r>
      <w:r w:rsidRPr="001C75C2">
        <w:rPr>
          <w:i/>
          <w:iCs/>
          <w:noProof/>
          <w:sz w:val="16"/>
        </w:rPr>
        <w:t>J. Dev. Stud.</w:t>
      </w:r>
      <w:r w:rsidRPr="001C75C2">
        <w:rPr>
          <w:noProof/>
          <w:sz w:val="16"/>
        </w:rPr>
        <w:t>, vol. 26, no. 4, pp. 1–18, 1990, doi: 10.4324/9781315827896.</w:t>
      </w:r>
    </w:p>
    <w:p w:rsidR="001C75C2" w:rsidRPr="001C75C2" w:rsidRDefault="001C75C2" w:rsidP="00713099">
      <w:pPr>
        <w:widowControl w:val="0"/>
        <w:autoSpaceDE w:val="0"/>
        <w:autoSpaceDN w:val="0"/>
        <w:adjustRightInd w:val="0"/>
        <w:spacing w:after="120"/>
        <w:ind w:left="426" w:hanging="426"/>
        <w:jc w:val="both"/>
        <w:rPr>
          <w:noProof/>
          <w:sz w:val="16"/>
        </w:rPr>
      </w:pPr>
      <w:r w:rsidRPr="001C75C2">
        <w:rPr>
          <w:noProof/>
          <w:sz w:val="16"/>
        </w:rPr>
        <w:t>[6]</w:t>
      </w:r>
      <w:r w:rsidRPr="001C75C2">
        <w:rPr>
          <w:noProof/>
          <w:sz w:val="16"/>
        </w:rPr>
        <w:tab/>
        <w:t xml:space="preserve">H. Setiawan, “Military and Control of Land Resources? Conflict TNI </w:t>
      </w:r>
      <w:r w:rsidRPr="001C75C2">
        <w:rPr>
          <w:noProof/>
          <w:sz w:val="16"/>
        </w:rPr>
        <w:lastRenderedPageBreak/>
        <w:t xml:space="preserve">and Magelang City Government,” </w:t>
      </w:r>
      <w:r w:rsidRPr="001C75C2">
        <w:rPr>
          <w:i/>
          <w:iCs/>
          <w:noProof/>
          <w:sz w:val="16"/>
        </w:rPr>
        <w:t>J. Gov. Polit. Issues</w:t>
      </w:r>
      <w:r w:rsidRPr="001C75C2">
        <w:rPr>
          <w:noProof/>
          <w:sz w:val="16"/>
        </w:rPr>
        <w:t>, vol. 1, no. 1, pp. 1–14, 2021, doi: 10.53341/jgpi.v1i1.4.</w:t>
      </w:r>
    </w:p>
    <w:p w:rsidR="001C75C2" w:rsidRPr="001C75C2" w:rsidRDefault="001C75C2" w:rsidP="00713099">
      <w:pPr>
        <w:widowControl w:val="0"/>
        <w:autoSpaceDE w:val="0"/>
        <w:autoSpaceDN w:val="0"/>
        <w:adjustRightInd w:val="0"/>
        <w:spacing w:after="120"/>
        <w:ind w:left="426" w:hanging="426"/>
        <w:jc w:val="both"/>
        <w:rPr>
          <w:noProof/>
          <w:sz w:val="16"/>
        </w:rPr>
      </w:pPr>
      <w:r w:rsidRPr="001C75C2">
        <w:rPr>
          <w:noProof/>
          <w:sz w:val="16"/>
        </w:rPr>
        <w:t>[7]</w:t>
      </w:r>
      <w:r w:rsidRPr="001C75C2">
        <w:rPr>
          <w:noProof/>
          <w:sz w:val="16"/>
        </w:rPr>
        <w:tab/>
        <w:t xml:space="preserve">J. J. Linz and A. Stepan, “Toward Consolidated Democracies,” </w:t>
      </w:r>
      <w:r w:rsidRPr="001C75C2">
        <w:rPr>
          <w:i/>
          <w:iCs/>
          <w:noProof/>
          <w:sz w:val="16"/>
        </w:rPr>
        <w:t>J. Democr.</w:t>
      </w:r>
      <w:r w:rsidRPr="001C75C2">
        <w:rPr>
          <w:noProof/>
          <w:sz w:val="16"/>
        </w:rPr>
        <w:t>, vol. 7, no. 2, pp. 1–13, 1996, doi: 10.1353/jod.1996.0031.</w:t>
      </w:r>
    </w:p>
    <w:p w:rsidR="001C75C2" w:rsidRPr="001C75C2" w:rsidRDefault="001C75C2" w:rsidP="00713099">
      <w:pPr>
        <w:widowControl w:val="0"/>
        <w:autoSpaceDE w:val="0"/>
        <w:autoSpaceDN w:val="0"/>
        <w:adjustRightInd w:val="0"/>
        <w:spacing w:after="120"/>
        <w:ind w:left="426" w:hanging="426"/>
        <w:jc w:val="both"/>
        <w:rPr>
          <w:noProof/>
          <w:sz w:val="16"/>
        </w:rPr>
      </w:pPr>
      <w:r w:rsidRPr="001C75C2">
        <w:rPr>
          <w:noProof/>
          <w:sz w:val="16"/>
        </w:rPr>
        <w:t>[8]</w:t>
      </w:r>
      <w:r w:rsidRPr="001C75C2">
        <w:rPr>
          <w:noProof/>
          <w:sz w:val="16"/>
        </w:rPr>
        <w:tab/>
        <w:t xml:space="preserve">J. T. Sidel, “Economic Foundations of Subnational Authoritarianism: Insights and Evidence from Qualitative and Quantitative Research,” </w:t>
      </w:r>
      <w:r w:rsidRPr="001C75C2">
        <w:rPr>
          <w:i/>
          <w:iCs/>
          <w:noProof/>
          <w:sz w:val="16"/>
        </w:rPr>
        <w:t>Democratization</w:t>
      </w:r>
      <w:r w:rsidRPr="001C75C2">
        <w:rPr>
          <w:noProof/>
          <w:sz w:val="16"/>
        </w:rPr>
        <w:t>, vol. 21, no. 1, pp. 161–184, 2014, doi: 10.1080/13510347.2012.725725.</w:t>
      </w:r>
    </w:p>
    <w:p w:rsidR="001C75C2" w:rsidRPr="001C75C2" w:rsidRDefault="001C75C2" w:rsidP="00713099">
      <w:pPr>
        <w:widowControl w:val="0"/>
        <w:autoSpaceDE w:val="0"/>
        <w:autoSpaceDN w:val="0"/>
        <w:adjustRightInd w:val="0"/>
        <w:spacing w:after="120"/>
        <w:ind w:left="426" w:hanging="426"/>
        <w:jc w:val="both"/>
        <w:rPr>
          <w:noProof/>
          <w:sz w:val="16"/>
        </w:rPr>
      </w:pPr>
      <w:r w:rsidRPr="001C75C2">
        <w:rPr>
          <w:noProof/>
          <w:sz w:val="16"/>
        </w:rPr>
        <w:t>[9]</w:t>
      </w:r>
      <w:r w:rsidRPr="001C75C2">
        <w:rPr>
          <w:noProof/>
          <w:sz w:val="16"/>
        </w:rPr>
        <w:tab/>
        <w:t>N. J. van Eck and L. Waltman, “VOSviewer Manual,” 2021.</w:t>
      </w:r>
    </w:p>
    <w:p w:rsidR="001C75C2" w:rsidRPr="001C75C2" w:rsidRDefault="001C75C2" w:rsidP="00713099">
      <w:pPr>
        <w:widowControl w:val="0"/>
        <w:autoSpaceDE w:val="0"/>
        <w:autoSpaceDN w:val="0"/>
        <w:adjustRightInd w:val="0"/>
        <w:spacing w:after="120"/>
        <w:ind w:left="426" w:hanging="426"/>
        <w:jc w:val="both"/>
        <w:rPr>
          <w:noProof/>
          <w:sz w:val="16"/>
        </w:rPr>
      </w:pPr>
      <w:r w:rsidRPr="001C75C2">
        <w:rPr>
          <w:noProof/>
          <w:sz w:val="16"/>
        </w:rPr>
        <w:t>[10]</w:t>
      </w:r>
      <w:r w:rsidRPr="001C75C2">
        <w:rPr>
          <w:noProof/>
          <w:sz w:val="16"/>
        </w:rPr>
        <w:tab/>
        <w:t xml:space="preserve">H. Bersntein, </w:t>
      </w:r>
      <w:r w:rsidRPr="001C75C2">
        <w:rPr>
          <w:i/>
          <w:iCs/>
          <w:noProof/>
          <w:sz w:val="16"/>
        </w:rPr>
        <w:t>Class Dynamics of Agrarian Change</w:t>
      </w:r>
      <w:r w:rsidRPr="001C75C2">
        <w:rPr>
          <w:noProof/>
          <w:sz w:val="16"/>
        </w:rPr>
        <w:t>. Halifax: Fernwood, 2010.</w:t>
      </w:r>
    </w:p>
    <w:p w:rsidR="001C75C2" w:rsidRPr="001C75C2" w:rsidRDefault="001C75C2" w:rsidP="00713099">
      <w:pPr>
        <w:widowControl w:val="0"/>
        <w:autoSpaceDE w:val="0"/>
        <w:autoSpaceDN w:val="0"/>
        <w:adjustRightInd w:val="0"/>
        <w:spacing w:after="120"/>
        <w:ind w:left="426" w:hanging="426"/>
        <w:jc w:val="both"/>
        <w:rPr>
          <w:noProof/>
          <w:sz w:val="16"/>
        </w:rPr>
      </w:pPr>
      <w:r w:rsidRPr="001C75C2">
        <w:rPr>
          <w:noProof/>
          <w:sz w:val="16"/>
        </w:rPr>
        <w:t>[11]</w:t>
      </w:r>
      <w:r w:rsidRPr="001C75C2">
        <w:rPr>
          <w:noProof/>
          <w:sz w:val="16"/>
        </w:rPr>
        <w:tab/>
        <w:t>F. Hagopian and S. Berger, “The Politics of Oligarchy: The Persistence of Traditional Elites in Contemporary Brazil,” Massachusetts Institute of Technology, 1986.</w:t>
      </w:r>
    </w:p>
    <w:p w:rsidR="001C75C2" w:rsidRPr="001C75C2" w:rsidRDefault="001C75C2" w:rsidP="00713099">
      <w:pPr>
        <w:widowControl w:val="0"/>
        <w:autoSpaceDE w:val="0"/>
        <w:autoSpaceDN w:val="0"/>
        <w:adjustRightInd w:val="0"/>
        <w:spacing w:after="120"/>
        <w:ind w:left="426" w:hanging="426"/>
        <w:jc w:val="both"/>
        <w:rPr>
          <w:noProof/>
          <w:sz w:val="16"/>
        </w:rPr>
      </w:pPr>
      <w:r w:rsidRPr="001C75C2">
        <w:rPr>
          <w:noProof/>
          <w:sz w:val="16"/>
        </w:rPr>
        <w:t>[12]</w:t>
      </w:r>
      <w:r w:rsidRPr="001C75C2">
        <w:rPr>
          <w:noProof/>
          <w:sz w:val="16"/>
        </w:rPr>
        <w:tab/>
        <w:t xml:space="preserve">J. T. Sidel, </w:t>
      </w:r>
      <w:r w:rsidRPr="001C75C2">
        <w:rPr>
          <w:i/>
          <w:iCs/>
          <w:noProof/>
          <w:sz w:val="16"/>
        </w:rPr>
        <w:t>Capital, Coercion, and Crime: Bossism in the Philippines</w:t>
      </w:r>
      <w:r w:rsidRPr="001C75C2">
        <w:rPr>
          <w:noProof/>
          <w:sz w:val="16"/>
        </w:rPr>
        <w:t>. Stanford: Stanford University Press, 1999.</w:t>
      </w:r>
    </w:p>
    <w:p w:rsidR="001C75C2" w:rsidRPr="001C75C2" w:rsidRDefault="001C75C2" w:rsidP="00713099">
      <w:pPr>
        <w:widowControl w:val="0"/>
        <w:autoSpaceDE w:val="0"/>
        <w:autoSpaceDN w:val="0"/>
        <w:adjustRightInd w:val="0"/>
        <w:spacing w:after="120"/>
        <w:ind w:left="426" w:hanging="426"/>
        <w:jc w:val="both"/>
        <w:rPr>
          <w:noProof/>
          <w:sz w:val="16"/>
        </w:rPr>
      </w:pPr>
      <w:r w:rsidRPr="001C75C2">
        <w:rPr>
          <w:noProof/>
          <w:sz w:val="16"/>
        </w:rPr>
        <w:t>[13]</w:t>
      </w:r>
      <w:r w:rsidRPr="001C75C2">
        <w:rPr>
          <w:noProof/>
          <w:sz w:val="16"/>
        </w:rPr>
        <w:tab/>
        <w:t>A. Usmani, “Essays on the Rise and Fall of Labor,” New York University, 2017.</w:t>
      </w:r>
    </w:p>
    <w:p w:rsidR="001C75C2" w:rsidRPr="001C75C2" w:rsidRDefault="001C75C2" w:rsidP="00713099">
      <w:pPr>
        <w:widowControl w:val="0"/>
        <w:autoSpaceDE w:val="0"/>
        <w:autoSpaceDN w:val="0"/>
        <w:adjustRightInd w:val="0"/>
        <w:spacing w:after="120"/>
        <w:ind w:left="426" w:hanging="426"/>
        <w:jc w:val="both"/>
        <w:rPr>
          <w:noProof/>
          <w:sz w:val="16"/>
        </w:rPr>
      </w:pPr>
      <w:r w:rsidRPr="001C75C2">
        <w:rPr>
          <w:noProof/>
          <w:sz w:val="16"/>
        </w:rPr>
        <w:t>[14]</w:t>
      </w:r>
      <w:r w:rsidRPr="001C75C2">
        <w:rPr>
          <w:noProof/>
          <w:sz w:val="16"/>
        </w:rPr>
        <w:tab/>
        <w:t xml:space="preserve">H. Bernstein, “Capital and Labour from Centre to Margins,” in </w:t>
      </w:r>
      <w:r w:rsidRPr="001C75C2">
        <w:rPr>
          <w:i/>
          <w:iCs/>
          <w:noProof/>
          <w:sz w:val="16"/>
        </w:rPr>
        <w:t>Living on the Margins</w:t>
      </w:r>
      <w:r w:rsidRPr="001C75C2">
        <w:rPr>
          <w:noProof/>
          <w:sz w:val="16"/>
        </w:rPr>
        <w:t>, 2007, pp. 1–11, [Online]. Available: http://citeseerx.ist.psu.edu/viewdoc/download?doi=10.1.1.464.2120&amp;rep=rep1&amp;type=pdf.</w:t>
      </w:r>
    </w:p>
    <w:p w:rsidR="001C75C2" w:rsidRPr="001C75C2" w:rsidRDefault="001C75C2" w:rsidP="00713099">
      <w:pPr>
        <w:widowControl w:val="0"/>
        <w:autoSpaceDE w:val="0"/>
        <w:autoSpaceDN w:val="0"/>
        <w:adjustRightInd w:val="0"/>
        <w:spacing w:after="120"/>
        <w:ind w:left="426" w:hanging="426"/>
        <w:jc w:val="both"/>
        <w:rPr>
          <w:noProof/>
          <w:sz w:val="16"/>
        </w:rPr>
      </w:pPr>
      <w:r w:rsidRPr="001C75C2">
        <w:rPr>
          <w:noProof/>
          <w:sz w:val="16"/>
        </w:rPr>
        <w:t>[15]</w:t>
      </w:r>
      <w:r w:rsidRPr="001C75C2">
        <w:rPr>
          <w:noProof/>
          <w:sz w:val="16"/>
        </w:rPr>
        <w:tab/>
        <w:t xml:space="preserve">D. Harvey, “The ‘New’ Imperialism: Accumulation by Dispessession,” </w:t>
      </w:r>
      <w:r w:rsidRPr="001C75C2">
        <w:rPr>
          <w:i/>
          <w:iCs/>
          <w:noProof/>
          <w:sz w:val="16"/>
        </w:rPr>
        <w:t>Soc. Regist.</w:t>
      </w:r>
      <w:r w:rsidRPr="001C75C2">
        <w:rPr>
          <w:noProof/>
          <w:sz w:val="16"/>
        </w:rPr>
        <w:t>, vol. 40, pp. 63–87, 2004, [Online]. Available: https://socialistregister.com/index.php/srv/article/view/5811.</w:t>
      </w:r>
    </w:p>
    <w:p w:rsidR="001C75C2" w:rsidRPr="001C75C2" w:rsidRDefault="001C75C2" w:rsidP="00713099">
      <w:pPr>
        <w:widowControl w:val="0"/>
        <w:autoSpaceDE w:val="0"/>
        <w:autoSpaceDN w:val="0"/>
        <w:adjustRightInd w:val="0"/>
        <w:spacing w:after="120"/>
        <w:ind w:left="426" w:hanging="426"/>
        <w:jc w:val="both"/>
        <w:rPr>
          <w:noProof/>
          <w:sz w:val="16"/>
        </w:rPr>
      </w:pPr>
      <w:r w:rsidRPr="001C75C2">
        <w:rPr>
          <w:noProof/>
          <w:sz w:val="16"/>
        </w:rPr>
        <w:t>[16]</w:t>
      </w:r>
      <w:r w:rsidRPr="001C75C2">
        <w:rPr>
          <w:noProof/>
          <w:sz w:val="16"/>
        </w:rPr>
        <w:tab/>
        <w:t xml:space="preserve">D. Harvey, </w:t>
      </w:r>
      <w:r w:rsidRPr="001C75C2">
        <w:rPr>
          <w:i/>
          <w:iCs/>
          <w:noProof/>
          <w:sz w:val="16"/>
        </w:rPr>
        <w:t>A Brief History of Neoliberalism</w:t>
      </w:r>
      <w:r w:rsidRPr="001C75C2">
        <w:rPr>
          <w:noProof/>
          <w:sz w:val="16"/>
        </w:rPr>
        <w:t>. New York: Oxford University Press, 2005.</w:t>
      </w:r>
    </w:p>
    <w:p w:rsidR="001C75C2" w:rsidRPr="001C75C2" w:rsidRDefault="001C75C2" w:rsidP="00713099">
      <w:pPr>
        <w:widowControl w:val="0"/>
        <w:autoSpaceDE w:val="0"/>
        <w:autoSpaceDN w:val="0"/>
        <w:adjustRightInd w:val="0"/>
        <w:spacing w:after="120"/>
        <w:ind w:left="426" w:hanging="426"/>
        <w:jc w:val="both"/>
        <w:rPr>
          <w:noProof/>
          <w:sz w:val="16"/>
        </w:rPr>
      </w:pPr>
      <w:r w:rsidRPr="001C75C2">
        <w:rPr>
          <w:noProof/>
          <w:sz w:val="16"/>
        </w:rPr>
        <w:t>[17]</w:t>
      </w:r>
      <w:r w:rsidRPr="001C75C2">
        <w:rPr>
          <w:noProof/>
          <w:sz w:val="16"/>
        </w:rPr>
        <w:tab/>
        <w:t xml:space="preserve">J. T. Sidel, “Primitive Accumulation and ‘Progress’ in Southeast Asia: The Diverse Legacies of a Common(s) Tragedy,” </w:t>
      </w:r>
      <w:r w:rsidRPr="001C75C2">
        <w:rPr>
          <w:i/>
          <w:iCs/>
          <w:noProof/>
          <w:sz w:val="16"/>
        </w:rPr>
        <w:t>TRaNS Trans-Regional -National Stud. Southeast Asia</w:t>
      </w:r>
      <w:r w:rsidRPr="001C75C2">
        <w:rPr>
          <w:noProof/>
          <w:sz w:val="16"/>
        </w:rPr>
        <w:t>, vol. 3, no. 1, pp. 5–23, 2015, doi: 10.1017/trn.2014.12.</w:t>
      </w:r>
    </w:p>
    <w:p w:rsidR="001C75C2" w:rsidRPr="001C75C2" w:rsidRDefault="001C75C2" w:rsidP="00713099">
      <w:pPr>
        <w:widowControl w:val="0"/>
        <w:autoSpaceDE w:val="0"/>
        <w:autoSpaceDN w:val="0"/>
        <w:adjustRightInd w:val="0"/>
        <w:spacing w:after="120"/>
        <w:ind w:left="426" w:hanging="426"/>
        <w:jc w:val="both"/>
        <w:rPr>
          <w:noProof/>
          <w:sz w:val="16"/>
        </w:rPr>
      </w:pPr>
      <w:r w:rsidRPr="001C75C2">
        <w:rPr>
          <w:noProof/>
          <w:sz w:val="16"/>
        </w:rPr>
        <w:t>[18]</w:t>
      </w:r>
      <w:r w:rsidRPr="001C75C2">
        <w:rPr>
          <w:noProof/>
          <w:sz w:val="16"/>
        </w:rPr>
        <w:tab/>
        <w:t xml:space="preserve">I. Scoones, M. Edelman, S. M. Borras, R. Hall, W. Wolford, and B. White, “Emancipatory Rural Politics: Confronting Authoritarian Populism,” </w:t>
      </w:r>
      <w:r w:rsidRPr="001C75C2">
        <w:rPr>
          <w:i/>
          <w:iCs/>
          <w:noProof/>
          <w:sz w:val="16"/>
        </w:rPr>
        <w:t>J. Peasant Stud.</w:t>
      </w:r>
      <w:r w:rsidRPr="001C75C2">
        <w:rPr>
          <w:noProof/>
          <w:sz w:val="16"/>
        </w:rPr>
        <w:t>, vol. 45, no. 1, pp. 1–20, 2018, doi: 10.1080/03066150.2017.1339693.</w:t>
      </w:r>
    </w:p>
    <w:p w:rsidR="001C75C2" w:rsidRPr="001C75C2" w:rsidRDefault="001C75C2" w:rsidP="00713099">
      <w:pPr>
        <w:widowControl w:val="0"/>
        <w:autoSpaceDE w:val="0"/>
        <w:autoSpaceDN w:val="0"/>
        <w:adjustRightInd w:val="0"/>
        <w:spacing w:after="120"/>
        <w:ind w:left="426" w:hanging="426"/>
        <w:jc w:val="both"/>
        <w:rPr>
          <w:noProof/>
          <w:sz w:val="16"/>
        </w:rPr>
      </w:pPr>
      <w:r w:rsidRPr="001C75C2">
        <w:rPr>
          <w:noProof/>
          <w:sz w:val="16"/>
        </w:rPr>
        <w:t>[19]</w:t>
      </w:r>
      <w:r w:rsidRPr="001C75C2">
        <w:rPr>
          <w:noProof/>
          <w:sz w:val="16"/>
        </w:rPr>
        <w:tab/>
        <w:t xml:space="preserve">R. Robison and V. R. Hadiz, </w:t>
      </w:r>
      <w:r w:rsidRPr="001C75C2">
        <w:rPr>
          <w:i/>
          <w:iCs/>
          <w:noProof/>
          <w:sz w:val="16"/>
        </w:rPr>
        <w:t>Reorganising Power in Indonesia: The Politics of Oligarchy in an Age of Markets</w:t>
      </w:r>
      <w:r w:rsidRPr="001C75C2">
        <w:rPr>
          <w:noProof/>
          <w:sz w:val="16"/>
        </w:rPr>
        <w:t>. London: RoutledgeCurzon, 2004.</w:t>
      </w:r>
    </w:p>
    <w:p w:rsidR="001C75C2" w:rsidRPr="001C75C2" w:rsidRDefault="001C75C2" w:rsidP="00713099">
      <w:pPr>
        <w:widowControl w:val="0"/>
        <w:autoSpaceDE w:val="0"/>
        <w:autoSpaceDN w:val="0"/>
        <w:adjustRightInd w:val="0"/>
        <w:spacing w:after="120"/>
        <w:ind w:left="426" w:hanging="426"/>
        <w:jc w:val="both"/>
        <w:rPr>
          <w:noProof/>
          <w:sz w:val="16"/>
        </w:rPr>
      </w:pPr>
      <w:r w:rsidRPr="001C75C2">
        <w:rPr>
          <w:noProof/>
          <w:sz w:val="16"/>
        </w:rPr>
        <w:t>[20]</w:t>
      </w:r>
      <w:r w:rsidRPr="001C75C2">
        <w:rPr>
          <w:noProof/>
          <w:sz w:val="16"/>
        </w:rPr>
        <w:tab/>
        <w:t xml:space="preserve">J. A. Winters, “Oligarchy and Democracy in Indonesia,” </w:t>
      </w:r>
      <w:r w:rsidRPr="001C75C2">
        <w:rPr>
          <w:i/>
          <w:iCs/>
          <w:noProof/>
          <w:sz w:val="16"/>
        </w:rPr>
        <w:t>Indonesia</w:t>
      </w:r>
      <w:r w:rsidRPr="001C75C2">
        <w:rPr>
          <w:noProof/>
          <w:sz w:val="16"/>
        </w:rPr>
        <w:t>, vol. 96, no. 1, pp. 11–33, 2013, doi: 10.1353/ind.2013.0017.</w:t>
      </w:r>
    </w:p>
    <w:p w:rsidR="001C75C2" w:rsidRPr="001C75C2" w:rsidRDefault="001C75C2" w:rsidP="00713099">
      <w:pPr>
        <w:widowControl w:val="0"/>
        <w:autoSpaceDE w:val="0"/>
        <w:autoSpaceDN w:val="0"/>
        <w:adjustRightInd w:val="0"/>
        <w:spacing w:after="120"/>
        <w:ind w:left="426" w:hanging="426"/>
        <w:jc w:val="both"/>
        <w:rPr>
          <w:noProof/>
          <w:sz w:val="16"/>
        </w:rPr>
      </w:pPr>
      <w:r w:rsidRPr="001C75C2">
        <w:rPr>
          <w:noProof/>
          <w:sz w:val="16"/>
        </w:rPr>
        <w:t>[21]</w:t>
      </w:r>
      <w:r w:rsidRPr="001C75C2">
        <w:rPr>
          <w:noProof/>
          <w:sz w:val="16"/>
        </w:rPr>
        <w:tab/>
        <w:t xml:space="preserve">G. R. Knight, “Peasant Labour and Capitalist Production in Late Colonial Indonesia: The ‘Campaign’ at a North Java Sugar Factory, 1840–70,” </w:t>
      </w:r>
      <w:r w:rsidRPr="001C75C2">
        <w:rPr>
          <w:i/>
          <w:iCs/>
          <w:noProof/>
          <w:sz w:val="16"/>
        </w:rPr>
        <w:t>J. Southeast Asian Stud.</w:t>
      </w:r>
      <w:r w:rsidRPr="001C75C2">
        <w:rPr>
          <w:noProof/>
          <w:sz w:val="16"/>
        </w:rPr>
        <w:t>, vol. 19, no. 2, pp. 245–265, 1988, doi: 10.1017/S0022463400000552.</w:t>
      </w:r>
    </w:p>
    <w:p w:rsidR="001C75C2" w:rsidRPr="001C75C2" w:rsidRDefault="001C75C2" w:rsidP="00713099">
      <w:pPr>
        <w:widowControl w:val="0"/>
        <w:autoSpaceDE w:val="0"/>
        <w:autoSpaceDN w:val="0"/>
        <w:adjustRightInd w:val="0"/>
        <w:spacing w:after="120"/>
        <w:ind w:left="426" w:hanging="426"/>
        <w:jc w:val="both"/>
        <w:rPr>
          <w:noProof/>
          <w:sz w:val="16"/>
        </w:rPr>
      </w:pPr>
      <w:r w:rsidRPr="001C75C2">
        <w:rPr>
          <w:noProof/>
          <w:sz w:val="16"/>
        </w:rPr>
        <w:t>[22]</w:t>
      </w:r>
      <w:r w:rsidRPr="001C75C2">
        <w:rPr>
          <w:noProof/>
          <w:sz w:val="16"/>
        </w:rPr>
        <w:tab/>
        <w:t xml:space="preserve">G. R. Knight and A. Schaik, “State and Capital in Late Colonial Indonesia The Sugar Industry, Braakhuur, and the Colonial Bureaucracy in North Central Java This,” </w:t>
      </w:r>
      <w:r w:rsidRPr="001C75C2">
        <w:rPr>
          <w:i/>
          <w:iCs/>
          <w:noProof/>
          <w:sz w:val="16"/>
        </w:rPr>
        <w:t>Bijdr. tot Taal-, Land- en Volkenkd. / J. Humanit. Soc. Sci. Southeast Asia</w:t>
      </w:r>
      <w:r w:rsidRPr="001C75C2">
        <w:rPr>
          <w:noProof/>
          <w:sz w:val="16"/>
        </w:rPr>
        <w:t>, vol. 157, no. 4, pp. 831–859, 2013, doi: 10.1163/22134379-90003794.</w:t>
      </w:r>
    </w:p>
    <w:p w:rsidR="001C75C2" w:rsidRPr="001C75C2" w:rsidRDefault="001C75C2" w:rsidP="00713099">
      <w:pPr>
        <w:widowControl w:val="0"/>
        <w:autoSpaceDE w:val="0"/>
        <w:autoSpaceDN w:val="0"/>
        <w:adjustRightInd w:val="0"/>
        <w:spacing w:after="120"/>
        <w:ind w:left="426" w:hanging="426"/>
        <w:jc w:val="both"/>
        <w:rPr>
          <w:noProof/>
          <w:sz w:val="16"/>
        </w:rPr>
      </w:pPr>
      <w:r w:rsidRPr="001C75C2">
        <w:rPr>
          <w:noProof/>
          <w:sz w:val="16"/>
        </w:rPr>
        <w:t>[23]</w:t>
      </w:r>
      <w:r w:rsidRPr="001C75C2">
        <w:rPr>
          <w:noProof/>
          <w:sz w:val="16"/>
        </w:rPr>
        <w:tab/>
        <w:t xml:space="preserve">R. Robison, </w:t>
      </w:r>
      <w:r w:rsidRPr="001C75C2">
        <w:rPr>
          <w:i/>
          <w:iCs/>
          <w:noProof/>
          <w:sz w:val="16"/>
        </w:rPr>
        <w:t>Indonesia: The Rise of Capital</w:t>
      </w:r>
      <w:r w:rsidRPr="001C75C2">
        <w:rPr>
          <w:noProof/>
          <w:sz w:val="16"/>
        </w:rPr>
        <w:t>. Sydney: Allen &amp; Unwin, 1986.</w:t>
      </w:r>
    </w:p>
    <w:p w:rsidR="001C75C2" w:rsidRPr="001C75C2" w:rsidRDefault="001C75C2" w:rsidP="00713099">
      <w:pPr>
        <w:widowControl w:val="0"/>
        <w:autoSpaceDE w:val="0"/>
        <w:autoSpaceDN w:val="0"/>
        <w:adjustRightInd w:val="0"/>
        <w:spacing w:after="120"/>
        <w:ind w:left="426" w:hanging="426"/>
        <w:jc w:val="both"/>
        <w:rPr>
          <w:noProof/>
          <w:sz w:val="16"/>
        </w:rPr>
      </w:pPr>
      <w:r w:rsidRPr="001C75C2">
        <w:rPr>
          <w:noProof/>
          <w:sz w:val="16"/>
        </w:rPr>
        <w:t>[24]</w:t>
      </w:r>
      <w:r w:rsidRPr="001C75C2">
        <w:rPr>
          <w:noProof/>
          <w:sz w:val="16"/>
        </w:rPr>
        <w:tab/>
        <w:t xml:space="preserve">B. Arifin and D. J. Rachbini, </w:t>
      </w:r>
      <w:r w:rsidRPr="001C75C2">
        <w:rPr>
          <w:i/>
          <w:iCs/>
          <w:noProof/>
          <w:sz w:val="16"/>
        </w:rPr>
        <w:t>Ekonomi-Politik dan Kebijakan Publik</w:t>
      </w:r>
      <w:r w:rsidRPr="001C75C2">
        <w:rPr>
          <w:noProof/>
          <w:sz w:val="16"/>
        </w:rPr>
        <w:t>. Jakarta: PT Raja Grafindo, 2001.</w:t>
      </w:r>
    </w:p>
    <w:p w:rsidR="001C75C2" w:rsidRPr="001C75C2" w:rsidRDefault="001C75C2" w:rsidP="00713099">
      <w:pPr>
        <w:widowControl w:val="0"/>
        <w:autoSpaceDE w:val="0"/>
        <w:autoSpaceDN w:val="0"/>
        <w:adjustRightInd w:val="0"/>
        <w:spacing w:after="120"/>
        <w:ind w:left="426" w:hanging="426"/>
        <w:jc w:val="both"/>
        <w:rPr>
          <w:noProof/>
          <w:sz w:val="16"/>
        </w:rPr>
      </w:pPr>
      <w:r w:rsidRPr="001C75C2">
        <w:rPr>
          <w:noProof/>
          <w:sz w:val="16"/>
        </w:rPr>
        <w:t>[25]</w:t>
      </w:r>
      <w:r w:rsidRPr="001C75C2">
        <w:rPr>
          <w:noProof/>
          <w:sz w:val="16"/>
        </w:rPr>
        <w:tab/>
        <w:t xml:space="preserve">Pusat Data dan Sistem Informasi Pertanian, </w:t>
      </w:r>
      <w:r w:rsidRPr="001C75C2">
        <w:rPr>
          <w:i/>
          <w:iCs/>
          <w:noProof/>
          <w:sz w:val="16"/>
        </w:rPr>
        <w:t>Statistik Lahan Pertanian Tahun 2010-2014</w:t>
      </w:r>
      <w:r w:rsidRPr="001C75C2">
        <w:rPr>
          <w:noProof/>
          <w:sz w:val="16"/>
        </w:rPr>
        <w:t>. Jakarta: Kementerian Pertanian, 2015.</w:t>
      </w:r>
    </w:p>
    <w:p w:rsidR="001C75C2" w:rsidRPr="001C75C2" w:rsidRDefault="001C75C2" w:rsidP="00713099">
      <w:pPr>
        <w:widowControl w:val="0"/>
        <w:autoSpaceDE w:val="0"/>
        <w:autoSpaceDN w:val="0"/>
        <w:adjustRightInd w:val="0"/>
        <w:spacing w:after="120"/>
        <w:ind w:left="426" w:hanging="426"/>
        <w:jc w:val="both"/>
        <w:rPr>
          <w:noProof/>
          <w:sz w:val="16"/>
        </w:rPr>
      </w:pPr>
      <w:r w:rsidRPr="001C75C2">
        <w:rPr>
          <w:noProof/>
          <w:sz w:val="16"/>
        </w:rPr>
        <w:t>[26]</w:t>
      </w:r>
      <w:r w:rsidRPr="001C75C2">
        <w:rPr>
          <w:noProof/>
          <w:sz w:val="16"/>
        </w:rPr>
        <w:tab/>
        <w:t xml:space="preserve">N. I. Kurniawan, “An agrarian reform agenda for Jokowi,” </w:t>
      </w:r>
      <w:r w:rsidRPr="001C75C2">
        <w:rPr>
          <w:i/>
          <w:iCs/>
          <w:noProof/>
          <w:sz w:val="16"/>
        </w:rPr>
        <w:t>Inside Indonesia</w:t>
      </w:r>
      <w:r w:rsidRPr="001C75C2">
        <w:rPr>
          <w:noProof/>
          <w:sz w:val="16"/>
        </w:rPr>
        <w:t>, 2014. https://www.insideindonesia.org/an-agrarian-reform-agenda-for-jokowi (accessed Dec. 20, 2021).</w:t>
      </w:r>
    </w:p>
    <w:p w:rsidR="001C75C2" w:rsidRPr="001C75C2" w:rsidRDefault="001C75C2" w:rsidP="00713099">
      <w:pPr>
        <w:widowControl w:val="0"/>
        <w:autoSpaceDE w:val="0"/>
        <w:autoSpaceDN w:val="0"/>
        <w:adjustRightInd w:val="0"/>
        <w:spacing w:after="120"/>
        <w:ind w:left="426" w:hanging="426"/>
        <w:jc w:val="both"/>
        <w:rPr>
          <w:noProof/>
          <w:sz w:val="16"/>
        </w:rPr>
      </w:pPr>
      <w:r w:rsidRPr="001C75C2">
        <w:rPr>
          <w:noProof/>
          <w:sz w:val="16"/>
        </w:rPr>
        <w:t>[27]</w:t>
      </w:r>
      <w:r w:rsidRPr="001C75C2">
        <w:rPr>
          <w:noProof/>
          <w:sz w:val="16"/>
        </w:rPr>
        <w:tab/>
        <w:t xml:space="preserve">Badan Pusat Statistik, “Berapa Jumlah Perusahaan Perkebunan Besar Kelapa Sawit?,” </w:t>
      </w:r>
      <w:r w:rsidRPr="001C75C2">
        <w:rPr>
          <w:i/>
          <w:iCs/>
          <w:noProof/>
          <w:sz w:val="16"/>
        </w:rPr>
        <w:t>Kata Data</w:t>
      </w:r>
      <w:r w:rsidRPr="001C75C2">
        <w:rPr>
          <w:noProof/>
          <w:sz w:val="16"/>
        </w:rPr>
        <w:t>, 2017. https://databoks.katadata.co.id/datapublish/2017/12/12/berapa-jumlah-perusahaan-perkebunan-besar-kelapa-sawit (accessed Dec. 20, 2021).</w:t>
      </w:r>
    </w:p>
    <w:p w:rsidR="001C75C2" w:rsidRPr="001C75C2" w:rsidRDefault="001C75C2" w:rsidP="00713099">
      <w:pPr>
        <w:widowControl w:val="0"/>
        <w:autoSpaceDE w:val="0"/>
        <w:autoSpaceDN w:val="0"/>
        <w:adjustRightInd w:val="0"/>
        <w:spacing w:after="120"/>
        <w:ind w:left="426" w:hanging="426"/>
        <w:jc w:val="both"/>
        <w:rPr>
          <w:noProof/>
          <w:sz w:val="16"/>
        </w:rPr>
      </w:pPr>
      <w:r w:rsidRPr="001C75C2">
        <w:rPr>
          <w:noProof/>
          <w:sz w:val="16"/>
        </w:rPr>
        <w:t>[28]</w:t>
      </w:r>
      <w:r w:rsidRPr="001C75C2">
        <w:rPr>
          <w:noProof/>
          <w:sz w:val="16"/>
        </w:rPr>
        <w:tab/>
        <w:t xml:space="preserve">T. Ito, N. F. Rachman, and L. A. Savitri, “Power to Make Land Dispossession Acceptable: A Policy Discourse Analysis of the Merauke Integrated Food and Energy Estate (MIFEE), Papua, Indonesia,” </w:t>
      </w:r>
      <w:r w:rsidRPr="001C75C2">
        <w:rPr>
          <w:i/>
          <w:iCs/>
          <w:noProof/>
          <w:sz w:val="16"/>
        </w:rPr>
        <w:t>J. Peasant Stud.</w:t>
      </w:r>
      <w:r w:rsidRPr="001C75C2">
        <w:rPr>
          <w:noProof/>
          <w:sz w:val="16"/>
        </w:rPr>
        <w:t>, vol. 41, no. 1, pp. 29–50, 2014, doi: 10.1080/03066150.2013.873029.</w:t>
      </w:r>
    </w:p>
    <w:p w:rsidR="001C75C2" w:rsidRPr="001C75C2" w:rsidRDefault="001C75C2" w:rsidP="00713099">
      <w:pPr>
        <w:widowControl w:val="0"/>
        <w:autoSpaceDE w:val="0"/>
        <w:autoSpaceDN w:val="0"/>
        <w:adjustRightInd w:val="0"/>
        <w:spacing w:after="120"/>
        <w:ind w:left="426" w:hanging="426"/>
        <w:jc w:val="both"/>
        <w:rPr>
          <w:noProof/>
          <w:sz w:val="16"/>
        </w:rPr>
      </w:pPr>
      <w:r w:rsidRPr="001C75C2">
        <w:rPr>
          <w:noProof/>
          <w:sz w:val="16"/>
        </w:rPr>
        <w:t>[29]</w:t>
      </w:r>
      <w:r w:rsidRPr="001C75C2">
        <w:rPr>
          <w:noProof/>
          <w:sz w:val="16"/>
        </w:rPr>
        <w:tab/>
        <w:t xml:space="preserve">CNN Indonesia, “Lima Konglomerat Sawit ‘Disuntik’ Subsidi Mega Rp7,5 Triliun,” </w:t>
      </w:r>
      <w:r w:rsidRPr="001C75C2">
        <w:rPr>
          <w:i/>
          <w:iCs/>
          <w:noProof/>
          <w:sz w:val="16"/>
        </w:rPr>
        <w:t>2018</w:t>
      </w:r>
      <w:r w:rsidRPr="001C75C2">
        <w:rPr>
          <w:noProof/>
          <w:sz w:val="16"/>
        </w:rPr>
        <w:t>. https://www.cnnindonesia.com/ekonomi/20180116202504-92-269411/lima-konglomerat-sawit-disuntik-subsidi-mega-rp75-triliun (accessed Dec. 18, 2021).</w:t>
      </w:r>
    </w:p>
    <w:p w:rsidR="001C75C2" w:rsidRPr="001C75C2" w:rsidRDefault="001C75C2" w:rsidP="00713099">
      <w:pPr>
        <w:widowControl w:val="0"/>
        <w:autoSpaceDE w:val="0"/>
        <w:autoSpaceDN w:val="0"/>
        <w:adjustRightInd w:val="0"/>
        <w:spacing w:after="120"/>
        <w:ind w:left="426" w:hanging="426"/>
        <w:jc w:val="both"/>
        <w:rPr>
          <w:noProof/>
          <w:sz w:val="16"/>
        </w:rPr>
      </w:pPr>
      <w:r w:rsidRPr="001C75C2">
        <w:rPr>
          <w:noProof/>
          <w:sz w:val="16"/>
        </w:rPr>
        <w:t>[30]</w:t>
      </w:r>
      <w:r w:rsidRPr="001C75C2">
        <w:rPr>
          <w:noProof/>
          <w:sz w:val="16"/>
        </w:rPr>
        <w:tab/>
        <w:t>Konsorsium Pembaruan Agraria, “Catatan Akhir Tahun 2020: Pandemi Covid-19 dan Perampasan Tanah Berskala Besar,” Jakarta, 2020.</w:t>
      </w:r>
    </w:p>
    <w:p w:rsidR="001C75C2" w:rsidRPr="001C75C2" w:rsidRDefault="001C75C2" w:rsidP="00713099">
      <w:pPr>
        <w:widowControl w:val="0"/>
        <w:autoSpaceDE w:val="0"/>
        <w:autoSpaceDN w:val="0"/>
        <w:adjustRightInd w:val="0"/>
        <w:spacing w:after="120"/>
        <w:ind w:left="426" w:hanging="426"/>
        <w:jc w:val="both"/>
        <w:rPr>
          <w:noProof/>
          <w:sz w:val="16"/>
        </w:rPr>
      </w:pPr>
      <w:r w:rsidRPr="001C75C2">
        <w:rPr>
          <w:noProof/>
          <w:sz w:val="16"/>
        </w:rPr>
        <w:t>[31]</w:t>
      </w:r>
      <w:r w:rsidRPr="001C75C2">
        <w:rPr>
          <w:noProof/>
          <w:sz w:val="16"/>
        </w:rPr>
        <w:tab/>
        <w:t xml:space="preserve">N. K. Chandra, “The Peasant Question from Marx to Lenin: The Russian Experience,” </w:t>
      </w:r>
      <w:r w:rsidRPr="001C75C2">
        <w:rPr>
          <w:i/>
          <w:iCs/>
          <w:noProof/>
          <w:sz w:val="16"/>
        </w:rPr>
        <w:t>Econ. Polit. Wkly.</w:t>
      </w:r>
      <w:r w:rsidRPr="001C75C2">
        <w:rPr>
          <w:noProof/>
          <w:sz w:val="16"/>
        </w:rPr>
        <w:t>, vol. 37, no. 20, pp. 1927–1938, 2002, [Online]. Available: https://www.jstor.org/stable/4412133.</w:t>
      </w:r>
    </w:p>
    <w:p w:rsidR="001C75C2" w:rsidRPr="001C75C2" w:rsidRDefault="001C75C2" w:rsidP="00713099">
      <w:pPr>
        <w:widowControl w:val="0"/>
        <w:autoSpaceDE w:val="0"/>
        <w:autoSpaceDN w:val="0"/>
        <w:adjustRightInd w:val="0"/>
        <w:spacing w:after="120"/>
        <w:ind w:left="426" w:hanging="426"/>
        <w:jc w:val="both"/>
        <w:rPr>
          <w:noProof/>
          <w:sz w:val="16"/>
        </w:rPr>
      </w:pPr>
      <w:r w:rsidRPr="001C75C2">
        <w:rPr>
          <w:noProof/>
          <w:sz w:val="16"/>
        </w:rPr>
        <w:t>[32]</w:t>
      </w:r>
      <w:r w:rsidRPr="001C75C2">
        <w:rPr>
          <w:noProof/>
          <w:sz w:val="16"/>
        </w:rPr>
        <w:tab/>
        <w:t xml:space="preserve">A. Dhiaulhaq and J. F. McCarthy, “Indigenous Rights and Agrarian Justice Framings in Forest Land Conflicts in Indonesia,” </w:t>
      </w:r>
      <w:r w:rsidRPr="001C75C2">
        <w:rPr>
          <w:i/>
          <w:iCs/>
          <w:noProof/>
          <w:sz w:val="16"/>
        </w:rPr>
        <w:t>Asia Pacific J. Anthropol.</w:t>
      </w:r>
      <w:r w:rsidRPr="001C75C2">
        <w:rPr>
          <w:noProof/>
          <w:sz w:val="16"/>
        </w:rPr>
        <w:t>, vol. 21, no. 1, pp. 34–54, 2020, doi: 10.1080/14442213.2019.1670243.</w:t>
      </w:r>
    </w:p>
    <w:p w:rsidR="001C75C2" w:rsidRPr="001C75C2" w:rsidRDefault="001C75C2" w:rsidP="00713099">
      <w:pPr>
        <w:widowControl w:val="0"/>
        <w:autoSpaceDE w:val="0"/>
        <w:autoSpaceDN w:val="0"/>
        <w:adjustRightInd w:val="0"/>
        <w:spacing w:after="120"/>
        <w:ind w:left="426" w:hanging="426"/>
        <w:jc w:val="both"/>
        <w:rPr>
          <w:noProof/>
          <w:sz w:val="16"/>
        </w:rPr>
      </w:pPr>
      <w:r w:rsidRPr="001C75C2">
        <w:rPr>
          <w:noProof/>
          <w:sz w:val="16"/>
        </w:rPr>
        <w:t>[33]</w:t>
      </w:r>
      <w:r w:rsidRPr="001C75C2">
        <w:rPr>
          <w:noProof/>
          <w:sz w:val="16"/>
        </w:rPr>
        <w:tab/>
        <w:t xml:space="preserve">D. R. Nurrochmat, R. Boer, M. Ardiansyah, G. Immanuel, and H. Purwawangsa, “Policy Forum: Reconciling Palm Oil Targets and Reduced Deforestation: Landswap and Agrarian Reform in Indonesia,” </w:t>
      </w:r>
      <w:r w:rsidRPr="001C75C2">
        <w:rPr>
          <w:i/>
          <w:iCs/>
          <w:noProof/>
          <w:sz w:val="16"/>
        </w:rPr>
        <w:t>For. Policy Econ.</w:t>
      </w:r>
      <w:r w:rsidRPr="001C75C2">
        <w:rPr>
          <w:noProof/>
          <w:sz w:val="16"/>
        </w:rPr>
        <w:t>, vol. 119, no. June, p. 102291, 2020, doi: 10.1016/j.forpol.2020.102291.</w:t>
      </w:r>
    </w:p>
    <w:p w:rsidR="001C75C2" w:rsidRPr="001C75C2" w:rsidRDefault="001C75C2" w:rsidP="00713099">
      <w:pPr>
        <w:widowControl w:val="0"/>
        <w:autoSpaceDE w:val="0"/>
        <w:autoSpaceDN w:val="0"/>
        <w:adjustRightInd w:val="0"/>
        <w:spacing w:after="120"/>
        <w:ind w:left="426" w:hanging="426"/>
        <w:jc w:val="both"/>
        <w:rPr>
          <w:noProof/>
          <w:sz w:val="16"/>
        </w:rPr>
      </w:pPr>
      <w:r w:rsidRPr="001C75C2">
        <w:rPr>
          <w:noProof/>
          <w:sz w:val="16"/>
        </w:rPr>
        <w:t>[34]</w:t>
      </w:r>
      <w:r w:rsidRPr="001C75C2">
        <w:rPr>
          <w:noProof/>
          <w:sz w:val="16"/>
        </w:rPr>
        <w:tab/>
        <w:t xml:space="preserve">V. R. Hadiz and R. Robison, </w:t>
      </w:r>
      <w:r w:rsidRPr="001C75C2">
        <w:rPr>
          <w:i/>
          <w:iCs/>
          <w:noProof/>
          <w:sz w:val="16"/>
        </w:rPr>
        <w:t>The Political Economy of Oligarchy and the Reorganization of Power in Indonesia</w:t>
      </w:r>
      <w:r w:rsidRPr="001C75C2">
        <w:rPr>
          <w:noProof/>
          <w:sz w:val="16"/>
        </w:rPr>
        <w:t>. London dan New York: RoutledgeCurzon, 2006.</w:t>
      </w:r>
    </w:p>
    <w:p w:rsidR="001C75C2" w:rsidRPr="001C75C2" w:rsidRDefault="001C75C2" w:rsidP="00713099">
      <w:pPr>
        <w:widowControl w:val="0"/>
        <w:autoSpaceDE w:val="0"/>
        <w:autoSpaceDN w:val="0"/>
        <w:adjustRightInd w:val="0"/>
        <w:spacing w:after="120"/>
        <w:ind w:left="426" w:hanging="426"/>
        <w:jc w:val="both"/>
        <w:rPr>
          <w:noProof/>
          <w:sz w:val="16"/>
        </w:rPr>
      </w:pPr>
      <w:r w:rsidRPr="001C75C2">
        <w:rPr>
          <w:noProof/>
          <w:sz w:val="16"/>
        </w:rPr>
        <w:t>[35]</w:t>
      </w:r>
      <w:r w:rsidRPr="001C75C2">
        <w:rPr>
          <w:noProof/>
          <w:sz w:val="16"/>
        </w:rPr>
        <w:tab/>
        <w:t xml:space="preserve">A. Lucas, “Land Disputes in Indonesia: Some Current Perspectives,” </w:t>
      </w:r>
      <w:r w:rsidRPr="001C75C2">
        <w:rPr>
          <w:i/>
          <w:iCs/>
          <w:noProof/>
          <w:sz w:val="16"/>
        </w:rPr>
        <w:t>Indonesia</w:t>
      </w:r>
      <w:r w:rsidRPr="001C75C2">
        <w:rPr>
          <w:noProof/>
          <w:sz w:val="16"/>
        </w:rPr>
        <w:t>, vol. 53, no. 53, p. 79, 1992, doi: 10.2307/3351117.</w:t>
      </w:r>
    </w:p>
    <w:p w:rsidR="001C75C2" w:rsidRPr="001C75C2" w:rsidRDefault="001C75C2" w:rsidP="00713099">
      <w:pPr>
        <w:widowControl w:val="0"/>
        <w:autoSpaceDE w:val="0"/>
        <w:autoSpaceDN w:val="0"/>
        <w:adjustRightInd w:val="0"/>
        <w:spacing w:after="120"/>
        <w:ind w:left="426" w:hanging="426"/>
        <w:jc w:val="both"/>
        <w:rPr>
          <w:noProof/>
          <w:sz w:val="16"/>
        </w:rPr>
      </w:pPr>
      <w:r w:rsidRPr="001C75C2">
        <w:rPr>
          <w:noProof/>
          <w:sz w:val="16"/>
        </w:rPr>
        <w:t>[36]</w:t>
      </w:r>
      <w:r w:rsidRPr="001C75C2">
        <w:rPr>
          <w:noProof/>
          <w:sz w:val="16"/>
        </w:rPr>
        <w:tab/>
        <w:t xml:space="preserve">E. Aspinall, “Popular Agency and Interests in Indonesia’s Democratic Transition and Consolidation,” </w:t>
      </w:r>
      <w:r w:rsidRPr="001C75C2">
        <w:rPr>
          <w:i/>
          <w:iCs/>
          <w:noProof/>
          <w:sz w:val="16"/>
        </w:rPr>
        <w:t>Indonesia</w:t>
      </w:r>
      <w:r w:rsidRPr="001C75C2">
        <w:rPr>
          <w:noProof/>
          <w:sz w:val="16"/>
        </w:rPr>
        <w:t>, vol. 96, pp. 101–121, 2013, doi: 10.5728/indonesia.96.0011.</w:t>
      </w:r>
    </w:p>
    <w:p w:rsidR="001C75C2" w:rsidRPr="001C75C2" w:rsidRDefault="001C75C2" w:rsidP="00713099">
      <w:pPr>
        <w:widowControl w:val="0"/>
        <w:autoSpaceDE w:val="0"/>
        <w:autoSpaceDN w:val="0"/>
        <w:adjustRightInd w:val="0"/>
        <w:spacing w:after="120"/>
        <w:ind w:left="426" w:hanging="426"/>
        <w:jc w:val="both"/>
        <w:rPr>
          <w:noProof/>
          <w:sz w:val="16"/>
        </w:rPr>
      </w:pPr>
      <w:r w:rsidRPr="001C75C2">
        <w:rPr>
          <w:noProof/>
          <w:sz w:val="16"/>
        </w:rPr>
        <w:t>[37]</w:t>
      </w:r>
      <w:r w:rsidRPr="001C75C2">
        <w:rPr>
          <w:noProof/>
          <w:sz w:val="16"/>
        </w:rPr>
        <w:tab/>
        <w:t xml:space="preserve">B. Smith, “‘If I Do These Things, They Will Throw Me Out’: Economic Reform and the Collapse of Indonesia’s New Order,” </w:t>
      </w:r>
      <w:r w:rsidRPr="001C75C2">
        <w:rPr>
          <w:i/>
          <w:iCs/>
          <w:noProof/>
          <w:sz w:val="16"/>
        </w:rPr>
        <w:t>J. Int. Aff.</w:t>
      </w:r>
      <w:r w:rsidRPr="001C75C2">
        <w:rPr>
          <w:noProof/>
          <w:sz w:val="16"/>
        </w:rPr>
        <w:t>, vol. 57, no. 1, pp. 113–128, 2003, [Online]. Available: https://www.jstor.org/stable/24357916.</w:t>
      </w:r>
    </w:p>
    <w:p w:rsidR="001C75C2" w:rsidRPr="001C75C2" w:rsidRDefault="001C75C2" w:rsidP="00713099">
      <w:pPr>
        <w:widowControl w:val="0"/>
        <w:autoSpaceDE w:val="0"/>
        <w:autoSpaceDN w:val="0"/>
        <w:adjustRightInd w:val="0"/>
        <w:spacing w:after="120"/>
        <w:ind w:left="426" w:hanging="426"/>
        <w:jc w:val="both"/>
        <w:rPr>
          <w:noProof/>
          <w:sz w:val="16"/>
        </w:rPr>
      </w:pPr>
      <w:r w:rsidRPr="001C75C2">
        <w:rPr>
          <w:noProof/>
          <w:sz w:val="16"/>
        </w:rPr>
        <w:t>[38]</w:t>
      </w:r>
      <w:r w:rsidRPr="001C75C2">
        <w:rPr>
          <w:noProof/>
          <w:sz w:val="16"/>
        </w:rPr>
        <w:tab/>
        <w:t xml:space="preserve">D. Jenkins, “One Reasonably Capable Man: Soeharto’s Early Fundraising,” in </w:t>
      </w:r>
      <w:r w:rsidRPr="001C75C2">
        <w:rPr>
          <w:i/>
          <w:iCs/>
          <w:noProof/>
          <w:sz w:val="16"/>
        </w:rPr>
        <w:t>Soeharto’s New Order and Its Legacy: Essays in honour of Harold Crouch</w:t>
      </w:r>
      <w:r w:rsidRPr="001C75C2">
        <w:rPr>
          <w:noProof/>
          <w:sz w:val="16"/>
        </w:rPr>
        <w:t>, E. Aspinall and G. Fealy, Eds. Canberra: ANU E Press, 2010.</w:t>
      </w:r>
    </w:p>
    <w:p w:rsidR="001C75C2" w:rsidRPr="001C75C2" w:rsidRDefault="001C75C2" w:rsidP="00713099">
      <w:pPr>
        <w:widowControl w:val="0"/>
        <w:autoSpaceDE w:val="0"/>
        <w:autoSpaceDN w:val="0"/>
        <w:adjustRightInd w:val="0"/>
        <w:spacing w:after="120"/>
        <w:ind w:left="426" w:hanging="426"/>
        <w:jc w:val="both"/>
        <w:rPr>
          <w:noProof/>
          <w:sz w:val="16"/>
        </w:rPr>
      </w:pPr>
      <w:r w:rsidRPr="001C75C2">
        <w:rPr>
          <w:noProof/>
          <w:sz w:val="16"/>
        </w:rPr>
        <w:t>[39]</w:t>
      </w:r>
      <w:r w:rsidRPr="001C75C2">
        <w:rPr>
          <w:noProof/>
          <w:sz w:val="16"/>
        </w:rPr>
        <w:tab/>
        <w:t xml:space="preserve">S. Afiff, N. Fauzi, G. Hart, L. Ntsebesa, and N. Peluso, “Redefining Agrarian Power: Resurgent Agrarian Movements in West Java, Indonesia,” </w:t>
      </w:r>
      <w:r w:rsidRPr="001C75C2">
        <w:rPr>
          <w:i/>
          <w:iCs/>
          <w:noProof/>
          <w:sz w:val="16"/>
        </w:rPr>
        <w:t>UC Berkeley Cent. Southeast Asia Stud.</w:t>
      </w:r>
      <w:r w:rsidRPr="001C75C2">
        <w:rPr>
          <w:noProof/>
          <w:sz w:val="16"/>
        </w:rPr>
        <w:t>, vol. 15, no. 4, pp. 250–260, 2013, [Online]. Available: https://escholarship.org/uc/item/7rf2p49g.</w:t>
      </w:r>
    </w:p>
    <w:p w:rsidR="001C75C2" w:rsidRPr="001C75C2" w:rsidRDefault="001C75C2" w:rsidP="00713099">
      <w:pPr>
        <w:widowControl w:val="0"/>
        <w:autoSpaceDE w:val="0"/>
        <w:autoSpaceDN w:val="0"/>
        <w:adjustRightInd w:val="0"/>
        <w:spacing w:after="120"/>
        <w:ind w:left="426" w:hanging="426"/>
        <w:jc w:val="both"/>
        <w:rPr>
          <w:noProof/>
          <w:sz w:val="16"/>
        </w:rPr>
      </w:pPr>
      <w:r w:rsidRPr="001C75C2">
        <w:rPr>
          <w:noProof/>
          <w:sz w:val="16"/>
        </w:rPr>
        <w:t>[40]</w:t>
      </w:r>
      <w:r w:rsidRPr="001C75C2">
        <w:rPr>
          <w:noProof/>
          <w:sz w:val="16"/>
        </w:rPr>
        <w:tab/>
        <w:t xml:space="preserve">D. Bachriadi, “Fighting for Land,” </w:t>
      </w:r>
      <w:r w:rsidRPr="001C75C2">
        <w:rPr>
          <w:i/>
          <w:iCs/>
          <w:noProof/>
          <w:sz w:val="16"/>
        </w:rPr>
        <w:t>Inside Indonesia</w:t>
      </w:r>
      <w:r w:rsidRPr="001C75C2">
        <w:rPr>
          <w:noProof/>
          <w:sz w:val="16"/>
        </w:rPr>
        <w:t>, 2012. https://www.insideindonesia.org/fighting-for-land-3 (accessed Dec. 19, 2021).</w:t>
      </w:r>
    </w:p>
    <w:p w:rsidR="001C75C2" w:rsidRPr="001C75C2" w:rsidRDefault="001C75C2" w:rsidP="00713099">
      <w:pPr>
        <w:widowControl w:val="0"/>
        <w:autoSpaceDE w:val="0"/>
        <w:autoSpaceDN w:val="0"/>
        <w:adjustRightInd w:val="0"/>
        <w:spacing w:after="120"/>
        <w:ind w:left="426" w:hanging="426"/>
        <w:jc w:val="both"/>
        <w:rPr>
          <w:noProof/>
          <w:sz w:val="16"/>
        </w:rPr>
      </w:pPr>
      <w:r w:rsidRPr="001C75C2">
        <w:rPr>
          <w:noProof/>
          <w:sz w:val="16"/>
        </w:rPr>
        <w:t>[41]</w:t>
      </w:r>
      <w:r w:rsidRPr="001C75C2">
        <w:rPr>
          <w:noProof/>
          <w:sz w:val="16"/>
        </w:rPr>
        <w:tab/>
        <w:t xml:space="preserve">S. H. Putra, Turtiantoro, and P. Astuti, “Faktor Determinan Konflik Agraria di Desa Setrojenar Kecamatan Buluspesantren Kabupaten Kebumen,” </w:t>
      </w:r>
      <w:r w:rsidRPr="001C75C2">
        <w:rPr>
          <w:i/>
          <w:iCs/>
          <w:noProof/>
          <w:sz w:val="16"/>
        </w:rPr>
        <w:t>J. Polit. Gov. Stud.</w:t>
      </w:r>
      <w:r w:rsidRPr="001C75C2">
        <w:rPr>
          <w:noProof/>
          <w:sz w:val="16"/>
        </w:rPr>
        <w:t>, vol. 4, no. 1, pp. 1–15, 2014, [Online]. Available: https://ejournal3.undip.ac.id/index.php/jpgs/article/view/6822.</w:t>
      </w:r>
    </w:p>
    <w:p w:rsidR="001C75C2" w:rsidRPr="001C75C2" w:rsidRDefault="001C75C2" w:rsidP="00713099">
      <w:pPr>
        <w:widowControl w:val="0"/>
        <w:autoSpaceDE w:val="0"/>
        <w:autoSpaceDN w:val="0"/>
        <w:adjustRightInd w:val="0"/>
        <w:spacing w:after="120"/>
        <w:ind w:left="426" w:hanging="426"/>
        <w:jc w:val="both"/>
        <w:rPr>
          <w:noProof/>
          <w:sz w:val="16"/>
        </w:rPr>
      </w:pPr>
      <w:r w:rsidRPr="001C75C2">
        <w:rPr>
          <w:noProof/>
          <w:sz w:val="16"/>
        </w:rPr>
        <w:t>[42]</w:t>
      </w:r>
      <w:r w:rsidRPr="001C75C2">
        <w:rPr>
          <w:noProof/>
          <w:sz w:val="16"/>
        </w:rPr>
        <w:tab/>
        <w:t xml:space="preserve">H. M. Sipayung, “SPI Tingkatkan Kapasitas Petani Bengkulu,” </w:t>
      </w:r>
      <w:r w:rsidRPr="001C75C2">
        <w:rPr>
          <w:i/>
          <w:iCs/>
          <w:noProof/>
          <w:sz w:val="16"/>
        </w:rPr>
        <w:t>Antara Bengkulu</w:t>
      </w:r>
      <w:r w:rsidRPr="001C75C2">
        <w:rPr>
          <w:noProof/>
          <w:sz w:val="16"/>
        </w:rPr>
        <w:t>, 2016. https://bengkulu.antaranews.com/berita/37673/spi-tingkatkan-kapasitas-petani-kopi-bengkulu (accessed Dec. 19, 2021).</w:t>
      </w:r>
    </w:p>
    <w:p w:rsidR="001C75C2" w:rsidRPr="001C75C2" w:rsidRDefault="001C75C2" w:rsidP="00713099">
      <w:pPr>
        <w:widowControl w:val="0"/>
        <w:autoSpaceDE w:val="0"/>
        <w:autoSpaceDN w:val="0"/>
        <w:adjustRightInd w:val="0"/>
        <w:spacing w:after="120"/>
        <w:ind w:left="426" w:hanging="426"/>
        <w:jc w:val="both"/>
        <w:rPr>
          <w:noProof/>
          <w:sz w:val="16"/>
        </w:rPr>
      </w:pPr>
      <w:r w:rsidRPr="001C75C2">
        <w:rPr>
          <w:noProof/>
          <w:sz w:val="16"/>
        </w:rPr>
        <w:t>[43]</w:t>
      </w:r>
      <w:r w:rsidRPr="001C75C2">
        <w:rPr>
          <w:noProof/>
          <w:sz w:val="16"/>
        </w:rPr>
        <w:tab/>
        <w:t xml:space="preserve">B. White, S. M. Borras, R. Hall, I. Scoones, and W. Wolford, “The </w:t>
      </w:r>
      <w:r w:rsidRPr="001C75C2">
        <w:rPr>
          <w:noProof/>
          <w:sz w:val="16"/>
        </w:rPr>
        <w:lastRenderedPageBreak/>
        <w:t xml:space="preserve">New Enclosures: Critical Perspectives on Corporate Land Deals,” </w:t>
      </w:r>
      <w:r w:rsidRPr="001C75C2">
        <w:rPr>
          <w:i/>
          <w:iCs/>
          <w:noProof/>
          <w:sz w:val="16"/>
        </w:rPr>
        <w:t>J. Peasant Stud.</w:t>
      </w:r>
      <w:r w:rsidRPr="001C75C2">
        <w:rPr>
          <w:noProof/>
          <w:sz w:val="16"/>
        </w:rPr>
        <w:t>, vol. 39, no. 3–4, pp. 619–647, 2012, doi: 10.1080/03066150.2012.691879.</w:t>
      </w:r>
    </w:p>
    <w:p w:rsidR="001C75C2" w:rsidRPr="001C75C2" w:rsidRDefault="001C75C2" w:rsidP="00713099">
      <w:pPr>
        <w:widowControl w:val="0"/>
        <w:autoSpaceDE w:val="0"/>
        <w:autoSpaceDN w:val="0"/>
        <w:adjustRightInd w:val="0"/>
        <w:spacing w:after="120"/>
        <w:ind w:left="426" w:hanging="426"/>
        <w:jc w:val="both"/>
        <w:rPr>
          <w:noProof/>
          <w:sz w:val="16"/>
        </w:rPr>
      </w:pPr>
      <w:r w:rsidRPr="001C75C2">
        <w:rPr>
          <w:noProof/>
          <w:sz w:val="16"/>
        </w:rPr>
        <w:t>[44]</w:t>
      </w:r>
      <w:r w:rsidRPr="001C75C2">
        <w:rPr>
          <w:noProof/>
          <w:sz w:val="16"/>
        </w:rPr>
        <w:tab/>
        <w:t>B. White, “Measuring Time Allocation, Decision</w:t>
      </w:r>
      <w:r w:rsidRPr="001C75C2">
        <w:rPr>
          <w:rFonts w:ascii="Cambria Math" w:hAnsi="Cambria Math" w:cs="Cambria Math"/>
          <w:noProof/>
          <w:sz w:val="16"/>
        </w:rPr>
        <w:t>‐</w:t>
      </w:r>
      <w:r w:rsidRPr="001C75C2">
        <w:rPr>
          <w:noProof/>
          <w:sz w:val="16"/>
        </w:rPr>
        <w:t xml:space="preserve">making and Agrarian Changes Affecting Rural Women: Examples from Recent Research in Indonesia,” </w:t>
      </w:r>
      <w:r w:rsidRPr="001C75C2">
        <w:rPr>
          <w:i/>
          <w:iCs/>
          <w:noProof/>
          <w:sz w:val="16"/>
        </w:rPr>
        <w:t>IDS Bull.</w:t>
      </w:r>
      <w:r w:rsidRPr="001C75C2">
        <w:rPr>
          <w:noProof/>
          <w:sz w:val="16"/>
        </w:rPr>
        <w:t>, vol. 15, no. 1, pp. 18–33, 1984, doi: 10.1111/j.1759-5436.1984.mp15001004.x.</w:t>
      </w:r>
    </w:p>
    <w:p w:rsidR="001C75C2" w:rsidRPr="001C75C2" w:rsidRDefault="001C75C2" w:rsidP="00713099">
      <w:pPr>
        <w:widowControl w:val="0"/>
        <w:autoSpaceDE w:val="0"/>
        <w:autoSpaceDN w:val="0"/>
        <w:adjustRightInd w:val="0"/>
        <w:spacing w:after="120"/>
        <w:ind w:left="426" w:hanging="426"/>
        <w:jc w:val="both"/>
        <w:rPr>
          <w:noProof/>
          <w:sz w:val="16"/>
        </w:rPr>
      </w:pPr>
      <w:r w:rsidRPr="001C75C2">
        <w:rPr>
          <w:noProof/>
          <w:sz w:val="16"/>
        </w:rPr>
        <w:t>[45]</w:t>
      </w:r>
      <w:r w:rsidRPr="001C75C2">
        <w:rPr>
          <w:noProof/>
          <w:sz w:val="16"/>
        </w:rPr>
        <w:tab/>
        <w:t xml:space="preserve">D. Acemoglu and J. A. Robinson, “Inequality, Growth and </w:t>
      </w:r>
      <w:r w:rsidRPr="001C75C2">
        <w:rPr>
          <w:noProof/>
          <w:sz w:val="16"/>
        </w:rPr>
        <w:t xml:space="preserve">Development: Democratization or Repression?,” </w:t>
      </w:r>
      <w:r w:rsidRPr="001C75C2">
        <w:rPr>
          <w:i/>
          <w:iCs/>
          <w:noProof/>
          <w:sz w:val="16"/>
        </w:rPr>
        <w:t>Eur. Econ. Rev.</w:t>
      </w:r>
      <w:r w:rsidRPr="001C75C2">
        <w:rPr>
          <w:noProof/>
          <w:sz w:val="16"/>
        </w:rPr>
        <w:t>, vol. 44, no. 4–6, pp. 683–693, 2000, [Online]. Available: https://economics.mit.edu/files/5684.</w:t>
      </w:r>
    </w:p>
    <w:p w:rsidR="001C75C2" w:rsidRPr="001C75C2" w:rsidRDefault="001C75C2" w:rsidP="00713099">
      <w:pPr>
        <w:widowControl w:val="0"/>
        <w:autoSpaceDE w:val="0"/>
        <w:autoSpaceDN w:val="0"/>
        <w:adjustRightInd w:val="0"/>
        <w:spacing w:after="120"/>
        <w:ind w:left="426" w:hanging="426"/>
        <w:jc w:val="both"/>
        <w:rPr>
          <w:noProof/>
          <w:sz w:val="16"/>
        </w:rPr>
      </w:pPr>
      <w:r w:rsidRPr="001C75C2">
        <w:rPr>
          <w:noProof/>
          <w:sz w:val="16"/>
        </w:rPr>
        <w:t>[46]</w:t>
      </w:r>
      <w:r w:rsidRPr="001C75C2">
        <w:rPr>
          <w:noProof/>
          <w:sz w:val="16"/>
        </w:rPr>
        <w:tab/>
        <w:t xml:space="preserve">T. Li, </w:t>
      </w:r>
      <w:r w:rsidRPr="001C75C2">
        <w:rPr>
          <w:i/>
          <w:iCs/>
          <w:noProof/>
          <w:sz w:val="16"/>
        </w:rPr>
        <w:t>The Will to Improve? Governmentality, Development, and the Practice of Politics</w:t>
      </w:r>
      <w:r w:rsidRPr="001C75C2">
        <w:rPr>
          <w:noProof/>
          <w:sz w:val="16"/>
        </w:rPr>
        <w:t>. Durham: Duke University Press, 2007.</w:t>
      </w:r>
    </w:p>
    <w:p w:rsidR="001C75C2" w:rsidRPr="001C75C2" w:rsidRDefault="001C75C2" w:rsidP="00713099">
      <w:pPr>
        <w:widowControl w:val="0"/>
        <w:autoSpaceDE w:val="0"/>
        <w:autoSpaceDN w:val="0"/>
        <w:adjustRightInd w:val="0"/>
        <w:spacing w:after="120"/>
        <w:ind w:left="426" w:hanging="426"/>
        <w:jc w:val="both"/>
        <w:rPr>
          <w:noProof/>
          <w:sz w:val="16"/>
        </w:rPr>
      </w:pPr>
      <w:r w:rsidRPr="001C75C2">
        <w:rPr>
          <w:noProof/>
          <w:sz w:val="16"/>
        </w:rPr>
        <w:t>[47]</w:t>
      </w:r>
      <w:r w:rsidRPr="001C75C2">
        <w:rPr>
          <w:noProof/>
          <w:sz w:val="16"/>
        </w:rPr>
        <w:tab/>
        <w:t>M. Habibi, “A regional head election’s political corruption and new styles o</w:t>
      </w:r>
      <w:bookmarkStart w:id="0" w:name="_GoBack"/>
      <w:bookmarkEnd w:id="0"/>
      <w:r w:rsidRPr="001C75C2">
        <w:rPr>
          <w:noProof/>
          <w:sz w:val="16"/>
        </w:rPr>
        <w:t xml:space="preserve">f clientelism,” </w:t>
      </w:r>
      <w:r w:rsidRPr="001C75C2">
        <w:rPr>
          <w:i/>
          <w:iCs/>
          <w:noProof/>
          <w:sz w:val="16"/>
        </w:rPr>
        <w:t>Masyarakat, Kebud. dan Polit.</w:t>
      </w:r>
      <w:r w:rsidRPr="001C75C2">
        <w:rPr>
          <w:noProof/>
          <w:sz w:val="16"/>
        </w:rPr>
        <w:t>, vol. 34, no. 4, pp. 417–430, 2021, doi: 10.20473/mkp.v34i42021.417-430.</w:t>
      </w:r>
    </w:p>
    <w:p w:rsidR="008A55B5" w:rsidRPr="001D7D8E" w:rsidRDefault="004B1EDB" w:rsidP="00713099">
      <w:pPr>
        <w:widowControl w:val="0"/>
        <w:autoSpaceDE w:val="0"/>
        <w:autoSpaceDN w:val="0"/>
        <w:adjustRightInd w:val="0"/>
        <w:spacing w:after="120"/>
        <w:ind w:left="426" w:hanging="426"/>
        <w:jc w:val="both"/>
        <w:sectPr w:rsidR="008A55B5" w:rsidRPr="001D7D8E" w:rsidSect="004445B3">
          <w:type w:val="continuous"/>
          <w:pgSz w:w="11909" w:h="16834" w:code="9"/>
          <w:pgMar w:top="1080" w:right="734" w:bottom="2434" w:left="734" w:header="720" w:footer="720" w:gutter="0"/>
          <w:cols w:num="2" w:space="360"/>
          <w:docGrid w:linePitch="360"/>
        </w:sectPr>
      </w:pPr>
      <w:r w:rsidRPr="004B1EDB">
        <w:rPr>
          <w:sz w:val="16"/>
        </w:rPr>
        <w:fldChar w:fldCharType="end"/>
      </w:r>
    </w:p>
    <w:p w:rsidR="008A55B5" w:rsidRPr="001D7D8E" w:rsidRDefault="008A55B5" w:rsidP="00276735">
      <w:pPr>
        <w:jc w:val="both"/>
      </w:pPr>
    </w:p>
    <w:sectPr w:rsidR="008A55B5" w:rsidRPr="001D7D8E" w:rsidSect="006C464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483B" w:rsidRDefault="00DA483B" w:rsidP="00E63A07">
      <w:r>
        <w:separator/>
      </w:r>
    </w:p>
  </w:endnote>
  <w:endnote w:type="continuationSeparator" w:id="0">
    <w:p w:rsidR="00DA483B" w:rsidRDefault="00DA483B" w:rsidP="00E63A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483B" w:rsidRDefault="00DA483B" w:rsidP="00E63A07">
      <w:r>
        <w:separator/>
      </w:r>
    </w:p>
  </w:footnote>
  <w:footnote w:type="continuationSeparator" w:id="0">
    <w:p w:rsidR="00DA483B" w:rsidRDefault="00DA483B" w:rsidP="00E63A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15:restartNumberingAfterBreak="0">
    <w:nsid w:val="4189603E"/>
    <w:multiLevelType w:val="multilevel"/>
    <w:tmpl w:val="D4B4B71A"/>
    <w:lvl w:ilvl="0">
      <w:start w:val="1"/>
      <w:numFmt w:val="upperRoman"/>
      <w:pStyle w:val="Judul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Judul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Judul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Judul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8"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2"/>
  </w:num>
  <w:num w:numId="2">
    <w:abstractNumId w:val="6"/>
  </w:num>
  <w:num w:numId="3">
    <w:abstractNumId w:val="1"/>
  </w:num>
  <w:num w:numId="4">
    <w:abstractNumId w:val="4"/>
  </w:num>
  <w:num w:numId="5">
    <w:abstractNumId w:val="4"/>
  </w:num>
  <w:num w:numId="6">
    <w:abstractNumId w:val="4"/>
  </w:num>
  <w:num w:numId="7">
    <w:abstractNumId w:val="4"/>
  </w:num>
  <w:num w:numId="8">
    <w:abstractNumId w:val="5"/>
  </w:num>
  <w:num w:numId="9">
    <w:abstractNumId w:val="7"/>
  </w:num>
  <w:num w:numId="10">
    <w:abstractNumId w:val="3"/>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oNotTrackMoves/>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doNotUseHTMLParagraphAutoSpacing/>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A59A6"/>
    <w:rsid w:val="000333BD"/>
    <w:rsid w:val="0004390D"/>
    <w:rsid w:val="00075E5F"/>
    <w:rsid w:val="00090CF1"/>
    <w:rsid w:val="000B4641"/>
    <w:rsid w:val="000F3C55"/>
    <w:rsid w:val="00103648"/>
    <w:rsid w:val="00106078"/>
    <w:rsid w:val="0010711E"/>
    <w:rsid w:val="00122822"/>
    <w:rsid w:val="00127EDD"/>
    <w:rsid w:val="00161E19"/>
    <w:rsid w:val="0017388F"/>
    <w:rsid w:val="0019277A"/>
    <w:rsid w:val="001A492D"/>
    <w:rsid w:val="001C2C07"/>
    <w:rsid w:val="001C75C2"/>
    <w:rsid w:val="001D7D8E"/>
    <w:rsid w:val="001F20D3"/>
    <w:rsid w:val="00256FB3"/>
    <w:rsid w:val="00276735"/>
    <w:rsid w:val="00281634"/>
    <w:rsid w:val="002864A3"/>
    <w:rsid w:val="002A3CA0"/>
    <w:rsid w:val="002B3B81"/>
    <w:rsid w:val="002C389C"/>
    <w:rsid w:val="002F47AB"/>
    <w:rsid w:val="00302A32"/>
    <w:rsid w:val="00324E77"/>
    <w:rsid w:val="0034724D"/>
    <w:rsid w:val="0039062D"/>
    <w:rsid w:val="003A47B5"/>
    <w:rsid w:val="003A59A6"/>
    <w:rsid w:val="004059FE"/>
    <w:rsid w:val="00433D52"/>
    <w:rsid w:val="004445B3"/>
    <w:rsid w:val="004B1EDB"/>
    <w:rsid w:val="005302A0"/>
    <w:rsid w:val="005752C2"/>
    <w:rsid w:val="005B520E"/>
    <w:rsid w:val="005B535B"/>
    <w:rsid w:val="006038BE"/>
    <w:rsid w:val="00605675"/>
    <w:rsid w:val="006108A4"/>
    <w:rsid w:val="006424C8"/>
    <w:rsid w:val="006840E0"/>
    <w:rsid w:val="006A316D"/>
    <w:rsid w:val="006B39AC"/>
    <w:rsid w:val="006C4648"/>
    <w:rsid w:val="007013A3"/>
    <w:rsid w:val="00703033"/>
    <w:rsid w:val="00713099"/>
    <w:rsid w:val="0072064C"/>
    <w:rsid w:val="007442B3"/>
    <w:rsid w:val="00753F7B"/>
    <w:rsid w:val="0078398E"/>
    <w:rsid w:val="00787C5A"/>
    <w:rsid w:val="007919DE"/>
    <w:rsid w:val="007C0308"/>
    <w:rsid w:val="008014D2"/>
    <w:rsid w:val="008054BC"/>
    <w:rsid w:val="00807427"/>
    <w:rsid w:val="008153FD"/>
    <w:rsid w:val="00825ACB"/>
    <w:rsid w:val="008330B3"/>
    <w:rsid w:val="008909E0"/>
    <w:rsid w:val="00893E91"/>
    <w:rsid w:val="008A55B5"/>
    <w:rsid w:val="008A75C8"/>
    <w:rsid w:val="008C6A57"/>
    <w:rsid w:val="0090485E"/>
    <w:rsid w:val="00941589"/>
    <w:rsid w:val="0097508D"/>
    <w:rsid w:val="00994E69"/>
    <w:rsid w:val="009C7BD0"/>
    <w:rsid w:val="009F25A6"/>
    <w:rsid w:val="009F4673"/>
    <w:rsid w:val="00A510F7"/>
    <w:rsid w:val="00A72D93"/>
    <w:rsid w:val="00AC6519"/>
    <w:rsid w:val="00AE1398"/>
    <w:rsid w:val="00B0372C"/>
    <w:rsid w:val="00B63AD5"/>
    <w:rsid w:val="00B9378B"/>
    <w:rsid w:val="00BB29C9"/>
    <w:rsid w:val="00BE008F"/>
    <w:rsid w:val="00C02B80"/>
    <w:rsid w:val="00C04E32"/>
    <w:rsid w:val="00C16607"/>
    <w:rsid w:val="00C62CE8"/>
    <w:rsid w:val="00C706B3"/>
    <w:rsid w:val="00C70BBC"/>
    <w:rsid w:val="00C85E6F"/>
    <w:rsid w:val="00CB1404"/>
    <w:rsid w:val="00CB66E6"/>
    <w:rsid w:val="00D057D5"/>
    <w:rsid w:val="00D9156D"/>
    <w:rsid w:val="00D97088"/>
    <w:rsid w:val="00DA483B"/>
    <w:rsid w:val="00DF24AE"/>
    <w:rsid w:val="00E44CF3"/>
    <w:rsid w:val="00E63A07"/>
    <w:rsid w:val="00E91219"/>
    <w:rsid w:val="00E93877"/>
    <w:rsid w:val="00EA506F"/>
    <w:rsid w:val="00ED702B"/>
    <w:rsid w:val="00EE4362"/>
    <w:rsid w:val="00EF18D7"/>
    <w:rsid w:val="00EF1E8A"/>
    <w:rsid w:val="00EF3A1A"/>
    <w:rsid w:val="00F039B5"/>
    <w:rsid w:val="00F31E6E"/>
    <w:rsid w:val="00F34C1E"/>
    <w:rsid w:val="00F8308D"/>
    <w:rsid w:val="00FA398B"/>
    <w:rsid w:val="00FE56CA"/>
    <w:rsid w:val="00FE7D6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A633F80"/>
  <w15:chartTrackingRefBased/>
  <w15:docId w15:val="{4C28BB3F-5EFD-B546-8359-171BADA25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id-ID" w:eastAsia="id-ID" w:bidi="ar-SA"/>
      </w:rPr>
    </w:rPrDefault>
    <w:pPrDefault/>
  </w:docDefaults>
  <w:latentStyles w:defLockedState="0" w:defUIPriority="99" w:defSemiHidden="0" w:defUnhideWhenUsed="0" w:defQFormat="0" w:count="375">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535B"/>
    <w:pPr>
      <w:jc w:val="center"/>
    </w:pPr>
    <w:rPr>
      <w:rFonts w:ascii="Times New Roman" w:hAnsi="Times New Roman"/>
      <w:lang w:val="en-US" w:eastAsia="en-US"/>
    </w:rPr>
  </w:style>
  <w:style w:type="paragraph" w:styleId="Judul1">
    <w:name w:val="heading 1"/>
    <w:basedOn w:val="Normal"/>
    <w:next w:val="Normal"/>
    <w:link w:val="Judul1K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Judul2">
    <w:name w:val="heading 2"/>
    <w:basedOn w:val="Normal"/>
    <w:next w:val="Normal"/>
    <w:link w:val="Judul2K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Judul3">
    <w:name w:val="heading 3"/>
    <w:basedOn w:val="Normal"/>
    <w:next w:val="Normal"/>
    <w:link w:val="Judul3KAR"/>
    <w:uiPriority w:val="99"/>
    <w:qFormat/>
    <w:rsid w:val="004059FE"/>
    <w:pPr>
      <w:numPr>
        <w:ilvl w:val="2"/>
        <w:numId w:val="6"/>
      </w:numPr>
      <w:spacing w:line="240" w:lineRule="exact"/>
      <w:ind w:firstLine="288"/>
      <w:jc w:val="both"/>
      <w:outlineLvl w:val="2"/>
    </w:pPr>
    <w:rPr>
      <w:rFonts w:eastAsia="MS Mincho"/>
      <w:i/>
      <w:iCs/>
      <w:noProof/>
    </w:rPr>
  </w:style>
  <w:style w:type="paragraph" w:styleId="Judul4">
    <w:name w:val="heading 4"/>
    <w:basedOn w:val="Normal"/>
    <w:next w:val="Normal"/>
    <w:link w:val="Judul4K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Judul5">
    <w:name w:val="heading 5"/>
    <w:basedOn w:val="Normal"/>
    <w:next w:val="Normal"/>
    <w:link w:val="Judul5KAR"/>
    <w:uiPriority w:val="99"/>
    <w:qFormat/>
    <w:pPr>
      <w:tabs>
        <w:tab w:val="left" w:pos="360"/>
      </w:tabs>
      <w:spacing w:before="160" w:after="80"/>
      <w:outlineLvl w:val="4"/>
    </w:pPr>
    <w:rPr>
      <w:smallCaps/>
      <w:noProof/>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link w:val="Judul1"/>
    <w:uiPriority w:val="99"/>
    <w:locked/>
    <w:rsid w:val="00CB1404"/>
    <w:rPr>
      <w:rFonts w:ascii="Times New Roman" w:eastAsia="MS Mincho" w:hAnsi="Times New Roman"/>
      <w:smallCaps/>
      <w:noProof/>
    </w:rPr>
  </w:style>
  <w:style w:type="character" w:customStyle="1" w:styleId="Judul2KAR">
    <w:name w:val="Judul 2 KAR"/>
    <w:link w:val="Judul2"/>
    <w:uiPriority w:val="99"/>
    <w:locked/>
    <w:rsid w:val="00EF3A1A"/>
    <w:rPr>
      <w:rFonts w:ascii="Times New Roman" w:eastAsia="MS Mincho" w:hAnsi="Times New Roman" w:cs="Times New Roman"/>
      <w:i/>
      <w:iCs/>
      <w:noProof/>
      <w:sz w:val="20"/>
      <w:szCs w:val="20"/>
    </w:rPr>
  </w:style>
  <w:style w:type="character" w:customStyle="1" w:styleId="Judul3KAR">
    <w:name w:val="Judul 3 KAR"/>
    <w:link w:val="Judul3"/>
    <w:uiPriority w:val="99"/>
    <w:locked/>
    <w:rsid w:val="004059FE"/>
    <w:rPr>
      <w:rFonts w:ascii="Times New Roman" w:eastAsia="MS Mincho" w:hAnsi="Times New Roman" w:cs="Times New Roman"/>
      <w:i/>
      <w:iCs/>
      <w:noProof/>
      <w:sz w:val="20"/>
      <w:szCs w:val="20"/>
    </w:rPr>
  </w:style>
  <w:style w:type="character" w:customStyle="1" w:styleId="Judul4KAR">
    <w:name w:val="Judul 4 KAR"/>
    <w:link w:val="Judul4"/>
    <w:uiPriority w:val="99"/>
    <w:locked/>
    <w:rsid w:val="004059FE"/>
    <w:rPr>
      <w:rFonts w:ascii="Times New Roman" w:eastAsia="MS Mincho" w:hAnsi="Times New Roman" w:cs="Times New Roman"/>
      <w:i/>
      <w:iCs/>
      <w:noProof/>
      <w:sz w:val="20"/>
      <w:szCs w:val="20"/>
    </w:rPr>
  </w:style>
  <w:style w:type="character" w:customStyle="1" w:styleId="Judul5KAR">
    <w:name w:val="Judul 5 KAR"/>
    <w:link w:val="Judul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TeksIsi">
    <w:name w:val="Body Text"/>
    <w:basedOn w:val="Normal"/>
    <w:link w:val="TeksIsiKAR"/>
    <w:uiPriority w:val="99"/>
    <w:rsid w:val="00753F7B"/>
    <w:pPr>
      <w:tabs>
        <w:tab w:val="left" w:pos="288"/>
      </w:tabs>
      <w:spacing w:after="120" w:line="228" w:lineRule="auto"/>
      <w:ind w:firstLine="288"/>
      <w:jc w:val="both"/>
    </w:pPr>
    <w:rPr>
      <w:rFonts w:eastAsia="MS Mincho"/>
      <w:spacing w:val="-1"/>
    </w:rPr>
  </w:style>
  <w:style w:type="character" w:customStyle="1" w:styleId="TeksIsiKAR">
    <w:name w:val="Teks Isi KAR"/>
    <w:link w:val="TeksIsi"/>
    <w:uiPriority w:val="99"/>
    <w:locked/>
    <w:rsid w:val="00753F7B"/>
    <w:rPr>
      <w:rFonts w:ascii="Times New Roman" w:eastAsia="MS Mincho" w:hAnsi="Times New Roman" w:cs="Times New Roman"/>
      <w:sz w:val="20"/>
      <w:szCs w:val="20"/>
    </w:rPr>
  </w:style>
  <w:style w:type="paragraph" w:customStyle="1" w:styleId="bulletlist">
    <w:name w:val="bullet list"/>
    <w:basedOn w:val="TeksIsi"/>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character" w:styleId="Hyperlink">
    <w:name w:val="Hyperlink"/>
    <w:uiPriority w:val="99"/>
    <w:unhideWhenUsed/>
    <w:rsid w:val="00F039B5"/>
    <w:rPr>
      <w:color w:val="0563C1"/>
      <w:u w:val="single"/>
    </w:rPr>
  </w:style>
  <w:style w:type="character" w:styleId="SebutanYangBelumTerselesaikan">
    <w:name w:val="Unresolved Mention"/>
    <w:uiPriority w:val="99"/>
    <w:semiHidden/>
    <w:unhideWhenUsed/>
    <w:rsid w:val="00F039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1D4B90-D557-FF4E-8EB1-7142251EAA89}">
  <we:reference id="wa200001011" version="1.2.0.0" store="en-001" storeType="OMEX"/>
  <we:alternateReferences>
    <we:reference id="wa200001011" version="1.2.0.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E864D-04DE-454F-9C65-ED80FCDC8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7</Pages>
  <Words>17127</Words>
  <Characters>97624</Characters>
  <Application>Microsoft Office Word</Application>
  <DocSecurity>0</DocSecurity>
  <Lines>813</Lines>
  <Paragraphs>229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114522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HP</cp:lastModifiedBy>
  <cp:revision>8</cp:revision>
  <dcterms:created xsi:type="dcterms:W3CDTF">2022-01-11T03:45:00Z</dcterms:created>
  <dcterms:modified xsi:type="dcterms:W3CDTF">2022-01-11T13:45:00Z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http://www.zotero.org/styles/apa-6th-edition</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http://www.zotero.org/styles/apa</vt:lpwstr>
  </property>
  <property fmtid="{D5CDD505-2E9C-101B-9397-08002B2CF9AE}" pid="9" name="Mendeley Recent Style Name 3_1">
    <vt:lpwstr>American Psychological Association 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7d5889f2-1798-38a2-8c7e-6229dc231a37</vt:lpwstr>
  </property>
  <property fmtid="{D5CDD505-2E9C-101B-9397-08002B2CF9AE}" pid="25" name="grammarly_documentId">
    <vt:lpwstr>documentId_140</vt:lpwstr>
  </property>
  <property fmtid="{D5CDD505-2E9C-101B-9397-08002B2CF9AE}" pid="26" name="grammarly_documentContext">
    <vt:lpwstr>{"goals":[],"domain":"academic","emotions":["analytical"],"dialect":"american","audience":"expert","style":"formal"}</vt:lpwstr>
  </property>
</Properties>
</file>