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F02E8E" w14:textId="77777777" w:rsidR="003D5B79" w:rsidRPr="003D5B79" w:rsidRDefault="003D5B79" w:rsidP="003D5B79">
      <w:pPr>
        <w:jc w:val="center"/>
        <w:rPr>
          <w:rFonts w:ascii="Times New Roman" w:hAnsi="Times New Roman" w:cs="Times New Roman"/>
          <w:b/>
          <w:sz w:val="24"/>
          <w:szCs w:val="24"/>
        </w:rPr>
      </w:pPr>
      <w:r w:rsidRPr="003D5B79">
        <w:rPr>
          <w:rFonts w:ascii="Times New Roman" w:hAnsi="Times New Roman" w:cs="Times New Roman"/>
          <w:b/>
          <w:i/>
          <w:sz w:val="24"/>
          <w:szCs w:val="24"/>
        </w:rPr>
        <w:t>INFORMATION GAP</w:t>
      </w:r>
      <w:r w:rsidRPr="003D5B79">
        <w:rPr>
          <w:rFonts w:ascii="Times New Roman" w:hAnsi="Times New Roman" w:cs="Times New Roman"/>
          <w:b/>
          <w:sz w:val="24"/>
          <w:szCs w:val="24"/>
        </w:rPr>
        <w:t xml:space="preserve"> DISCLOSURE OF HAZARDOUS TOXIC WASTE IN INDONESIA</w:t>
      </w:r>
    </w:p>
    <w:p w14:paraId="5A36C48B" w14:textId="77777777" w:rsidR="003D5B79" w:rsidRPr="003D5B79" w:rsidRDefault="003D5B79" w:rsidP="003D5B79">
      <w:pPr>
        <w:spacing w:line="360" w:lineRule="auto"/>
        <w:jc w:val="center"/>
        <w:rPr>
          <w:rFonts w:ascii="Times New Roman" w:hAnsi="Times New Roman" w:cs="Times New Roman"/>
          <w:b/>
          <w:sz w:val="24"/>
          <w:szCs w:val="24"/>
        </w:rPr>
      </w:pPr>
    </w:p>
    <w:p w14:paraId="021EE2DD" w14:textId="77777777" w:rsidR="00B9610A" w:rsidRPr="00B9610A" w:rsidRDefault="00856D9D" w:rsidP="00B9610A">
      <w:pPr>
        <w:spacing w:after="0" w:line="240" w:lineRule="auto"/>
        <w:jc w:val="center"/>
        <w:rPr>
          <w:rFonts w:ascii="Times New Roman" w:hAnsi="Times New Roman" w:cs="Times New Roman"/>
          <w:sz w:val="24"/>
          <w:szCs w:val="24"/>
          <w:vertAlign w:val="superscript"/>
          <w:lang w:val="id-ID"/>
        </w:rPr>
      </w:pPr>
      <w:hyperlink r:id="rId6" w:tgtFrame="_blank" w:tooltip="View other papers by this author" w:history="1">
        <w:r w:rsidR="00B9610A" w:rsidRPr="00B9610A">
          <w:rPr>
            <w:rFonts w:ascii="Times New Roman" w:hAnsi="Times New Roman" w:cs="Times New Roman"/>
            <w:sz w:val="24"/>
            <w:szCs w:val="24"/>
            <w:lang w:val="id-ID"/>
          </w:rPr>
          <w:t>Setianingtyas Honggowati</w:t>
        </w:r>
      </w:hyperlink>
      <w:r w:rsidR="00B9610A" w:rsidRPr="00B9610A">
        <w:rPr>
          <w:rFonts w:ascii="Times New Roman" w:hAnsi="Times New Roman" w:cs="Times New Roman"/>
          <w:sz w:val="24"/>
          <w:szCs w:val="24"/>
          <w:vertAlign w:val="superscript"/>
          <w:lang w:val="id-ID"/>
        </w:rPr>
        <w:t>1</w:t>
      </w:r>
      <w:r w:rsidR="00B9610A" w:rsidRPr="00B9610A">
        <w:rPr>
          <w:rFonts w:ascii="Times New Roman" w:hAnsi="Times New Roman" w:cs="Times New Roman"/>
          <w:bCs/>
          <w:sz w:val="24"/>
          <w:szCs w:val="24"/>
          <w:lang w:val="id-ID"/>
        </w:rPr>
        <w:t xml:space="preserve">, </w:t>
      </w:r>
      <w:r w:rsidR="00B9610A" w:rsidRPr="00B9610A">
        <w:rPr>
          <w:rFonts w:ascii="Times New Roman" w:hAnsi="Times New Roman" w:cs="Times New Roman"/>
          <w:sz w:val="24"/>
          <w:szCs w:val="24"/>
          <w:lang w:val="id-ID"/>
        </w:rPr>
        <w:t>Djoko Suhardjanto</w:t>
      </w:r>
      <w:r w:rsidR="00B9610A" w:rsidRPr="00B9610A">
        <w:rPr>
          <w:rFonts w:ascii="Times New Roman" w:hAnsi="Times New Roman" w:cs="Times New Roman"/>
          <w:sz w:val="24"/>
          <w:szCs w:val="24"/>
          <w:vertAlign w:val="superscript"/>
          <w:lang w:val="id-ID"/>
        </w:rPr>
        <w:t>2</w:t>
      </w:r>
      <w:r w:rsidR="00B9610A" w:rsidRPr="00B9610A">
        <w:rPr>
          <w:rFonts w:ascii="Times New Roman" w:hAnsi="Times New Roman" w:cs="Times New Roman"/>
          <w:sz w:val="24"/>
          <w:szCs w:val="24"/>
          <w:lang w:val="id-ID"/>
        </w:rPr>
        <w:t xml:space="preserve"> </w:t>
      </w:r>
      <w:r w:rsidR="00B9610A" w:rsidRPr="00B9610A">
        <w:rPr>
          <w:rFonts w:ascii="Times New Roman" w:hAnsi="Times New Roman" w:cs="Times New Roman"/>
          <w:sz w:val="24"/>
          <w:szCs w:val="24"/>
        </w:rPr>
        <w:t xml:space="preserve">, </w:t>
      </w:r>
      <w:r w:rsidR="00B9610A" w:rsidRPr="00B9610A">
        <w:rPr>
          <w:rFonts w:ascii="Times New Roman" w:hAnsi="Times New Roman" w:cs="Times New Roman"/>
          <w:sz w:val="24"/>
          <w:szCs w:val="24"/>
          <w:lang w:val="id-ID"/>
        </w:rPr>
        <w:t>V.Wiratna Sujarweni</w:t>
      </w:r>
      <w:r w:rsidR="00B9610A" w:rsidRPr="00B9610A">
        <w:rPr>
          <w:rFonts w:ascii="Times New Roman" w:hAnsi="Times New Roman" w:cs="Times New Roman"/>
          <w:sz w:val="24"/>
          <w:szCs w:val="24"/>
          <w:vertAlign w:val="superscript"/>
          <w:lang w:val="id-ID"/>
        </w:rPr>
        <w:t>3</w:t>
      </w:r>
    </w:p>
    <w:p w14:paraId="75F1EE01" w14:textId="77777777" w:rsidR="00B9610A" w:rsidRPr="00B9610A" w:rsidRDefault="00B9610A" w:rsidP="00B9610A">
      <w:pPr>
        <w:numPr>
          <w:ilvl w:val="0"/>
          <w:numId w:val="7"/>
        </w:numPr>
        <w:spacing w:after="0" w:line="240" w:lineRule="auto"/>
        <w:contextualSpacing/>
        <w:jc w:val="both"/>
        <w:rPr>
          <w:rFonts w:ascii="Times New Roman" w:hAnsi="Times New Roman" w:cs="Times New Roman"/>
          <w:b/>
          <w:sz w:val="24"/>
          <w:szCs w:val="24"/>
          <w:lang w:val="id-ID"/>
        </w:rPr>
      </w:pPr>
      <w:r w:rsidRPr="00B9610A">
        <w:rPr>
          <w:rFonts w:ascii="Times New Roman" w:hAnsi="Times New Roman" w:cs="Times New Roman"/>
          <w:sz w:val="24"/>
          <w:szCs w:val="24"/>
          <w:lang w:val="id-ID"/>
        </w:rPr>
        <w:t xml:space="preserve">Dosen Fakultas Ekonomi dan Bisnis, Universitas Sebelas Maret </w:t>
      </w:r>
      <w:commentRangeStart w:id="0"/>
      <w:r w:rsidRPr="00B9610A">
        <w:rPr>
          <w:rFonts w:ascii="Times New Roman" w:hAnsi="Times New Roman" w:cs="Times New Roman"/>
          <w:sz w:val="24"/>
          <w:szCs w:val="24"/>
          <w:lang w:val="id-ID"/>
        </w:rPr>
        <w:t>Surakarta</w:t>
      </w:r>
      <w:commentRangeEnd w:id="0"/>
      <w:r w:rsidR="008A560E">
        <w:rPr>
          <w:rStyle w:val="CommentReference"/>
        </w:rPr>
        <w:commentReference w:id="0"/>
      </w:r>
    </w:p>
    <w:p w14:paraId="5D44A5A2" w14:textId="77777777" w:rsidR="00B9610A" w:rsidRPr="00B9610A" w:rsidRDefault="00B9610A" w:rsidP="00B9610A">
      <w:pPr>
        <w:numPr>
          <w:ilvl w:val="0"/>
          <w:numId w:val="7"/>
        </w:numPr>
        <w:spacing w:after="0" w:line="240" w:lineRule="auto"/>
        <w:contextualSpacing/>
        <w:jc w:val="both"/>
        <w:rPr>
          <w:rFonts w:ascii="Times New Roman" w:hAnsi="Times New Roman" w:cs="Times New Roman"/>
          <w:b/>
          <w:sz w:val="24"/>
          <w:szCs w:val="24"/>
          <w:lang w:val="id-ID"/>
        </w:rPr>
      </w:pPr>
      <w:r w:rsidRPr="00B9610A">
        <w:rPr>
          <w:rFonts w:ascii="Times New Roman" w:eastAsia="Times New Roman" w:hAnsi="Times New Roman" w:cs="Times New Roman"/>
          <w:color w:val="000000"/>
          <w:sz w:val="24"/>
          <w:szCs w:val="24"/>
          <w:lang w:val="en-ID" w:eastAsia="en-ID"/>
        </w:rPr>
        <w:t>Guru Besar, Fakultas Ekonomi dan Bisnis, Universitas Sebelas Maret Surakarta</w:t>
      </w:r>
      <w:r w:rsidRPr="00B9610A">
        <w:rPr>
          <w:rFonts w:ascii="Times New Roman" w:hAnsi="Times New Roman" w:cs="Times New Roman"/>
          <w:bCs/>
          <w:sz w:val="24"/>
          <w:szCs w:val="24"/>
          <w:lang w:val="id-ID"/>
        </w:rPr>
        <w:t xml:space="preserve"> </w:t>
      </w:r>
    </w:p>
    <w:p w14:paraId="2D931FC7" w14:textId="77777777" w:rsidR="00B9610A" w:rsidRPr="00B9610A" w:rsidRDefault="00B9610A" w:rsidP="00B9610A">
      <w:pPr>
        <w:numPr>
          <w:ilvl w:val="0"/>
          <w:numId w:val="7"/>
        </w:numPr>
        <w:spacing w:after="0" w:line="240" w:lineRule="auto"/>
        <w:contextualSpacing/>
        <w:jc w:val="both"/>
        <w:rPr>
          <w:rFonts w:ascii="Times New Roman" w:hAnsi="Times New Roman" w:cs="Times New Roman"/>
          <w:sz w:val="24"/>
          <w:szCs w:val="24"/>
          <w:lang w:val="id-ID"/>
        </w:rPr>
      </w:pPr>
      <w:r w:rsidRPr="00B9610A">
        <w:rPr>
          <w:rFonts w:ascii="Times New Roman" w:hAnsi="Times New Roman" w:cs="Times New Roman"/>
          <w:sz w:val="24"/>
          <w:szCs w:val="24"/>
          <w:lang w:val="id-ID"/>
        </w:rPr>
        <w:t>Mahasiswa Program Doktor Ilmu Ekonomi, Fakultas Ekonomi dan Bisnis, Universitas Sebelas Maret Surakarta; Dosen Akuntansi Universitas Respati Yogyakarta</w:t>
      </w:r>
    </w:p>
    <w:p w14:paraId="0036ECAA" w14:textId="77777777" w:rsidR="00B9610A" w:rsidRPr="00B9610A" w:rsidRDefault="00B9610A" w:rsidP="00B9610A">
      <w:pPr>
        <w:spacing w:after="0" w:line="240" w:lineRule="auto"/>
        <w:contextualSpacing/>
        <w:jc w:val="center"/>
        <w:rPr>
          <w:rFonts w:ascii="Times New Roman" w:hAnsi="Times New Roman" w:cs="Times New Roman"/>
          <w:bCs/>
          <w:sz w:val="24"/>
          <w:szCs w:val="24"/>
          <w:lang w:val="id-ID"/>
        </w:rPr>
      </w:pPr>
      <w:r w:rsidRPr="00B9610A">
        <w:rPr>
          <w:rFonts w:ascii="Times New Roman" w:hAnsi="Times New Roman" w:cs="Times New Roman"/>
          <w:bCs/>
          <w:sz w:val="24"/>
          <w:szCs w:val="24"/>
          <w:lang w:val="id-ID"/>
        </w:rPr>
        <w:t>Email:setianingtyas_h@staff.uns.ac.id</w:t>
      </w:r>
    </w:p>
    <w:p w14:paraId="5621E14A" w14:textId="77777777" w:rsidR="00B9610A" w:rsidRPr="00B9610A" w:rsidRDefault="00B9610A" w:rsidP="00B9610A">
      <w:pPr>
        <w:spacing w:after="0" w:line="240" w:lineRule="auto"/>
        <w:jc w:val="center"/>
        <w:rPr>
          <w:rFonts w:ascii="Times New Roman" w:hAnsi="Times New Roman" w:cs="Times New Roman"/>
          <w:b/>
          <w:sz w:val="24"/>
          <w:szCs w:val="24"/>
          <w:lang w:val="id-ID"/>
        </w:rPr>
      </w:pPr>
      <w:r w:rsidRPr="00B9610A">
        <w:rPr>
          <w:rFonts w:ascii="Times New Roman" w:eastAsia="Times New Roman" w:hAnsi="Times New Roman" w:cs="Times New Roman"/>
          <w:sz w:val="24"/>
          <w:szCs w:val="24"/>
          <w:lang w:val="en-ID" w:eastAsia="en-ID"/>
        </w:rPr>
        <w:t>Email: </w:t>
      </w:r>
      <w:hyperlink r:id="rId9" w:history="1">
        <w:r w:rsidRPr="00B9610A">
          <w:rPr>
            <w:rFonts w:ascii="Times New Roman" w:eastAsia="Times New Roman" w:hAnsi="Times New Roman" w:cs="Times New Roman"/>
            <w:sz w:val="24"/>
            <w:szCs w:val="24"/>
            <w:lang w:val="en-ID" w:eastAsia="en-ID"/>
          </w:rPr>
          <w:t>djoko.suhardjanto@yahoo.com</w:t>
        </w:r>
      </w:hyperlink>
    </w:p>
    <w:p w14:paraId="6CCCC22D" w14:textId="77777777" w:rsidR="003D5B79" w:rsidRDefault="00B9610A" w:rsidP="00B9610A">
      <w:pPr>
        <w:jc w:val="center"/>
        <w:rPr>
          <w:rFonts w:ascii="Times New Roman" w:hAnsi="Times New Roman" w:cs="Times New Roman"/>
          <w:b/>
          <w:sz w:val="24"/>
          <w:szCs w:val="24"/>
          <w:vertAlign w:val="superscript"/>
          <w:lang w:val="it-IT"/>
        </w:rPr>
      </w:pPr>
      <w:r w:rsidRPr="00B9610A">
        <w:rPr>
          <w:rFonts w:ascii="Times New Roman" w:eastAsia="Times New Roman" w:hAnsi="Times New Roman" w:cs="Times New Roman"/>
          <w:sz w:val="24"/>
          <w:szCs w:val="24"/>
          <w:lang w:val="en-ID" w:eastAsia="en-ID"/>
        </w:rPr>
        <w:t>Email: </w:t>
      </w:r>
      <w:hyperlink r:id="rId10" w:history="1">
        <w:r w:rsidRPr="00B9610A">
          <w:rPr>
            <w:rFonts w:ascii="Times New Roman" w:eastAsia="Times New Roman" w:hAnsi="Times New Roman" w:cs="Times New Roman"/>
            <w:sz w:val="24"/>
            <w:szCs w:val="24"/>
            <w:lang w:val="en-ID" w:eastAsia="en-ID"/>
          </w:rPr>
          <w:t>nana_wiratna@yahoo.com</w:t>
        </w:r>
      </w:hyperlink>
    </w:p>
    <w:p w14:paraId="06422EF7" w14:textId="77777777" w:rsidR="009C55B3" w:rsidRPr="003D5B79" w:rsidRDefault="009C55B3" w:rsidP="003D5B79">
      <w:pPr>
        <w:jc w:val="center"/>
        <w:rPr>
          <w:rFonts w:ascii="Times New Roman" w:hAnsi="Times New Roman" w:cs="Times New Roman"/>
          <w:b/>
          <w:sz w:val="24"/>
          <w:szCs w:val="24"/>
          <w:lang w:val="it-IT"/>
        </w:rPr>
      </w:pPr>
    </w:p>
    <w:p w14:paraId="34105B86" w14:textId="77777777" w:rsidR="000E22F6" w:rsidRDefault="000E22F6" w:rsidP="003D5B79">
      <w:pPr>
        <w:spacing w:after="0" w:line="240" w:lineRule="auto"/>
        <w:jc w:val="center"/>
        <w:rPr>
          <w:rFonts w:ascii="Times New Roman" w:hAnsi="Times New Roman" w:cs="Times New Roman"/>
          <w:b/>
          <w:sz w:val="24"/>
          <w:szCs w:val="24"/>
        </w:rPr>
        <w:sectPr w:rsidR="000E22F6">
          <w:pgSz w:w="12240" w:h="15840"/>
          <w:pgMar w:top="1440" w:right="1440" w:bottom="1440" w:left="1440" w:header="720" w:footer="720" w:gutter="0"/>
          <w:cols w:space="720"/>
          <w:docGrid w:linePitch="360"/>
        </w:sectPr>
      </w:pPr>
    </w:p>
    <w:p w14:paraId="7293FA72" w14:textId="77777777" w:rsidR="003D5B79" w:rsidRPr="003D5B79" w:rsidRDefault="003D5B79" w:rsidP="003D5B79">
      <w:pPr>
        <w:spacing w:after="0" w:line="240" w:lineRule="auto"/>
        <w:jc w:val="center"/>
        <w:rPr>
          <w:rFonts w:ascii="Times New Roman" w:hAnsi="Times New Roman" w:cs="Times New Roman"/>
          <w:b/>
          <w:sz w:val="24"/>
          <w:szCs w:val="24"/>
        </w:rPr>
      </w:pPr>
      <w:r w:rsidRPr="003D5B79">
        <w:rPr>
          <w:rFonts w:ascii="Times New Roman" w:hAnsi="Times New Roman" w:cs="Times New Roman"/>
          <w:b/>
          <w:sz w:val="24"/>
          <w:szCs w:val="24"/>
        </w:rPr>
        <w:lastRenderedPageBreak/>
        <w:t>Abstract</w:t>
      </w:r>
    </w:p>
    <w:p w14:paraId="31FBCE4B" w14:textId="77777777" w:rsidR="003D5B79" w:rsidRPr="003D5B79" w:rsidRDefault="003D5B79" w:rsidP="003D5B79">
      <w:pPr>
        <w:spacing w:after="0" w:line="240" w:lineRule="auto"/>
        <w:jc w:val="both"/>
        <w:rPr>
          <w:rFonts w:ascii="Times New Roman" w:hAnsi="Times New Roman" w:cs="Times New Roman"/>
          <w:b/>
          <w:sz w:val="24"/>
          <w:szCs w:val="24"/>
        </w:rPr>
      </w:pPr>
    </w:p>
    <w:p w14:paraId="2425D5DC" w14:textId="77777777" w:rsidR="003D5B79" w:rsidRPr="003D5B79" w:rsidRDefault="003D5B79" w:rsidP="003D5B79">
      <w:pPr>
        <w:shd w:val="clear" w:color="auto" w:fill="FFFFFF"/>
        <w:spacing w:after="0" w:line="240" w:lineRule="auto"/>
        <w:ind w:firstLine="1080"/>
        <w:jc w:val="both"/>
        <w:textAlignment w:val="baseline"/>
        <w:rPr>
          <w:rFonts w:ascii="Times New Roman" w:eastAsia="Times New Roman" w:hAnsi="Times New Roman" w:cs="Times New Roman"/>
          <w:sz w:val="24"/>
          <w:szCs w:val="24"/>
        </w:rPr>
      </w:pPr>
      <w:r w:rsidRPr="003D5B79">
        <w:rPr>
          <w:rFonts w:ascii="Times New Roman" w:eastAsia="Times New Roman" w:hAnsi="Times New Roman" w:cs="Times New Roman"/>
          <w:sz w:val="24"/>
          <w:szCs w:val="24"/>
        </w:rPr>
        <w:t xml:space="preserve">This study aims to compile a disclosure index of Toxic Hazardous Waste (LB3), to examine the information gap in LB3 disclosure in Indonesia. This study uses the theory of legitimacy of the normative stakeholder approach. The research method used is quantitative. The types of data used are primary and secondary data. Preliminary data were obtained from the Discussion Group Forum (FGD), distributing questionnaires about LB3 disclosure addressed to normative stakeholders. Secondary data comes from the annual reports of companies in the manufacturing sector, oil and gas, mineral and coal mining </w:t>
      </w:r>
      <w:r w:rsidRPr="003D5B79">
        <w:rPr>
          <w:rFonts w:ascii="Times New Roman" w:eastAsia="Times New Roman" w:hAnsi="Times New Roman" w:cs="Times New Roman"/>
          <w:sz w:val="24"/>
          <w:szCs w:val="24"/>
        </w:rPr>
        <w:lastRenderedPageBreak/>
        <w:t>management (minerba) on the Indonesia Stock Exchange (IDX) in 2012-2019. The sampling technique used is accidental sampling and purposive sampling. Processing of data using Cartesian diagram, independent difference test sample t-test.</w:t>
      </w:r>
    </w:p>
    <w:p w14:paraId="5A8A1EC1" w14:textId="77777777" w:rsidR="003D5B79" w:rsidRPr="003D5B79" w:rsidRDefault="003D5B79" w:rsidP="003D5B79">
      <w:pPr>
        <w:shd w:val="clear" w:color="auto" w:fill="FFFFFF"/>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3D5B79">
        <w:rPr>
          <w:rFonts w:ascii="Times New Roman" w:eastAsia="Times New Roman" w:hAnsi="Times New Roman" w:cs="Times New Roman"/>
          <w:sz w:val="24"/>
          <w:szCs w:val="24"/>
        </w:rPr>
        <w:t>These research results are the LB3 disclosure weighted index, which is 21 items. The following result is a difference in demand from stakeholders with the supply of LB3 disclosures for companies, where stakeholder demand for information on LB3 disclosures is high. In contrast, the realization of LB3 di</w:t>
      </w:r>
      <w:r>
        <w:rPr>
          <w:rFonts w:ascii="Times New Roman" w:eastAsia="Times New Roman" w:hAnsi="Times New Roman" w:cs="Times New Roman"/>
          <w:sz w:val="24"/>
          <w:szCs w:val="24"/>
        </w:rPr>
        <w:t>sclosures for companies is low.</w:t>
      </w:r>
    </w:p>
    <w:p w14:paraId="7FCAB70A" w14:textId="77777777" w:rsidR="003D5B79" w:rsidRDefault="003D5B79" w:rsidP="003D5B79">
      <w:pPr>
        <w:shd w:val="clear" w:color="auto" w:fill="FFFFFF"/>
        <w:spacing w:after="0" w:line="240" w:lineRule="auto"/>
        <w:jc w:val="both"/>
        <w:textAlignment w:val="baseline"/>
        <w:rPr>
          <w:rFonts w:ascii="Times New Roman" w:eastAsia="Times New Roman" w:hAnsi="Times New Roman" w:cs="Times New Roman"/>
          <w:sz w:val="24"/>
          <w:szCs w:val="24"/>
        </w:rPr>
      </w:pPr>
      <w:r w:rsidRPr="003D5B79">
        <w:rPr>
          <w:rFonts w:ascii="Times New Roman" w:eastAsia="Times New Roman" w:hAnsi="Times New Roman" w:cs="Times New Roman"/>
          <w:sz w:val="24"/>
          <w:szCs w:val="24"/>
        </w:rPr>
        <w:t>Keywords: Information gap. demand and supply disclosure LB3</w:t>
      </w:r>
    </w:p>
    <w:p w14:paraId="1EDCEE2D" w14:textId="77777777" w:rsidR="000E22F6" w:rsidRDefault="000E22F6" w:rsidP="003D5B79">
      <w:pPr>
        <w:shd w:val="clear" w:color="auto" w:fill="FFFFFF"/>
        <w:spacing w:after="0" w:line="240" w:lineRule="auto"/>
        <w:jc w:val="both"/>
        <w:textAlignment w:val="baseline"/>
        <w:rPr>
          <w:rFonts w:ascii="Times New Roman" w:eastAsia="Times New Roman" w:hAnsi="Times New Roman" w:cs="Times New Roman"/>
          <w:sz w:val="24"/>
          <w:szCs w:val="24"/>
        </w:rPr>
        <w:sectPr w:rsidR="000E22F6" w:rsidSect="000E22F6">
          <w:type w:val="continuous"/>
          <w:pgSz w:w="12240" w:h="15840"/>
          <w:pgMar w:top="1440" w:right="1440" w:bottom="1440" w:left="1440" w:header="720" w:footer="720" w:gutter="0"/>
          <w:cols w:num="2" w:space="720"/>
          <w:docGrid w:linePitch="360"/>
        </w:sectPr>
      </w:pPr>
    </w:p>
    <w:p w14:paraId="1CA9EB6C" w14:textId="77777777" w:rsidR="003D5B79" w:rsidRPr="003D5B79" w:rsidRDefault="003D5B79" w:rsidP="003D5B79">
      <w:pPr>
        <w:shd w:val="clear" w:color="auto" w:fill="FFFFFF"/>
        <w:spacing w:after="0" w:line="240" w:lineRule="auto"/>
        <w:jc w:val="both"/>
        <w:textAlignment w:val="baseline"/>
        <w:rPr>
          <w:rFonts w:ascii="Times New Roman" w:eastAsia="Times New Roman" w:hAnsi="Times New Roman" w:cs="Times New Roman"/>
          <w:sz w:val="24"/>
          <w:szCs w:val="24"/>
        </w:rPr>
      </w:pPr>
    </w:p>
    <w:p w14:paraId="3DB9551E" w14:textId="77777777" w:rsidR="009C55B3" w:rsidRDefault="009C55B3" w:rsidP="003D5B79">
      <w:pPr>
        <w:pStyle w:val="ListParagraph"/>
        <w:numPr>
          <w:ilvl w:val="0"/>
          <w:numId w:val="5"/>
        </w:numPr>
        <w:spacing w:after="0" w:line="240" w:lineRule="auto"/>
        <w:jc w:val="both"/>
        <w:rPr>
          <w:rFonts w:ascii="Times New Roman" w:hAnsi="Times New Roman"/>
          <w:b/>
          <w:sz w:val="24"/>
          <w:szCs w:val="24"/>
        </w:rPr>
        <w:sectPr w:rsidR="009C55B3" w:rsidSect="000E22F6">
          <w:type w:val="continuous"/>
          <w:pgSz w:w="12240" w:h="15840"/>
          <w:pgMar w:top="1440" w:right="1440" w:bottom="1440" w:left="1440" w:header="720" w:footer="720" w:gutter="0"/>
          <w:cols w:num="2" w:space="720"/>
          <w:docGrid w:linePitch="360"/>
        </w:sectPr>
      </w:pPr>
    </w:p>
    <w:p w14:paraId="0A03334C" w14:textId="77777777" w:rsidR="003D5B79" w:rsidRPr="003D5B79" w:rsidRDefault="003D5B79" w:rsidP="003D5B79">
      <w:pPr>
        <w:pStyle w:val="ListParagraph"/>
        <w:numPr>
          <w:ilvl w:val="0"/>
          <w:numId w:val="5"/>
        </w:numPr>
        <w:spacing w:after="0" w:line="240" w:lineRule="auto"/>
        <w:jc w:val="both"/>
        <w:rPr>
          <w:rFonts w:ascii="Times New Roman" w:hAnsi="Times New Roman"/>
          <w:b/>
          <w:sz w:val="24"/>
          <w:szCs w:val="24"/>
        </w:rPr>
      </w:pPr>
      <w:r>
        <w:rPr>
          <w:rFonts w:ascii="Times New Roman" w:hAnsi="Times New Roman"/>
          <w:b/>
          <w:sz w:val="24"/>
          <w:szCs w:val="24"/>
        </w:rPr>
        <w:lastRenderedPageBreak/>
        <w:t>INTRODUCTION</w:t>
      </w:r>
    </w:p>
    <w:p w14:paraId="37D3A474" w14:textId="77777777" w:rsidR="003D5B79" w:rsidRPr="003D5B79" w:rsidRDefault="003D5B79" w:rsidP="003D5B79">
      <w:pPr>
        <w:shd w:val="clear" w:color="auto" w:fill="FFFFFF"/>
        <w:spacing w:after="0" w:line="240" w:lineRule="auto"/>
        <w:ind w:firstLine="720"/>
        <w:jc w:val="both"/>
        <w:rPr>
          <w:rFonts w:ascii="Times New Roman" w:hAnsi="Times New Roman" w:cs="Times New Roman"/>
          <w:sz w:val="24"/>
          <w:szCs w:val="24"/>
        </w:rPr>
      </w:pPr>
      <w:r w:rsidRPr="003D5B79">
        <w:rPr>
          <w:rFonts w:ascii="Times New Roman" w:hAnsi="Times New Roman" w:cs="Times New Roman"/>
          <w:sz w:val="24"/>
          <w:szCs w:val="24"/>
        </w:rPr>
        <w:t xml:space="preserve">The milestone in the history of </w:t>
      </w:r>
      <w:commentRangeStart w:id="1"/>
      <w:r w:rsidRPr="003D5B79">
        <w:rPr>
          <w:rFonts w:ascii="Times New Roman" w:hAnsi="Times New Roman" w:cs="Times New Roman"/>
          <w:sz w:val="24"/>
          <w:szCs w:val="24"/>
        </w:rPr>
        <w:t>environmental</w:t>
      </w:r>
      <w:commentRangeEnd w:id="1"/>
      <w:r w:rsidR="00856D9D">
        <w:rPr>
          <w:rStyle w:val="CommentReference"/>
        </w:rPr>
        <w:commentReference w:id="1"/>
      </w:r>
      <w:r w:rsidRPr="003D5B79">
        <w:rPr>
          <w:rFonts w:ascii="Times New Roman" w:hAnsi="Times New Roman" w:cs="Times New Roman"/>
          <w:sz w:val="24"/>
          <w:szCs w:val="24"/>
        </w:rPr>
        <w:t xml:space="preserve"> problems in Indonesia began withholding a seminar on ecological management and national development by Universitas Padjadjaran Bandung on 15-18 May 1972. March 11, 1982, was formulated in law, namely Law no. 4 of 1982 concerning the main provisions of environmental management. To better guarantee legal certainty and provide protection for everyone's right to a good and healthy living environment as part of protecting the whole </w:t>
      </w:r>
      <w:r w:rsidRPr="003D5B79">
        <w:rPr>
          <w:rFonts w:ascii="Times New Roman" w:hAnsi="Times New Roman" w:cs="Times New Roman"/>
          <w:sz w:val="24"/>
          <w:szCs w:val="24"/>
        </w:rPr>
        <w:lastRenderedPageBreak/>
        <w:t>ecosystem, amendments are made to the law on environmental management.</w:t>
      </w:r>
    </w:p>
    <w:p w14:paraId="4D58D8AC" w14:textId="77777777" w:rsidR="003D5B79" w:rsidRPr="003D5B79" w:rsidRDefault="003D5B79" w:rsidP="003D5B79">
      <w:pPr>
        <w:shd w:val="clear" w:color="auto" w:fill="FFFFFF"/>
        <w:spacing w:after="0" w:line="240" w:lineRule="auto"/>
        <w:ind w:firstLine="720"/>
        <w:jc w:val="both"/>
        <w:rPr>
          <w:rFonts w:ascii="Times New Roman" w:hAnsi="Times New Roman" w:cs="Times New Roman"/>
          <w:sz w:val="24"/>
          <w:szCs w:val="24"/>
        </w:rPr>
      </w:pPr>
      <w:r w:rsidRPr="003D5B79">
        <w:rPr>
          <w:rFonts w:ascii="Times New Roman" w:hAnsi="Times New Roman" w:cs="Times New Roman"/>
          <w:sz w:val="24"/>
          <w:szCs w:val="24"/>
        </w:rPr>
        <w:t xml:space="preserve">Pollution and environmental damage impact not only human survival now but also threaten human survival in the future, so it is necessary to protect and manage the environment correctly and consistently. Cases of environmental damage caused by LB3 companies in Indonesia, namely PT NTS, is a waste treatment service company that has disposed of solid LB3 in an unlicensed place, causing the soil to be contaminated with heavy metals (Gakum, </w:t>
      </w:r>
      <w:r w:rsidRPr="003D5B79">
        <w:rPr>
          <w:rFonts w:ascii="Times New Roman" w:hAnsi="Times New Roman" w:cs="Times New Roman"/>
          <w:sz w:val="24"/>
          <w:szCs w:val="24"/>
        </w:rPr>
        <w:lastRenderedPageBreak/>
        <w:t>2020). The case of PT Green Environmental Mojokerto is a waste treatment service that disposes of liquid and solid LB3 in rivers without processing it first so that residents experience skin diseases (Mongabaya.co.id,), and many other cases occurred in Indonesia caused by because the management of LB3 is not following the procedures and does not even manage LB3</w:t>
      </w:r>
      <w:r w:rsidRPr="003D5B79">
        <w:rPr>
          <w:rFonts w:ascii="Times New Roman" w:eastAsia="Times New Roman" w:hAnsi="Times New Roman" w:cs="Times New Roman"/>
          <w:color w:val="000000"/>
          <w:sz w:val="24"/>
          <w:szCs w:val="24"/>
        </w:rPr>
        <w:t>.</w:t>
      </w:r>
    </w:p>
    <w:p w14:paraId="647D12DA" w14:textId="77777777" w:rsidR="003D5B79" w:rsidRPr="003D5B79" w:rsidRDefault="003D5B79" w:rsidP="003D5B79">
      <w:pPr>
        <w:shd w:val="clear" w:color="auto" w:fill="FFFFFF"/>
        <w:spacing w:after="0" w:line="240" w:lineRule="auto"/>
        <w:ind w:firstLine="720"/>
        <w:jc w:val="both"/>
        <w:rPr>
          <w:rFonts w:ascii="Times New Roman" w:eastAsia="Times New Roman" w:hAnsi="Times New Roman" w:cs="Times New Roman"/>
          <w:color w:val="000000"/>
          <w:kern w:val="24"/>
          <w:sz w:val="24"/>
          <w:szCs w:val="24"/>
          <w:lang w:val="fi-FI"/>
        </w:rPr>
      </w:pPr>
      <w:r w:rsidRPr="003D5B79">
        <w:rPr>
          <w:rFonts w:ascii="Times New Roman" w:eastAsia="Times New Roman" w:hAnsi="Times New Roman" w:cs="Times New Roman"/>
          <w:color w:val="000000"/>
          <w:kern w:val="24"/>
          <w:sz w:val="24"/>
          <w:szCs w:val="24"/>
          <w:lang w:val="fi-FI"/>
        </w:rPr>
        <w:t xml:space="preserve">This increasingly severe and dangerous damage requires companies and the business </w:t>
      </w:r>
      <w:r w:rsidRPr="003D5B79">
        <w:rPr>
          <w:rFonts w:ascii="Times New Roman" w:hAnsi="Times New Roman" w:cs="Times New Roman"/>
          <w:sz w:val="24"/>
          <w:szCs w:val="24"/>
        </w:rPr>
        <w:t>world</w:t>
      </w:r>
      <w:r w:rsidRPr="003D5B79">
        <w:rPr>
          <w:rFonts w:ascii="Times New Roman" w:eastAsia="Times New Roman" w:hAnsi="Times New Roman" w:cs="Times New Roman"/>
          <w:color w:val="000000"/>
          <w:kern w:val="24"/>
          <w:sz w:val="24"/>
          <w:szCs w:val="24"/>
          <w:lang w:val="fi-FI"/>
        </w:rPr>
        <w:t xml:space="preserve"> to repair and conserve nature. The Indonesian government regulates by making the following regulations:</w:t>
      </w:r>
    </w:p>
    <w:p w14:paraId="2D492344" w14:textId="77777777" w:rsidR="003D5B79" w:rsidRPr="003D5B79" w:rsidRDefault="003D5B79" w:rsidP="003D5B79">
      <w:pPr>
        <w:spacing w:after="0" w:line="240" w:lineRule="auto"/>
        <w:ind w:left="360" w:hanging="360"/>
        <w:jc w:val="both"/>
        <w:rPr>
          <w:rFonts w:ascii="Times New Roman" w:hAnsi="Times New Roman" w:cs="Times New Roman"/>
          <w:sz w:val="24"/>
          <w:szCs w:val="24"/>
        </w:rPr>
      </w:pPr>
      <w:r w:rsidRPr="003D5B79">
        <w:rPr>
          <w:rFonts w:ascii="Times New Roman" w:eastAsia="Times New Roman" w:hAnsi="Times New Roman" w:cs="Times New Roman"/>
          <w:color w:val="000000"/>
          <w:kern w:val="24"/>
          <w:sz w:val="24"/>
          <w:szCs w:val="24"/>
          <w:lang w:val="fi-FI"/>
        </w:rPr>
        <w:t>1. Law Number 40 of 2007 concerning Limited Liability Companies, which regulates the company's obligations to carry out corporate social responsibility or better known as Corporate Social Responsibility (CSR)</w:t>
      </w:r>
      <w:r w:rsidRPr="003D5B79">
        <w:rPr>
          <w:rFonts w:ascii="Times New Roman" w:hAnsi="Times New Roman" w:cs="Times New Roman"/>
          <w:sz w:val="24"/>
          <w:szCs w:val="24"/>
        </w:rPr>
        <w:t>.</w:t>
      </w:r>
    </w:p>
    <w:p w14:paraId="69DABB05" w14:textId="77777777" w:rsidR="003D5B79" w:rsidRPr="003D5B79" w:rsidRDefault="003D5B79" w:rsidP="003D5B79">
      <w:pPr>
        <w:spacing w:after="0" w:line="240" w:lineRule="auto"/>
        <w:ind w:left="360" w:hanging="360"/>
        <w:jc w:val="both"/>
        <w:rPr>
          <w:rFonts w:ascii="Times New Roman" w:hAnsi="Times New Roman" w:cs="Times New Roman"/>
          <w:sz w:val="24"/>
          <w:szCs w:val="24"/>
        </w:rPr>
      </w:pPr>
      <w:r w:rsidRPr="003D5B79">
        <w:rPr>
          <w:rFonts w:ascii="Times New Roman" w:hAnsi="Times New Roman" w:cs="Times New Roman"/>
          <w:sz w:val="24"/>
          <w:szCs w:val="24"/>
        </w:rPr>
        <w:t>2.</w:t>
      </w:r>
      <w:r w:rsidRPr="003D5B79">
        <w:rPr>
          <w:rFonts w:ascii="Times New Roman" w:hAnsi="Times New Roman" w:cs="Times New Roman"/>
          <w:sz w:val="24"/>
          <w:szCs w:val="24"/>
        </w:rPr>
        <w:tab/>
        <w:t xml:space="preserve">Government Regulation (PP) Number 47 of 2012 concerning Social and Environmental Responsibility for Limited Liability Companies. </w:t>
      </w:r>
    </w:p>
    <w:p w14:paraId="0745AE6C" w14:textId="77777777" w:rsidR="003D5B79" w:rsidRPr="003D5B79" w:rsidRDefault="003D5B79" w:rsidP="003D5B79">
      <w:pPr>
        <w:shd w:val="clear" w:color="auto" w:fill="FFFFFF"/>
        <w:spacing w:after="0" w:line="240" w:lineRule="auto"/>
        <w:ind w:firstLine="720"/>
        <w:jc w:val="both"/>
        <w:rPr>
          <w:rFonts w:ascii="Times New Roman" w:hAnsi="Times New Roman" w:cs="Times New Roman"/>
          <w:sz w:val="24"/>
          <w:szCs w:val="24"/>
        </w:rPr>
      </w:pPr>
      <w:r w:rsidRPr="003D5B79">
        <w:rPr>
          <w:rFonts w:ascii="Times New Roman" w:hAnsi="Times New Roman" w:cs="Times New Roman"/>
          <w:sz w:val="24"/>
          <w:szCs w:val="24"/>
        </w:rPr>
        <w:t xml:space="preserve">A survey conducted by the Indonesian Forum for the Environment (WALHI) in 2015 provided data that during 2011 there were 107 cases of environmental </w:t>
      </w:r>
      <w:r w:rsidRPr="003D5B79">
        <w:rPr>
          <w:rFonts w:ascii="Times New Roman" w:hAnsi="Times New Roman" w:cs="Times New Roman"/>
          <w:sz w:val="24"/>
          <w:szCs w:val="24"/>
        </w:rPr>
        <w:lastRenderedPageBreak/>
        <w:t>violations, in 2012 there were 118 cases, from 2013 to March, there were four violations LB3 caused the majority. From several violations, 70% resulted in widespread conflict. The emergence of this conflict is due to the low quality of environmental responsibility and the standard ecological disclosure in the company's annual reports (WALHI, 2015). Environmental pollution caused by company activities creates pressure from various parties, especially the community, to provide transparent information about their ecological activities (Anggraini, 2006).</w:t>
      </w:r>
    </w:p>
    <w:p w14:paraId="17412587" w14:textId="77777777" w:rsidR="003D5B79" w:rsidRPr="003D5B79" w:rsidRDefault="003D5B79" w:rsidP="003D5B79">
      <w:pPr>
        <w:shd w:val="clear" w:color="auto" w:fill="FFFFFF"/>
        <w:spacing w:after="0" w:line="240" w:lineRule="auto"/>
        <w:ind w:firstLine="720"/>
        <w:jc w:val="both"/>
        <w:rPr>
          <w:rFonts w:ascii="Times New Roman" w:hAnsi="Times New Roman" w:cs="Times New Roman"/>
          <w:sz w:val="24"/>
          <w:szCs w:val="24"/>
        </w:rPr>
      </w:pPr>
      <w:r w:rsidRPr="003D5B79">
        <w:rPr>
          <w:rFonts w:ascii="Times New Roman" w:hAnsi="Times New Roman" w:cs="Times New Roman"/>
          <w:sz w:val="24"/>
          <w:szCs w:val="24"/>
        </w:rPr>
        <w:t>In Indonesia, the disclosure of environmental information, especially LB3, is still voluntary, and there are no standard rules that require it, as is the case with company financial statements. Disclosure of environmental waste in Indonesia is also low. Figure 1 shows the results of disclosure of waste in mining, palm oil, and hospital companies listed on the Stock Exchange in 2016 to 2018 annual reports. The graph shows that waste disclosure is low and fluctuates, increasing from average waste disclosure was 7% in 2016 to 11% in 2017 and decreasing to 10% in 2018.</w:t>
      </w:r>
    </w:p>
    <w:p w14:paraId="394959AD" w14:textId="77777777" w:rsidR="009C55B3" w:rsidRDefault="009C55B3" w:rsidP="003D5B79">
      <w:pPr>
        <w:shd w:val="clear" w:color="auto" w:fill="FFFFFF"/>
        <w:spacing w:after="0" w:line="240" w:lineRule="auto"/>
        <w:ind w:firstLine="86"/>
        <w:jc w:val="both"/>
        <w:rPr>
          <w:rFonts w:ascii="Times New Roman" w:hAnsi="Times New Roman" w:cs="Times New Roman"/>
          <w:sz w:val="24"/>
          <w:szCs w:val="24"/>
        </w:rPr>
        <w:sectPr w:rsidR="009C55B3" w:rsidSect="000E22F6">
          <w:type w:val="continuous"/>
          <w:pgSz w:w="12240" w:h="15840"/>
          <w:pgMar w:top="1440" w:right="1440" w:bottom="1440" w:left="1440" w:header="720" w:footer="720" w:gutter="0"/>
          <w:cols w:num="2" w:space="720"/>
          <w:docGrid w:linePitch="360"/>
        </w:sectPr>
      </w:pPr>
    </w:p>
    <w:p w14:paraId="4E020D13" w14:textId="77777777" w:rsidR="000E22F6" w:rsidRDefault="000E22F6" w:rsidP="003D5B79">
      <w:pPr>
        <w:shd w:val="clear" w:color="auto" w:fill="FFFFFF"/>
        <w:spacing w:after="0" w:line="240" w:lineRule="auto"/>
        <w:ind w:firstLine="86"/>
        <w:jc w:val="both"/>
        <w:rPr>
          <w:rFonts w:ascii="Times New Roman" w:hAnsi="Times New Roman" w:cs="Times New Roman"/>
          <w:sz w:val="24"/>
          <w:szCs w:val="24"/>
        </w:rPr>
        <w:sectPr w:rsidR="000E22F6" w:rsidSect="009C55B3">
          <w:type w:val="continuous"/>
          <w:pgSz w:w="12240" w:h="15840"/>
          <w:pgMar w:top="1440" w:right="1440" w:bottom="1440" w:left="1440" w:header="720" w:footer="720" w:gutter="0"/>
          <w:cols w:space="720"/>
          <w:docGrid w:linePitch="360"/>
        </w:sectPr>
      </w:pPr>
    </w:p>
    <w:p w14:paraId="3FBC79D4" w14:textId="77777777" w:rsidR="003D5B79" w:rsidRPr="003D5B79" w:rsidRDefault="003D5B79" w:rsidP="003D5B79">
      <w:pPr>
        <w:shd w:val="clear" w:color="auto" w:fill="FFFFFF"/>
        <w:spacing w:after="0" w:line="240" w:lineRule="auto"/>
        <w:ind w:firstLine="86"/>
        <w:jc w:val="both"/>
        <w:rPr>
          <w:rFonts w:ascii="Times New Roman" w:hAnsi="Times New Roman" w:cs="Times New Roman"/>
          <w:sz w:val="24"/>
          <w:szCs w:val="24"/>
        </w:rPr>
      </w:pPr>
      <w:r w:rsidRPr="003D5B79">
        <w:rPr>
          <w:rFonts w:ascii="Times New Roman" w:hAnsi="Times New Roman" w:cs="Times New Roman"/>
          <w:noProof/>
          <w:sz w:val="24"/>
          <w:szCs w:val="24"/>
        </w:rPr>
        <w:lastRenderedPageBreak/>
        <w:drawing>
          <wp:inline distT="0" distB="0" distL="0" distR="0" wp14:anchorId="4C6AC44B" wp14:editId="36F9543A">
            <wp:extent cx="480060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l="32410" t="25171" r="24658" b="15466"/>
                    <a:stretch>
                      <a:fillRect/>
                    </a:stretch>
                  </pic:blipFill>
                  <pic:spPr bwMode="auto">
                    <a:xfrm>
                      <a:off x="0" y="0"/>
                      <a:ext cx="4800600" cy="1828800"/>
                    </a:xfrm>
                    <a:prstGeom prst="rect">
                      <a:avLst/>
                    </a:prstGeom>
                    <a:noFill/>
                    <a:ln>
                      <a:noFill/>
                    </a:ln>
                  </pic:spPr>
                </pic:pic>
              </a:graphicData>
            </a:graphic>
          </wp:inline>
        </w:drawing>
      </w:r>
    </w:p>
    <w:p w14:paraId="3C9A9162" w14:textId="77777777" w:rsidR="003D5B79" w:rsidRPr="003D5B79" w:rsidRDefault="003D5B79" w:rsidP="003D5B79">
      <w:pPr>
        <w:spacing w:after="0" w:line="240" w:lineRule="auto"/>
        <w:ind w:firstLine="720"/>
        <w:jc w:val="both"/>
        <w:rPr>
          <w:rFonts w:ascii="Times New Roman" w:hAnsi="Times New Roman" w:cs="Times New Roman"/>
          <w:sz w:val="24"/>
          <w:szCs w:val="24"/>
        </w:rPr>
      </w:pPr>
      <w:r w:rsidRPr="003D5B79">
        <w:rPr>
          <w:rFonts w:ascii="Times New Roman" w:hAnsi="Times New Roman" w:cs="Times New Roman"/>
          <w:sz w:val="24"/>
          <w:szCs w:val="24"/>
        </w:rPr>
        <w:t>Source: Sujarweni (2019)</w:t>
      </w:r>
    </w:p>
    <w:p w14:paraId="10C82E80" w14:textId="77777777" w:rsidR="009C55B3" w:rsidRDefault="009C55B3" w:rsidP="003D5B79">
      <w:pPr>
        <w:spacing w:after="0" w:line="240" w:lineRule="auto"/>
        <w:ind w:firstLine="720"/>
        <w:jc w:val="both"/>
        <w:rPr>
          <w:rFonts w:ascii="Times New Roman" w:hAnsi="Times New Roman" w:cs="Times New Roman"/>
          <w:sz w:val="24"/>
          <w:szCs w:val="24"/>
        </w:rPr>
        <w:sectPr w:rsidR="009C55B3" w:rsidSect="009C55B3">
          <w:type w:val="continuous"/>
          <w:pgSz w:w="12240" w:h="15840"/>
          <w:pgMar w:top="1440" w:right="1440" w:bottom="1440" w:left="1440" w:header="720" w:footer="720" w:gutter="0"/>
          <w:cols w:space="720"/>
          <w:docGrid w:linePitch="360"/>
        </w:sectPr>
      </w:pPr>
    </w:p>
    <w:p w14:paraId="6AACAC6E" w14:textId="77777777" w:rsidR="003D5B79" w:rsidRPr="003D5B79" w:rsidRDefault="003D5B79" w:rsidP="003D5B79">
      <w:pPr>
        <w:spacing w:after="0" w:line="240" w:lineRule="auto"/>
        <w:ind w:firstLine="720"/>
        <w:jc w:val="both"/>
        <w:rPr>
          <w:rFonts w:ascii="Times New Roman" w:hAnsi="Times New Roman" w:cs="Times New Roman"/>
          <w:color w:val="000000"/>
          <w:sz w:val="24"/>
          <w:szCs w:val="24"/>
        </w:rPr>
      </w:pPr>
      <w:r w:rsidRPr="003D5B79">
        <w:rPr>
          <w:rFonts w:ascii="Times New Roman" w:hAnsi="Times New Roman" w:cs="Times New Roman"/>
          <w:sz w:val="24"/>
          <w:szCs w:val="24"/>
        </w:rPr>
        <w:lastRenderedPageBreak/>
        <w:t>Figure 1 Diagram of the Results of Disclosure of Waste from Mining, Palm Oil, and Hospital Companies on the Stock Exchange in 2016-2018</w:t>
      </w:r>
    </w:p>
    <w:p w14:paraId="7D5FE02F" w14:textId="77777777" w:rsidR="003D5B79" w:rsidRPr="003D5B79" w:rsidRDefault="003D5B79" w:rsidP="003D5B79">
      <w:pPr>
        <w:shd w:val="clear" w:color="auto" w:fill="FFFFFF"/>
        <w:spacing w:after="0" w:line="240" w:lineRule="auto"/>
        <w:ind w:firstLine="720"/>
        <w:jc w:val="both"/>
        <w:rPr>
          <w:rFonts w:ascii="Times New Roman" w:hAnsi="Times New Roman" w:cs="Times New Roman"/>
          <w:sz w:val="24"/>
          <w:szCs w:val="24"/>
        </w:rPr>
      </w:pPr>
      <w:r w:rsidRPr="003D5B79">
        <w:rPr>
          <w:rFonts w:ascii="Times New Roman" w:hAnsi="Times New Roman" w:cs="Times New Roman"/>
          <w:sz w:val="24"/>
          <w:szCs w:val="24"/>
        </w:rPr>
        <w:t xml:space="preserve">Legitimacy theory states that corporate power can be obtained through </w:t>
      </w:r>
      <w:r w:rsidRPr="003D5B79">
        <w:rPr>
          <w:rFonts w:ascii="Times New Roman" w:hAnsi="Times New Roman" w:cs="Times New Roman"/>
          <w:sz w:val="24"/>
          <w:szCs w:val="24"/>
        </w:rPr>
        <w:lastRenderedPageBreak/>
        <w:t xml:space="preserve">various actions, including communicating with multiple stakeholders to gain the company's reputation (Ashforth &amp; Gibbs, 1990). Phillips (2003) found the concept of legitimacy in stakeholder theory that to obtain and maintain legitimacy, and </w:t>
      </w:r>
      <w:r w:rsidRPr="003D5B79">
        <w:rPr>
          <w:rFonts w:ascii="Times New Roman" w:hAnsi="Times New Roman" w:cs="Times New Roman"/>
          <w:sz w:val="24"/>
          <w:szCs w:val="24"/>
        </w:rPr>
        <w:lastRenderedPageBreak/>
        <w:t>companies need to carry out social contracts based on moral responsibility to stakeholders based on justice.</w:t>
      </w:r>
    </w:p>
    <w:p w14:paraId="62285E50" w14:textId="77777777" w:rsidR="003D5B79" w:rsidRPr="003D5B79" w:rsidRDefault="003D5B79" w:rsidP="003D5B79">
      <w:pPr>
        <w:shd w:val="clear" w:color="auto" w:fill="FFFFFF"/>
        <w:spacing w:after="0" w:line="240" w:lineRule="auto"/>
        <w:ind w:firstLine="720"/>
        <w:jc w:val="both"/>
        <w:rPr>
          <w:rFonts w:ascii="Times New Roman" w:hAnsi="Times New Roman" w:cs="Times New Roman"/>
          <w:sz w:val="24"/>
          <w:szCs w:val="24"/>
        </w:rPr>
      </w:pPr>
      <w:r w:rsidRPr="003D5B79">
        <w:rPr>
          <w:rFonts w:ascii="Times New Roman" w:hAnsi="Times New Roman" w:cs="Times New Roman"/>
          <w:sz w:val="24"/>
          <w:szCs w:val="24"/>
        </w:rPr>
        <w:t>Stakeholder legitimacy is divided into two, namely normative and derivative stakeholder legitimacy. Normative stakeholder legitimacy means that companies need to build and maintain legitimacy with stakeholders based on direct moral obligations and principles of justice. The company determines normative stakeholders based on the reciprocal relationship between stakeholders and the company. Legitimate normative stakeholders are suppliers, consumers, local communities, shareholders, employees. While the legitimacy of derivative stakeholders, companies need to build legitimacy in this stakeholder group. The derivative stakeholder group does not have a reciprocal relationship with the company, but if this group is ignored, it will endanger its legitimacy. The legitimacy of derivative stakeholders can affect the stability of the company and the legality of normative stakeholders (Phillips, 2003).</w:t>
      </w:r>
    </w:p>
    <w:p w14:paraId="41B70AFD" w14:textId="77777777" w:rsidR="003D5B79" w:rsidRPr="003D5B79" w:rsidRDefault="003D5B79" w:rsidP="003D5B79">
      <w:pPr>
        <w:shd w:val="clear" w:color="auto" w:fill="FFFFFF"/>
        <w:spacing w:after="0" w:line="240" w:lineRule="auto"/>
        <w:ind w:firstLine="720"/>
        <w:jc w:val="both"/>
        <w:rPr>
          <w:rFonts w:ascii="Times New Roman" w:hAnsi="Times New Roman" w:cs="Times New Roman"/>
          <w:sz w:val="24"/>
          <w:szCs w:val="24"/>
        </w:rPr>
      </w:pPr>
      <w:r w:rsidRPr="003D5B79">
        <w:rPr>
          <w:rFonts w:ascii="Times New Roman" w:hAnsi="Times New Roman" w:cs="Times New Roman"/>
          <w:sz w:val="24"/>
          <w:szCs w:val="24"/>
        </w:rPr>
        <w:t xml:space="preserve">Derivative stakeholders do not have a reciprocal relationship with the company, and the company must maintain legitimacy to these stakeholders. If the company does not retain, it can damage the legitimacy of normative stakeholders. Examples of derivative stakeholders are radicals, environmental activists, competitors (a group that wants the company's loss or normative stakeholders), and the press. Derivative stakeholders can damage the company's legitimacy, and the company must handle it properly when derivative stakeholders take actions that harm the company's legitimacy. Suppose derivative stakeholders protest to the company, they respond well. In that case, these stakeholders realize that the company can wisely meet their demands, so the relationship between the two parties can be harmonious and establish cooperation. Derivative stakeholders can become </w:t>
      </w:r>
      <w:r w:rsidRPr="003D5B79">
        <w:rPr>
          <w:rFonts w:ascii="Times New Roman" w:hAnsi="Times New Roman" w:cs="Times New Roman"/>
          <w:sz w:val="24"/>
          <w:szCs w:val="24"/>
        </w:rPr>
        <w:lastRenderedPageBreak/>
        <w:t>normative stakeholders. This study chose to use normative stakeholder legitimacy theory (Phillips, 2003) as the basis for finding solutions related to LB3 disclosure.</w:t>
      </w:r>
    </w:p>
    <w:p w14:paraId="262D6347" w14:textId="77777777" w:rsidR="003D5B79" w:rsidRPr="003D5B79" w:rsidRDefault="003D5B79" w:rsidP="003D5B79">
      <w:pPr>
        <w:shd w:val="clear" w:color="auto" w:fill="FFFFFF"/>
        <w:spacing w:after="0" w:line="240" w:lineRule="auto"/>
        <w:ind w:firstLine="720"/>
        <w:jc w:val="both"/>
        <w:rPr>
          <w:rFonts w:ascii="Times New Roman" w:hAnsi="Times New Roman" w:cs="Times New Roman"/>
          <w:sz w:val="24"/>
          <w:szCs w:val="24"/>
        </w:rPr>
      </w:pPr>
      <w:r w:rsidRPr="003D5B79">
        <w:rPr>
          <w:rFonts w:ascii="Times New Roman" w:hAnsi="Times New Roman" w:cs="Times New Roman"/>
          <w:sz w:val="24"/>
          <w:szCs w:val="24"/>
        </w:rPr>
        <w:t>Disclosure of social and environmental responsibility in which the company makes an LB3 disclosure has several guidelines. The disclosure guidelines include the Global Reporting Initiative (GRI). GRI contains 9 (nine) aspects of the company's impact on the environment, one of which is about LB3. Researchers have also made guidelines such as (Clarkson et al., 2008; Setiadi, 2016; Suhardjanto et al., 2007; Suhardjanto &amp; Choiriyah, 2010; Wiseman, 1982). This study incorporates disclosure guidelines about LB3 based on previous research. Developed each item based on the Minister of Environment and Forestry Regulation No. 55 of 2015 concerning the LB3 Characteristic Test (2015); Minister of Environment and Forestry Regulation No. 63 of 2016 concerning LB3 Stockpiling Test (2016); Government Regulation No. 101 of 2014 Hazardous and Toxic Waste (2014). The next LB3 disclosure guideline item that is made is a novelty in this study.</w:t>
      </w:r>
    </w:p>
    <w:p w14:paraId="36466CB1" w14:textId="77777777" w:rsidR="003D5B79" w:rsidRPr="003D5B79" w:rsidRDefault="003D5B79" w:rsidP="003D5B79">
      <w:pPr>
        <w:spacing w:after="0" w:line="240" w:lineRule="auto"/>
        <w:ind w:firstLine="720"/>
        <w:jc w:val="both"/>
        <w:rPr>
          <w:rFonts w:ascii="Times New Roman" w:hAnsi="Times New Roman" w:cs="Times New Roman"/>
          <w:sz w:val="24"/>
          <w:szCs w:val="24"/>
        </w:rPr>
      </w:pPr>
      <w:r w:rsidRPr="003D5B79">
        <w:rPr>
          <w:rFonts w:ascii="Times New Roman" w:hAnsi="Times New Roman" w:cs="Times New Roman"/>
          <w:sz w:val="24"/>
          <w:szCs w:val="24"/>
        </w:rPr>
        <w:t xml:space="preserve">Concern for social and environmental concerns is an essential requirement for the company to grow and develop sustainably. LB3 management is part of ecological awareness that must carry out following procedures. That is a significant part of environmental responsibility. Global business trends in the last decade have shown that concern for the environment, especially LB3 produced by companies, is a primary obligation because there are forces of demand and supply between stakeholders and companies. Stakeholder groups have the desired need to disclose environmental information while companies make disclosures according to their abilities (Lako, 2008). Previous research on the demand and supply of environmental exposures is still tiny (Suhardjanto, 2008). Previous research </w:t>
      </w:r>
      <w:r w:rsidRPr="003D5B79">
        <w:rPr>
          <w:rFonts w:ascii="Times New Roman" w:hAnsi="Times New Roman" w:cs="Times New Roman"/>
          <w:sz w:val="24"/>
          <w:szCs w:val="24"/>
        </w:rPr>
        <w:lastRenderedPageBreak/>
        <w:t>conducted by Suhardjanto &amp; Choiriyah (2010) used a broader-based sample of stakeholders, including Environmental Groups, Universities, Future generations and the Press. Amelia's research &amp; Suhardjanto (2011) use the Elite Based Stakeholders group as respondents included in the non-</w:t>
      </w:r>
      <w:r w:rsidRPr="003D5B79">
        <w:rPr>
          <w:rFonts w:ascii="Times New Roman" w:hAnsi="Times New Roman" w:cs="Times New Roman"/>
          <w:sz w:val="24"/>
          <w:szCs w:val="24"/>
        </w:rPr>
        <w:lastRenderedPageBreak/>
        <w:t xml:space="preserve">financial stakeholder group. The results of the two previous studies show differences in demand and supply of environmental disclosures between stakeholder demand and company supply.. </w:t>
      </w:r>
    </w:p>
    <w:p w14:paraId="46C48A3B" w14:textId="77777777" w:rsidR="003D5B79" w:rsidRPr="003D5B79" w:rsidRDefault="003D5B79" w:rsidP="003D5B79">
      <w:pPr>
        <w:spacing w:after="0" w:line="240" w:lineRule="auto"/>
        <w:ind w:firstLine="567"/>
        <w:jc w:val="both"/>
        <w:rPr>
          <w:rFonts w:ascii="Times New Roman" w:hAnsi="Times New Roman" w:cs="Times New Roman"/>
          <w:sz w:val="24"/>
          <w:szCs w:val="24"/>
        </w:rPr>
      </w:pPr>
      <w:r w:rsidRPr="003D5B79">
        <w:rPr>
          <w:rFonts w:ascii="Times New Roman" w:hAnsi="Times New Roman" w:cs="Times New Roman"/>
          <w:sz w:val="24"/>
          <w:szCs w:val="24"/>
        </w:rPr>
        <w:t>.</w:t>
      </w:r>
    </w:p>
    <w:p w14:paraId="7CF7E1A8" w14:textId="77777777" w:rsidR="009C55B3" w:rsidRDefault="009C55B3" w:rsidP="003D5B79">
      <w:pPr>
        <w:spacing w:after="0" w:line="240" w:lineRule="auto"/>
        <w:ind w:firstLine="567"/>
        <w:jc w:val="both"/>
        <w:rPr>
          <w:rFonts w:ascii="Times New Roman" w:hAnsi="Times New Roman" w:cs="Times New Roman"/>
          <w:sz w:val="24"/>
          <w:szCs w:val="24"/>
        </w:rPr>
        <w:sectPr w:rsidR="009C55B3" w:rsidSect="009C55B3">
          <w:type w:val="continuous"/>
          <w:pgSz w:w="12240" w:h="15840"/>
          <w:pgMar w:top="1440" w:right="1440" w:bottom="1440" w:left="1440" w:header="720" w:footer="720" w:gutter="0"/>
          <w:cols w:num="2" w:space="720"/>
          <w:docGrid w:linePitch="360"/>
        </w:sectPr>
      </w:pPr>
    </w:p>
    <w:p w14:paraId="4C98DD45" w14:textId="77777777" w:rsidR="003D5B79" w:rsidRPr="003D5B79" w:rsidRDefault="003D5B79" w:rsidP="003D5B79">
      <w:pPr>
        <w:spacing w:after="0" w:line="240" w:lineRule="auto"/>
        <w:ind w:firstLine="567"/>
        <w:jc w:val="both"/>
        <w:rPr>
          <w:rFonts w:ascii="Times New Roman" w:hAnsi="Times New Roman" w:cs="Times New Roman"/>
          <w:sz w:val="24"/>
          <w:szCs w:val="24"/>
        </w:rPr>
      </w:pPr>
    </w:p>
    <w:p w14:paraId="1F6D87FF" w14:textId="77777777" w:rsidR="003D5B79" w:rsidRPr="003D5B79" w:rsidRDefault="003D5B79" w:rsidP="003D5B79">
      <w:pPr>
        <w:pStyle w:val="ListParagraph"/>
        <w:spacing w:after="0" w:line="240" w:lineRule="auto"/>
        <w:ind w:left="284"/>
        <w:jc w:val="center"/>
        <w:rPr>
          <w:rFonts w:ascii="Times New Roman" w:hAnsi="Times New Roman"/>
          <w:b/>
          <w:sz w:val="20"/>
          <w:szCs w:val="20"/>
          <w:lang w:val="id-ID"/>
        </w:rPr>
      </w:pPr>
      <w:r>
        <w:rPr>
          <w:rFonts w:ascii="Times New Roman" w:hAnsi="Times New Roman"/>
          <w:b/>
          <w:sz w:val="24"/>
          <w:szCs w:val="24"/>
        </w:rPr>
        <w:t>II.</w:t>
      </w:r>
      <w:r>
        <w:rPr>
          <w:rFonts w:ascii="Times New Roman" w:hAnsi="Times New Roman"/>
          <w:b/>
          <w:sz w:val="24"/>
          <w:szCs w:val="24"/>
        </w:rPr>
        <w:tab/>
      </w:r>
      <w:r w:rsidRPr="002A6865">
        <w:rPr>
          <w:rFonts w:ascii="Times New Roman" w:hAnsi="Times New Roman"/>
          <w:b/>
          <w:sz w:val="20"/>
          <w:szCs w:val="20"/>
        </w:rPr>
        <w:t xml:space="preserve">THEORETICAL </w:t>
      </w:r>
      <w:commentRangeStart w:id="3"/>
      <w:r w:rsidRPr="002A6865">
        <w:rPr>
          <w:rFonts w:ascii="Times New Roman" w:hAnsi="Times New Roman"/>
          <w:b/>
          <w:sz w:val="20"/>
          <w:szCs w:val="20"/>
        </w:rPr>
        <w:t>FRAMEWORK</w:t>
      </w:r>
      <w:commentRangeEnd w:id="3"/>
      <w:r w:rsidR="008A560E">
        <w:rPr>
          <w:rStyle w:val="CommentReference"/>
          <w:rFonts w:asciiTheme="minorHAnsi" w:eastAsiaTheme="minorHAnsi" w:hAnsiTheme="minorHAnsi" w:cstheme="minorBidi"/>
        </w:rPr>
        <w:commentReference w:id="3"/>
      </w:r>
    </w:p>
    <w:p w14:paraId="4806F2A4" w14:textId="77777777" w:rsidR="003D5B79" w:rsidRPr="003D5B79" w:rsidRDefault="003D5B79" w:rsidP="003D5B79">
      <w:pPr>
        <w:spacing w:after="0" w:line="240" w:lineRule="auto"/>
        <w:jc w:val="both"/>
        <w:rPr>
          <w:rFonts w:ascii="Times New Roman" w:hAnsi="Times New Roman" w:cs="Times New Roman"/>
          <w:b/>
          <w:sz w:val="24"/>
          <w:szCs w:val="24"/>
        </w:rPr>
      </w:pPr>
      <w:r w:rsidRPr="003D5B79">
        <w:rPr>
          <w:rFonts w:ascii="Times New Roman" w:hAnsi="Times New Roman" w:cs="Times New Roman"/>
          <w:b/>
          <w:sz w:val="24"/>
          <w:szCs w:val="24"/>
        </w:rPr>
        <w:t>Stakeholder legitimacy</w:t>
      </w:r>
    </w:p>
    <w:p w14:paraId="4D974F79" w14:textId="77777777" w:rsidR="009C55B3" w:rsidRDefault="009C55B3" w:rsidP="003D5B79">
      <w:pPr>
        <w:jc w:val="both"/>
        <w:rPr>
          <w:rFonts w:ascii="Times New Roman" w:hAnsi="Times New Roman" w:cs="Times New Roman"/>
          <w:sz w:val="24"/>
          <w:szCs w:val="24"/>
        </w:rPr>
        <w:sectPr w:rsidR="009C55B3" w:rsidSect="009C55B3">
          <w:type w:val="continuous"/>
          <w:pgSz w:w="12240" w:h="15840"/>
          <w:pgMar w:top="1440" w:right="1440" w:bottom="1440" w:left="1440" w:header="720" w:footer="720" w:gutter="0"/>
          <w:cols w:space="720"/>
          <w:docGrid w:linePitch="360"/>
        </w:sectPr>
      </w:pPr>
    </w:p>
    <w:p w14:paraId="40D0C340" w14:textId="77777777" w:rsidR="009C55B3" w:rsidRDefault="003D5B79" w:rsidP="003D5B79">
      <w:pPr>
        <w:jc w:val="both"/>
        <w:rPr>
          <w:rFonts w:ascii="Times New Roman" w:hAnsi="Times New Roman" w:cs="Times New Roman"/>
          <w:sz w:val="24"/>
          <w:szCs w:val="24"/>
        </w:rPr>
        <w:sectPr w:rsidR="009C55B3" w:rsidSect="009C55B3">
          <w:type w:val="continuous"/>
          <w:pgSz w:w="12240" w:h="15840"/>
          <w:pgMar w:top="1440" w:right="1440" w:bottom="1440" w:left="1440" w:header="720" w:footer="720" w:gutter="0"/>
          <w:cols w:num="2" w:space="720"/>
          <w:docGrid w:linePitch="360"/>
        </w:sectPr>
      </w:pPr>
      <w:r w:rsidRPr="003D5B79">
        <w:rPr>
          <w:rFonts w:ascii="Times New Roman" w:hAnsi="Times New Roman" w:cs="Times New Roman"/>
          <w:sz w:val="24"/>
          <w:szCs w:val="24"/>
        </w:rPr>
        <w:lastRenderedPageBreak/>
        <w:t xml:space="preserve">The number of cases of environmental pollution caused by lack of disclosure causes companies to seek legitimacy from stakeholders, by entering into social contracts between companies and stakeholders. The social contract is in the form of LB3 management in accordance with government regulations. The management of LB3 that has been carried out by the company is then disclosed in the company's annual report. The things put forward by the researcher are in accordance with the theory of legitimacy (Phillips, 2003) which sounds like companies need to gain legitimacy through social contracts with normative stakeholders (suppliers, consumers, local communities, </w:t>
      </w:r>
      <w:r w:rsidRPr="003D5B79">
        <w:rPr>
          <w:rFonts w:ascii="Times New Roman" w:hAnsi="Times New Roman" w:cs="Times New Roman"/>
          <w:sz w:val="24"/>
          <w:szCs w:val="24"/>
        </w:rPr>
        <w:lastRenderedPageBreak/>
        <w:t>shareholders, employees) namely stakeholders who have relationships with the company based on relationships reciprocal. The company carries out direct moral obligations where the company's moral responsibility is addressed to stakeholders based on the principle of stakeholder justice. The principle of stakeholder justice states that whenever a person or group of people voluntarily receives benefits from a mutually beneficial cooperation scheme that requires sacrifices or contributions, an obligation of justice is created between the company and stakeholders in proportion to the benefits received (Philip, 1997)</w:t>
      </w:r>
    </w:p>
    <w:p w14:paraId="23DF567A" w14:textId="77777777" w:rsidR="003D5B79" w:rsidRPr="003D5B79" w:rsidRDefault="003D5B79" w:rsidP="003D5B79">
      <w:pPr>
        <w:jc w:val="both"/>
        <w:rPr>
          <w:rFonts w:ascii="Times New Roman" w:hAnsi="Times New Roman" w:cs="Times New Roman"/>
          <w:sz w:val="24"/>
          <w:szCs w:val="24"/>
        </w:rPr>
      </w:pPr>
    </w:p>
    <w:p w14:paraId="4A055332" w14:textId="77777777" w:rsidR="009C55B3" w:rsidRPr="00B9610A" w:rsidRDefault="003D5B79" w:rsidP="00B9610A">
      <w:pPr>
        <w:pStyle w:val="ListParagraph"/>
        <w:numPr>
          <w:ilvl w:val="0"/>
          <w:numId w:val="5"/>
        </w:numPr>
        <w:spacing w:after="0" w:line="240" w:lineRule="auto"/>
        <w:ind w:left="426" w:hanging="426"/>
        <w:jc w:val="both"/>
        <w:rPr>
          <w:rFonts w:ascii="Times New Roman" w:hAnsi="Times New Roman"/>
          <w:b/>
          <w:sz w:val="20"/>
          <w:szCs w:val="20"/>
          <w:lang w:val="id-ID"/>
        </w:rPr>
        <w:sectPr w:rsidR="009C55B3" w:rsidRPr="00B9610A" w:rsidSect="009C55B3">
          <w:type w:val="continuous"/>
          <w:pgSz w:w="12240" w:h="15840"/>
          <w:pgMar w:top="1440" w:right="1440" w:bottom="1440" w:left="1440" w:header="720" w:footer="720" w:gutter="0"/>
          <w:cols w:space="720"/>
          <w:docGrid w:linePitch="360"/>
        </w:sectPr>
      </w:pPr>
      <w:r w:rsidRPr="00B9610A">
        <w:rPr>
          <w:rFonts w:ascii="Times New Roman" w:hAnsi="Times New Roman"/>
          <w:b/>
          <w:sz w:val="24"/>
          <w:szCs w:val="24"/>
        </w:rPr>
        <w:t>METHODE</w:t>
      </w:r>
      <w:r w:rsidRPr="00B9610A">
        <w:rPr>
          <w:rFonts w:ascii="Times New Roman" w:hAnsi="Times New Roman"/>
          <w:b/>
          <w:sz w:val="24"/>
          <w:szCs w:val="24"/>
          <w:lang w:val="id-ID"/>
        </w:rPr>
        <w:t xml:space="preserve"> </w:t>
      </w:r>
    </w:p>
    <w:p w14:paraId="49558CF1" w14:textId="77777777" w:rsidR="003D5B79" w:rsidRPr="003D5B79" w:rsidRDefault="003D5B79" w:rsidP="00B9610A">
      <w:pPr>
        <w:shd w:val="clear" w:color="auto" w:fill="FFFFFF"/>
        <w:spacing w:after="0" w:line="240" w:lineRule="auto"/>
        <w:contextualSpacing/>
        <w:textAlignment w:val="baseline"/>
        <w:outlineLvl w:val="1"/>
        <w:rPr>
          <w:rFonts w:ascii="Times New Roman" w:hAnsi="Times New Roman" w:cs="Times New Roman"/>
          <w:b/>
          <w:sz w:val="24"/>
          <w:szCs w:val="24"/>
        </w:rPr>
      </w:pPr>
      <w:r w:rsidRPr="003D5B79">
        <w:rPr>
          <w:rFonts w:ascii="Times New Roman" w:hAnsi="Times New Roman" w:cs="Times New Roman"/>
          <w:b/>
          <w:sz w:val="24"/>
          <w:szCs w:val="24"/>
        </w:rPr>
        <w:lastRenderedPageBreak/>
        <w:t>Research Sample</w:t>
      </w:r>
    </w:p>
    <w:p w14:paraId="720CC2FA" w14:textId="77777777" w:rsidR="003D5B79" w:rsidRPr="003D5B79" w:rsidRDefault="003D5B79" w:rsidP="003D5B79">
      <w:pPr>
        <w:tabs>
          <w:tab w:val="left" w:pos="1080"/>
        </w:tabs>
        <w:spacing w:after="0" w:line="240" w:lineRule="auto"/>
        <w:jc w:val="both"/>
        <w:rPr>
          <w:rFonts w:ascii="Times New Roman" w:hAnsi="Times New Roman" w:cs="Times New Roman"/>
          <w:sz w:val="24"/>
          <w:szCs w:val="24"/>
        </w:rPr>
      </w:pPr>
      <w:r w:rsidRPr="003D5B79">
        <w:rPr>
          <w:rFonts w:ascii="Times New Roman" w:hAnsi="Times New Roman" w:cs="Times New Roman"/>
          <w:sz w:val="24"/>
          <w:szCs w:val="24"/>
        </w:rPr>
        <w:tab/>
        <w:t xml:space="preserve">The research conducted a Discussion Group Forum (FGD) by inviting practitioners in the LB3 field, namely ten staff who handle corporate LB3 at the central ministry of the environment and eight academics teaching environmental accounting, two researchers who have researched on Corporate Social Responsibility (CSR). Questionnaires were distributed to several parties totalling 35 respondents consisting of normative stakeholders, namely suppliers, consumers, local communities, shareholders, employees every five respondents plus academics five respondents, staff of the ministry of environment five respondents—the sampling </w:t>
      </w:r>
      <w:r w:rsidRPr="003D5B79">
        <w:rPr>
          <w:rFonts w:ascii="Times New Roman" w:hAnsi="Times New Roman" w:cs="Times New Roman"/>
          <w:sz w:val="24"/>
          <w:szCs w:val="24"/>
        </w:rPr>
        <w:lastRenderedPageBreak/>
        <w:t>technique using accidental sampling. Using the purposive sampling technique, the secondary data used is LB3 disclosure data of manufacturing and mineral and coal companies listed on the Indonesia Stock Exchange in 2012-2019.</w:t>
      </w:r>
    </w:p>
    <w:p w14:paraId="6EA0F152" w14:textId="77777777" w:rsidR="003D5B79" w:rsidRPr="003D5B79" w:rsidRDefault="003D5B79" w:rsidP="003D5B79">
      <w:pPr>
        <w:tabs>
          <w:tab w:val="left" w:pos="0"/>
        </w:tabs>
        <w:spacing w:after="0" w:line="240" w:lineRule="auto"/>
        <w:jc w:val="both"/>
        <w:rPr>
          <w:rFonts w:ascii="Times New Roman" w:hAnsi="Times New Roman" w:cs="Times New Roman"/>
          <w:b/>
          <w:sz w:val="24"/>
          <w:szCs w:val="24"/>
        </w:rPr>
      </w:pPr>
      <w:r w:rsidRPr="003D5B79">
        <w:rPr>
          <w:rFonts w:ascii="Times New Roman" w:hAnsi="Times New Roman" w:cs="Times New Roman"/>
          <w:b/>
          <w:sz w:val="24"/>
          <w:szCs w:val="24"/>
        </w:rPr>
        <w:t>Data and Data Resource</w:t>
      </w:r>
    </w:p>
    <w:p w14:paraId="2F56C469" w14:textId="77777777" w:rsidR="003D5B79" w:rsidRPr="003D5B79" w:rsidRDefault="003D5B79" w:rsidP="003D5B79">
      <w:pPr>
        <w:spacing w:after="0" w:line="240" w:lineRule="auto"/>
        <w:jc w:val="both"/>
        <w:rPr>
          <w:rFonts w:ascii="Times New Roman" w:eastAsia="Times New Roman" w:hAnsi="Times New Roman" w:cs="Times New Roman"/>
          <w:sz w:val="24"/>
          <w:szCs w:val="24"/>
        </w:rPr>
      </w:pPr>
      <w:r w:rsidRPr="003D5B79">
        <w:rPr>
          <w:rFonts w:ascii="Times New Roman" w:hAnsi="Times New Roman" w:cs="Times New Roman"/>
          <w:sz w:val="24"/>
          <w:szCs w:val="24"/>
        </w:rPr>
        <w:tab/>
      </w:r>
      <w:r w:rsidRPr="003D5B79">
        <w:rPr>
          <w:rFonts w:ascii="Times New Roman" w:eastAsia="Times New Roman" w:hAnsi="Times New Roman" w:cs="Times New Roman"/>
          <w:sz w:val="24"/>
          <w:szCs w:val="24"/>
        </w:rPr>
        <w:t>The data used in this study are primary and secondary data obtained from:</w:t>
      </w:r>
    </w:p>
    <w:p w14:paraId="2EB9C018" w14:textId="77777777" w:rsidR="003D5B79" w:rsidRPr="003D5B79" w:rsidRDefault="003D5B79" w:rsidP="003D5B79">
      <w:pPr>
        <w:pStyle w:val="ListParagraph"/>
        <w:numPr>
          <w:ilvl w:val="0"/>
          <w:numId w:val="1"/>
        </w:numPr>
        <w:spacing w:after="0" w:line="240" w:lineRule="auto"/>
        <w:ind w:left="426"/>
        <w:jc w:val="both"/>
        <w:rPr>
          <w:rFonts w:ascii="Times New Roman" w:eastAsia="Times New Roman" w:hAnsi="Times New Roman"/>
          <w:sz w:val="24"/>
          <w:szCs w:val="24"/>
        </w:rPr>
      </w:pPr>
      <w:r w:rsidRPr="003D5B79">
        <w:rPr>
          <w:rFonts w:ascii="Times New Roman" w:eastAsia="Times New Roman" w:hAnsi="Times New Roman"/>
          <w:sz w:val="24"/>
          <w:szCs w:val="24"/>
        </w:rPr>
        <w:t>Forum discussion group (FGD) with the ministry of the environment, academics in environmental accounting, researchers on CSR topics to formulate LB3 disclosure items.</w:t>
      </w:r>
    </w:p>
    <w:p w14:paraId="270B2B4B" w14:textId="77777777" w:rsidR="003D5B79" w:rsidRPr="003D5B79" w:rsidRDefault="003D5B79" w:rsidP="003D5B79">
      <w:pPr>
        <w:pStyle w:val="ListParagraph"/>
        <w:numPr>
          <w:ilvl w:val="0"/>
          <w:numId w:val="1"/>
        </w:numPr>
        <w:spacing w:after="0" w:line="240" w:lineRule="auto"/>
        <w:ind w:left="426"/>
        <w:jc w:val="both"/>
        <w:rPr>
          <w:rFonts w:ascii="Times New Roman" w:eastAsia="Times New Roman" w:hAnsi="Times New Roman"/>
          <w:sz w:val="24"/>
          <w:szCs w:val="24"/>
        </w:rPr>
      </w:pPr>
      <w:r w:rsidRPr="003D5B79">
        <w:rPr>
          <w:rFonts w:ascii="Times New Roman" w:eastAsia="Times New Roman" w:hAnsi="Times New Roman"/>
          <w:sz w:val="24"/>
          <w:szCs w:val="24"/>
        </w:rPr>
        <w:t xml:space="preserve">Distributing questionnaires to respondents from suppliers, consumers, communities, shareholders, employees, </w:t>
      </w:r>
      <w:r w:rsidRPr="003D5B79">
        <w:rPr>
          <w:rFonts w:ascii="Times New Roman" w:eastAsia="Times New Roman" w:hAnsi="Times New Roman"/>
          <w:sz w:val="24"/>
          <w:szCs w:val="24"/>
        </w:rPr>
        <w:lastRenderedPageBreak/>
        <w:t>the ministry of environment and academia on how important LB3 disclosure items are.</w:t>
      </w:r>
    </w:p>
    <w:p w14:paraId="7288962A" w14:textId="77777777" w:rsidR="003D5B79" w:rsidRDefault="003D5B79" w:rsidP="003D5B79">
      <w:pPr>
        <w:pStyle w:val="ListParagraph"/>
        <w:numPr>
          <w:ilvl w:val="0"/>
          <w:numId w:val="1"/>
        </w:numPr>
        <w:spacing w:after="0" w:line="240" w:lineRule="auto"/>
        <w:ind w:left="426"/>
        <w:jc w:val="both"/>
        <w:rPr>
          <w:rFonts w:ascii="Times New Roman" w:eastAsia="Times New Roman" w:hAnsi="Times New Roman"/>
          <w:sz w:val="24"/>
          <w:szCs w:val="24"/>
        </w:rPr>
      </w:pPr>
      <w:r w:rsidRPr="003D5B79">
        <w:rPr>
          <w:rFonts w:ascii="Times New Roman" w:eastAsia="Times New Roman" w:hAnsi="Times New Roman"/>
          <w:sz w:val="24"/>
          <w:szCs w:val="24"/>
        </w:rPr>
        <w:t xml:space="preserve">Disclosure of LB3 of manufacturing and mineral and coal companies listed on the Indonesia Stock Exchange in 2019 obtained from the website </w:t>
      </w:r>
      <w:hyperlink r:id="rId12" w:history="1">
        <w:r w:rsidR="00B9610A" w:rsidRPr="009A0ED4">
          <w:rPr>
            <w:rStyle w:val="Hyperlink"/>
            <w:rFonts w:ascii="Times New Roman" w:eastAsia="Times New Roman" w:hAnsi="Times New Roman"/>
            <w:sz w:val="24"/>
            <w:szCs w:val="24"/>
          </w:rPr>
          <w:t>www.idx.co.id</w:t>
        </w:r>
      </w:hyperlink>
    </w:p>
    <w:p w14:paraId="7CF5B2C1" w14:textId="77777777" w:rsidR="00B9610A" w:rsidRDefault="00B9610A" w:rsidP="00B9610A">
      <w:pPr>
        <w:spacing w:after="0" w:line="240" w:lineRule="auto"/>
        <w:jc w:val="both"/>
        <w:rPr>
          <w:rFonts w:ascii="Times New Roman" w:eastAsia="Times New Roman" w:hAnsi="Times New Roman"/>
          <w:sz w:val="24"/>
          <w:szCs w:val="24"/>
        </w:rPr>
      </w:pPr>
    </w:p>
    <w:p w14:paraId="78D78CB9" w14:textId="77777777" w:rsidR="00B9610A" w:rsidRDefault="00B9610A" w:rsidP="00B9610A">
      <w:pPr>
        <w:spacing w:after="0" w:line="240" w:lineRule="auto"/>
        <w:jc w:val="both"/>
        <w:rPr>
          <w:rFonts w:ascii="Times New Roman" w:eastAsia="Times New Roman" w:hAnsi="Times New Roman"/>
          <w:sz w:val="24"/>
          <w:szCs w:val="24"/>
        </w:rPr>
      </w:pPr>
    </w:p>
    <w:p w14:paraId="003E83BB" w14:textId="77777777" w:rsidR="00B9610A" w:rsidRDefault="00B9610A" w:rsidP="00B9610A">
      <w:pPr>
        <w:spacing w:after="0" w:line="240" w:lineRule="auto"/>
        <w:jc w:val="both"/>
        <w:rPr>
          <w:rFonts w:ascii="Times New Roman" w:eastAsia="Times New Roman" w:hAnsi="Times New Roman"/>
          <w:sz w:val="24"/>
          <w:szCs w:val="24"/>
        </w:rPr>
      </w:pPr>
    </w:p>
    <w:p w14:paraId="79504D69" w14:textId="77777777" w:rsidR="00B9610A" w:rsidRPr="00B9610A" w:rsidRDefault="00B9610A" w:rsidP="00B9610A">
      <w:pPr>
        <w:spacing w:after="0" w:line="240" w:lineRule="auto"/>
        <w:jc w:val="both"/>
        <w:rPr>
          <w:rFonts w:ascii="Times New Roman" w:eastAsia="Times New Roman" w:hAnsi="Times New Roman"/>
          <w:sz w:val="24"/>
          <w:szCs w:val="24"/>
        </w:rPr>
      </w:pPr>
    </w:p>
    <w:p w14:paraId="18B6A2FE" w14:textId="77777777" w:rsidR="003D5B79" w:rsidRPr="003D5B79" w:rsidRDefault="003D5B79" w:rsidP="003D5B79">
      <w:pPr>
        <w:pStyle w:val="ListParagraph"/>
        <w:spacing w:after="0" w:line="240" w:lineRule="auto"/>
        <w:jc w:val="both"/>
        <w:rPr>
          <w:rFonts w:ascii="Times New Roman" w:eastAsia="Times New Roman" w:hAnsi="Times New Roman"/>
          <w:i/>
          <w:sz w:val="24"/>
          <w:szCs w:val="24"/>
        </w:rPr>
      </w:pPr>
      <w:r w:rsidRPr="003D5B79">
        <w:rPr>
          <w:rFonts w:ascii="Times New Roman" w:eastAsia="Times New Roman" w:hAnsi="Times New Roman"/>
          <w:i/>
          <w:sz w:val="24"/>
          <w:szCs w:val="24"/>
        </w:rPr>
        <w:t>.</w:t>
      </w:r>
    </w:p>
    <w:p w14:paraId="3197B713" w14:textId="77777777" w:rsidR="003D5B79" w:rsidRPr="003D5B79" w:rsidRDefault="003D5B79" w:rsidP="003D5B79">
      <w:pPr>
        <w:pStyle w:val="ListParagraph"/>
        <w:spacing w:after="0" w:line="240" w:lineRule="auto"/>
        <w:ind w:left="0"/>
        <w:jc w:val="both"/>
        <w:rPr>
          <w:rFonts w:ascii="Times New Roman" w:eastAsia="Times New Roman" w:hAnsi="Times New Roman"/>
          <w:b/>
          <w:sz w:val="24"/>
          <w:szCs w:val="24"/>
        </w:rPr>
      </w:pPr>
      <w:r w:rsidRPr="003D5B79">
        <w:rPr>
          <w:rFonts w:ascii="Times New Roman" w:eastAsia="Times New Roman" w:hAnsi="Times New Roman"/>
          <w:b/>
          <w:sz w:val="24"/>
          <w:szCs w:val="24"/>
        </w:rPr>
        <w:t xml:space="preserve">Operational Definition And </w:t>
      </w:r>
      <w:commentRangeStart w:id="4"/>
      <w:r w:rsidRPr="003D5B79">
        <w:rPr>
          <w:rFonts w:ascii="Times New Roman" w:eastAsia="Times New Roman" w:hAnsi="Times New Roman"/>
          <w:b/>
          <w:sz w:val="24"/>
          <w:szCs w:val="24"/>
        </w:rPr>
        <w:t>Variable</w:t>
      </w:r>
      <w:commentRangeEnd w:id="4"/>
      <w:r w:rsidR="008A560E">
        <w:rPr>
          <w:rStyle w:val="CommentReference"/>
          <w:rFonts w:asciiTheme="minorHAnsi" w:eastAsiaTheme="minorHAnsi" w:hAnsiTheme="minorHAnsi" w:cstheme="minorBidi"/>
        </w:rPr>
        <w:commentReference w:id="4"/>
      </w:r>
      <w:r w:rsidRPr="003D5B79">
        <w:rPr>
          <w:rFonts w:ascii="Times New Roman" w:eastAsia="Times New Roman" w:hAnsi="Times New Roman"/>
          <w:b/>
          <w:sz w:val="24"/>
          <w:szCs w:val="24"/>
        </w:rPr>
        <w:t xml:space="preserve"> Measurement</w:t>
      </w:r>
    </w:p>
    <w:p w14:paraId="245734B6" w14:textId="77777777" w:rsidR="009C55B3" w:rsidRDefault="009C55B3" w:rsidP="003D5B79">
      <w:pPr>
        <w:pStyle w:val="ListParagraph"/>
        <w:spacing w:after="0" w:line="240" w:lineRule="auto"/>
        <w:ind w:left="0"/>
        <w:jc w:val="both"/>
        <w:rPr>
          <w:rFonts w:ascii="Times New Roman" w:eastAsia="Times New Roman" w:hAnsi="Times New Roman"/>
          <w:b/>
          <w:sz w:val="24"/>
          <w:szCs w:val="24"/>
        </w:rPr>
      </w:pPr>
    </w:p>
    <w:p w14:paraId="408DF7AB" w14:textId="77777777" w:rsidR="00B9610A" w:rsidRDefault="00B9610A" w:rsidP="003D5B79">
      <w:pPr>
        <w:pStyle w:val="ListParagraph"/>
        <w:spacing w:after="0" w:line="240" w:lineRule="auto"/>
        <w:ind w:left="0"/>
        <w:jc w:val="both"/>
        <w:rPr>
          <w:rFonts w:ascii="Times New Roman" w:eastAsia="Times New Roman" w:hAnsi="Times New Roman"/>
          <w:b/>
          <w:sz w:val="24"/>
          <w:szCs w:val="24"/>
        </w:rPr>
      </w:pPr>
    </w:p>
    <w:p w14:paraId="216334E3" w14:textId="77777777" w:rsidR="00B9610A" w:rsidRDefault="00B9610A" w:rsidP="003D5B79">
      <w:pPr>
        <w:pStyle w:val="ListParagraph"/>
        <w:spacing w:after="0" w:line="240" w:lineRule="auto"/>
        <w:ind w:left="0"/>
        <w:jc w:val="both"/>
        <w:rPr>
          <w:rFonts w:ascii="Times New Roman" w:eastAsia="Times New Roman" w:hAnsi="Times New Roman"/>
          <w:b/>
          <w:sz w:val="24"/>
          <w:szCs w:val="24"/>
        </w:rPr>
        <w:sectPr w:rsidR="00B9610A" w:rsidSect="009C55B3">
          <w:type w:val="continuous"/>
          <w:pgSz w:w="12240" w:h="15840"/>
          <w:pgMar w:top="1440" w:right="1440" w:bottom="1440" w:left="1440" w:header="720" w:footer="720" w:gutter="0"/>
          <w:cols w:num="2" w:space="720"/>
          <w:docGrid w:linePitch="360"/>
        </w:sectPr>
      </w:pPr>
    </w:p>
    <w:p w14:paraId="75F0B32A" w14:textId="77777777" w:rsidR="003D5B79" w:rsidRPr="003D5B79" w:rsidRDefault="003D5B79" w:rsidP="003D5B79">
      <w:pPr>
        <w:pStyle w:val="ListParagraph"/>
        <w:spacing w:after="0" w:line="240" w:lineRule="auto"/>
        <w:ind w:left="0"/>
        <w:jc w:val="both"/>
        <w:rPr>
          <w:rFonts w:ascii="Times New Roman" w:eastAsia="Times New Roman" w:hAnsi="Times New Roman"/>
          <w:b/>
          <w:sz w:val="24"/>
          <w:szCs w:val="24"/>
        </w:rPr>
      </w:pPr>
      <w:r w:rsidRPr="003D5B79">
        <w:rPr>
          <w:rFonts w:ascii="Times New Roman" w:eastAsia="Times New Roman" w:hAnsi="Times New Roman"/>
          <w:b/>
          <w:sz w:val="24"/>
          <w:szCs w:val="24"/>
        </w:rPr>
        <w:lastRenderedPageBreak/>
        <w:tab/>
      </w:r>
      <w:r w:rsidRPr="003D5B79">
        <w:rPr>
          <w:rFonts w:ascii="Times New Roman" w:eastAsia="Times New Roman" w:hAnsi="Times New Roman"/>
          <w:b/>
          <w:sz w:val="24"/>
          <w:szCs w:val="24"/>
        </w:rPr>
        <w:tab/>
      </w:r>
      <w:r w:rsidRPr="003D5B79">
        <w:rPr>
          <w:rFonts w:ascii="Times New Roman" w:eastAsia="Times New Roman" w:hAnsi="Times New Roman"/>
          <w:b/>
          <w:sz w:val="24"/>
          <w:szCs w:val="24"/>
        </w:rPr>
        <w:tab/>
      </w:r>
      <w:r w:rsidRPr="003D5B79">
        <w:rPr>
          <w:rFonts w:ascii="Times New Roman" w:eastAsia="Times New Roman" w:hAnsi="Times New Roman"/>
          <w:b/>
          <w:sz w:val="24"/>
          <w:szCs w:val="24"/>
        </w:rPr>
        <w:tab/>
      </w:r>
      <w:r w:rsidRPr="003D5B79">
        <w:rPr>
          <w:rFonts w:ascii="Times New Roman" w:eastAsia="Times New Roman" w:hAnsi="Times New Roman"/>
          <w:b/>
          <w:sz w:val="24"/>
          <w:szCs w:val="24"/>
        </w:rPr>
        <w:tab/>
      </w:r>
      <w:r w:rsidRPr="003D5B79">
        <w:rPr>
          <w:rFonts w:ascii="Times New Roman" w:eastAsia="Times New Roman" w:hAnsi="Times New Roman"/>
          <w:b/>
          <w:sz w:val="24"/>
          <w:szCs w:val="24"/>
        </w:rPr>
        <w:tab/>
        <w:t>Table 1</w:t>
      </w:r>
    </w:p>
    <w:p w14:paraId="2E165622" w14:textId="77777777" w:rsidR="003D5B79" w:rsidRPr="003D5B79" w:rsidRDefault="003D5B79" w:rsidP="003D5B79">
      <w:pPr>
        <w:spacing w:after="0" w:line="240" w:lineRule="auto"/>
        <w:ind w:firstLine="720"/>
        <w:jc w:val="center"/>
        <w:rPr>
          <w:rFonts w:ascii="Times New Roman" w:hAnsi="Times New Roman" w:cs="Times New Roman"/>
          <w:b/>
          <w:sz w:val="24"/>
          <w:szCs w:val="24"/>
        </w:rPr>
      </w:pPr>
      <w:r w:rsidRPr="003D5B79">
        <w:rPr>
          <w:rFonts w:ascii="Times New Roman" w:hAnsi="Times New Roman" w:cs="Times New Roman"/>
          <w:b/>
          <w:sz w:val="24"/>
          <w:szCs w:val="24"/>
        </w:rPr>
        <w:t>Operational Definition And Variable Measurement</w:t>
      </w:r>
    </w:p>
    <w:tbl>
      <w:tblPr>
        <w:tblW w:w="7621" w:type="dxa"/>
        <w:tblLook w:val="04A0" w:firstRow="1" w:lastRow="0" w:firstColumn="1" w:lastColumn="0" w:noHBand="0" w:noVBand="1"/>
      </w:tblPr>
      <w:tblGrid>
        <w:gridCol w:w="567"/>
        <w:gridCol w:w="1951"/>
        <w:gridCol w:w="2410"/>
        <w:gridCol w:w="2693"/>
      </w:tblGrid>
      <w:tr w:rsidR="003D5B79" w:rsidRPr="003D5B79" w14:paraId="4A5EA288" w14:textId="77777777" w:rsidTr="00520690">
        <w:trPr>
          <w:trHeight w:val="315"/>
        </w:trPr>
        <w:tc>
          <w:tcPr>
            <w:tcW w:w="567" w:type="dxa"/>
            <w:tcBorders>
              <w:top w:val="single" w:sz="4" w:space="0" w:color="auto"/>
              <w:left w:val="nil"/>
              <w:bottom w:val="single" w:sz="4" w:space="0" w:color="auto"/>
              <w:right w:val="nil"/>
            </w:tcBorders>
            <w:shd w:val="clear" w:color="auto" w:fill="auto"/>
            <w:vAlign w:val="center"/>
            <w:hideMark/>
          </w:tcPr>
          <w:p w14:paraId="29F32434" w14:textId="77777777" w:rsidR="003D5B79" w:rsidRPr="003D5B79" w:rsidRDefault="003D5B79" w:rsidP="003D5B79">
            <w:pPr>
              <w:spacing w:after="0" w:line="240" w:lineRule="auto"/>
              <w:jc w:val="center"/>
              <w:rPr>
                <w:rFonts w:ascii="Times New Roman" w:eastAsia="Times New Roman" w:hAnsi="Times New Roman" w:cs="Times New Roman"/>
                <w:b/>
                <w:bCs/>
                <w:color w:val="000000"/>
                <w:sz w:val="24"/>
                <w:szCs w:val="24"/>
              </w:rPr>
            </w:pPr>
            <w:r w:rsidRPr="003D5B79">
              <w:rPr>
                <w:rFonts w:ascii="Times New Roman" w:eastAsia="Times New Roman" w:hAnsi="Times New Roman" w:cs="Times New Roman"/>
                <w:b/>
                <w:bCs/>
                <w:color w:val="000000"/>
                <w:sz w:val="24"/>
                <w:szCs w:val="24"/>
                <w:lang w:val="id-ID"/>
              </w:rPr>
              <w:t>No</w:t>
            </w:r>
          </w:p>
        </w:tc>
        <w:tc>
          <w:tcPr>
            <w:tcW w:w="1951" w:type="dxa"/>
            <w:tcBorders>
              <w:top w:val="single" w:sz="4" w:space="0" w:color="auto"/>
              <w:left w:val="nil"/>
              <w:bottom w:val="single" w:sz="4" w:space="0" w:color="auto"/>
              <w:right w:val="nil"/>
            </w:tcBorders>
            <w:shd w:val="clear" w:color="auto" w:fill="auto"/>
            <w:vAlign w:val="center"/>
            <w:hideMark/>
          </w:tcPr>
          <w:p w14:paraId="6FC0AE2A" w14:textId="77777777" w:rsidR="003D5B79" w:rsidRPr="003D5B79" w:rsidRDefault="003D5B79" w:rsidP="003D5B79">
            <w:pPr>
              <w:spacing w:after="0" w:line="240" w:lineRule="auto"/>
              <w:jc w:val="center"/>
              <w:rPr>
                <w:rFonts w:ascii="Times New Roman" w:eastAsia="Times New Roman" w:hAnsi="Times New Roman" w:cs="Times New Roman"/>
                <w:b/>
                <w:bCs/>
                <w:color w:val="000000"/>
                <w:sz w:val="24"/>
                <w:szCs w:val="24"/>
              </w:rPr>
            </w:pPr>
            <w:r w:rsidRPr="003D5B79">
              <w:rPr>
                <w:rFonts w:ascii="Times New Roman" w:eastAsia="Times New Roman" w:hAnsi="Times New Roman" w:cs="Times New Roman"/>
                <w:b/>
                <w:bCs/>
                <w:color w:val="000000"/>
                <w:sz w:val="24"/>
                <w:szCs w:val="24"/>
                <w:lang w:val="id-ID"/>
              </w:rPr>
              <w:t>Nama Variabel</w:t>
            </w:r>
          </w:p>
        </w:tc>
        <w:tc>
          <w:tcPr>
            <w:tcW w:w="2410" w:type="dxa"/>
            <w:tcBorders>
              <w:top w:val="single" w:sz="4" w:space="0" w:color="auto"/>
              <w:left w:val="nil"/>
              <w:bottom w:val="single" w:sz="4" w:space="0" w:color="auto"/>
              <w:right w:val="nil"/>
            </w:tcBorders>
            <w:shd w:val="clear" w:color="auto" w:fill="auto"/>
            <w:vAlign w:val="center"/>
            <w:hideMark/>
          </w:tcPr>
          <w:p w14:paraId="4DE661D7" w14:textId="77777777" w:rsidR="003D5B79" w:rsidRPr="003D5B79" w:rsidRDefault="003D5B79" w:rsidP="003D5B79">
            <w:pPr>
              <w:spacing w:after="0" w:line="240" w:lineRule="auto"/>
              <w:jc w:val="center"/>
              <w:rPr>
                <w:rFonts w:ascii="Times New Roman" w:eastAsia="Times New Roman" w:hAnsi="Times New Roman" w:cs="Times New Roman"/>
                <w:b/>
                <w:bCs/>
                <w:color w:val="000000"/>
                <w:sz w:val="24"/>
                <w:szCs w:val="24"/>
              </w:rPr>
            </w:pPr>
            <w:r w:rsidRPr="003D5B79">
              <w:rPr>
                <w:rFonts w:ascii="Times New Roman" w:eastAsia="Times New Roman" w:hAnsi="Times New Roman" w:cs="Times New Roman"/>
                <w:b/>
                <w:bCs/>
                <w:color w:val="000000"/>
                <w:sz w:val="24"/>
                <w:szCs w:val="24"/>
                <w:lang w:val="id-ID"/>
              </w:rPr>
              <w:t>Definisi Variabel</w:t>
            </w:r>
          </w:p>
        </w:tc>
        <w:tc>
          <w:tcPr>
            <w:tcW w:w="2693" w:type="dxa"/>
            <w:tcBorders>
              <w:top w:val="single" w:sz="4" w:space="0" w:color="auto"/>
              <w:left w:val="nil"/>
              <w:bottom w:val="single" w:sz="4" w:space="0" w:color="auto"/>
              <w:right w:val="nil"/>
            </w:tcBorders>
            <w:shd w:val="clear" w:color="auto" w:fill="auto"/>
            <w:vAlign w:val="center"/>
            <w:hideMark/>
          </w:tcPr>
          <w:p w14:paraId="1A445431" w14:textId="77777777" w:rsidR="003D5B79" w:rsidRPr="003D5B79" w:rsidRDefault="003D5B79" w:rsidP="003D5B79">
            <w:pPr>
              <w:spacing w:after="0" w:line="240" w:lineRule="auto"/>
              <w:jc w:val="center"/>
              <w:rPr>
                <w:rFonts w:ascii="Times New Roman" w:eastAsia="Times New Roman" w:hAnsi="Times New Roman" w:cs="Times New Roman"/>
                <w:b/>
                <w:bCs/>
                <w:color w:val="000000"/>
                <w:sz w:val="24"/>
                <w:szCs w:val="24"/>
              </w:rPr>
            </w:pPr>
            <w:r w:rsidRPr="003D5B79">
              <w:rPr>
                <w:rFonts w:ascii="Times New Roman" w:eastAsia="Times New Roman" w:hAnsi="Times New Roman" w:cs="Times New Roman"/>
                <w:b/>
                <w:bCs/>
                <w:color w:val="000000"/>
                <w:sz w:val="24"/>
                <w:szCs w:val="24"/>
                <w:lang w:val="id-ID"/>
              </w:rPr>
              <w:t>Pengukuran</w:t>
            </w:r>
          </w:p>
        </w:tc>
      </w:tr>
      <w:tr w:rsidR="003D5B79" w:rsidRPr="003D5B79" w14:paraId="7F257077" w14:textId="77777777" w:rsidTr="00520690">
        <w:trPr>
          <w:trHeight w:val="458"/>
        </w:trPr>
        <w:tc>
          <w:tcPr>
            <w:tcW w:w="567" w:type="dxa"/>
            <w:vMerge w:val="restart"/>
            <w:tcBorders>
              <w:top w:val="nil"/>
              <w:left w:val="nil"/>
              <w:bottom w:val="nil"/>
              <w:right w:val="nil"/>
            </w:tcBorders>
            <w:shd w:val="clear" w:color="auto" w:fill="auto"/>
            <w:vAlign w:val="center"/>
            <w:hideMark/>
          </w:tcPr>
          <w:p w14:paraId="2B8E273B"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w:t>
            </w:r>
          </w:p>
        </w:tc>
        <w:tc>
          <w:tcPr>
            <w:tcW w:w="1951" w:type="dxa"/>
            <w:vMerge w:val="restart"/>
            <w:tcBorders>
              <w:top w:val="nil"/>
              <w:left w:val="nil"/>
              <w:bottom w:val="nil"/>
              <w:right w:val="nil"/>
            </w:tcBorders>
            <w:shd w:val="clear" w:color="auto" w:fill="auto"/>
            <w:vAlign w:val="center"/>
            <w:hideMark/>
          </w:tcPr>
          <w:p w14:paraId="0783C486"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w w:val="105"/>
                <w:sz w:val="24"/>
                <w:szCs w:val="24"/>
              </w:rPr>
              <w:t>B3 waste disclosure percentage</w:t>
            </w:r>
          </w:p>
        </w:tc>
        <w:tc>
          <w:tcPr>
            <w:tcW w:w="2410" w:type="dxa"/>
            <w:vMerge w:val="restart"/>
            <w:tcBorders>
              <w:top w:val="nil"/>
              <w:left w:val="nil"/>
              <w:bottom w:val="nil"/>
              <w:right w:val="nil"/>
            </w:tcBorders>
            <w:shd w:val="clear" w:color="auto" w:fill="auto"/>
            <w:vAlign w:val="center"/>
            <w:hideMark/>
          </w:tcPr>
          <w:p w14:paraId="65170419" w14:textId="77777777" w:rsidR="003D5B79" w:rsidRPr="003D5B79" w:rsidRDefault="003D5B79" w:rsidP="003D5B79">
            <w:pPr>
              <w:autoSpaceDE w:val="0"/>
              <w:autoSpaceDN w:val="0"/>
              <w:adjustRightInd w:val="0"/>
              <w:spacing w:after="0" w:line="240" w:lineRule="auto"/>
              <w:rPr>
                <w:rFonts w:ascii="Times New Roman" w:hAnsi="Times New Roman" w:cs="Times New Roman"/>
                <w:sz w:val="24"/>
                <w:szCs w:val="24"/>
              </w:rPr>
            </w:pPr>
            <w:r w:rsidRPr="003D5B79">
              <w:rPr>
                <w:rFonts w:ascii="Times New Roman" w:hAnsi="Times New Roman" w:cs="Times New Roman"/>
                <w:sz w:val="24"/>
                <w:szCs w:val="24"/>
              </w:rPr>
              <w:t>The amount of LB3 disclosure that stakeholders expect (demand) and the company's practice (supply) regarding LB3 disclosure in the form of a percentage</w:t>
            </w:r>
          </w:p>
          <w:p w14:paraId="3F050E7F"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sz w:val="24"/>
                <w:szCs w:val="24"/>
              </w:rPr>
              <w:fldChar w:fldCharType="begin" w:fldLock="1"/>
            </w:r>
            <w:r w:rsidRPr="003D5B79">
              <w:rPr>
                <w:rFonts w:ascii="Times New Roman" w:eastAsia="Times New Roman" w:hAnsi="Times New Roman" w:cs="Times New Roman"/>
                <w:sz w:val="24"/>
                <w:szCs w:val="24"/>
              </w:rPr>
              <w:instrText>ADDIN CSL_CITATION {"citationItems":[{"id":"ITEM-1","itemData":{"abstract":"The purposes of this study were to invest igate informat ion gap of environmentaldisclosure in Indonesian and to examine relat ionship between company characterist ics andits environmental disclosures. Company characterist ics were ident if ied as size, prof itability,leverage, prof ile, and company</w:instrText>
            </w:r>
            <w:r w:rsidRPr="003D5B79">
              <w:rPr>
                <w:rFonts w:ascii="Tahoma" w:eastAsia="Times New Roman" w:hAnsi="Tahoma" w:cs="Tahoma"/>
                <w:sz w:val="24"/>
                <w:szCs w:val="24"/>
              </w:rPr>
              <w:instrText>�</w:instrText>
            </w:r>
            <w:r w:rsidRPr="003D5B79">
              <w:rPr>
                <w:rFonts w:ascii="Times New Roman" w:eastAsia="Times New Roman" w:hAnsi="Times New Roman" w:cs="Times New Roman"/>
                <w:sz w:val="24"/>
                <w:szCs w:val="24"/>
              </w:rPr>
              <w:instrText>s operat ion territory. This study also examined proport ion ofindependent commissioner and the educat ional background of commissioner president ascont rol variable. Primary and secondary data were used in this research. Interview and questionnaire to 50 respondents as broader stakeholders were used as primary data. On average,there was high demand f rom respondents on environmental disclosure (score of 3.95 within5 Likert scale). Under purposive sampling, 100 annual reports of companies in BEI were selectedas secondary data. There was 44% of those disclosed environmental informat ion. Underweighted index, the level of disclosure was 4.84%. High demand f rom broader stakeholdersto disclose environmental informat ion does not supply properly by Indonesian companies.Thus, there was informat ion gap in environmetal disclosure. Result of logist ic regressionshowed that the determinants for Indonesian companies to disclosure environmentalinformat ion were Prof itabilit y; Leverage and Proport ion of Independent Commissioner. Inaddit ion, the signif icant predictors for the level of disclosure were Leverage; Proport ion ofIndependent Commissioner and the Educat ional Background of Commissioner President .","author":[{"dropping-particle":"","family":"Suhardjanto","given":"Djoko","non-dropping-particle":"","parse-names":false,"suffix":""},{"dropping-particle":"","family":"Choiriyah","given":"Umi","non-dropping-particle":"","parse-names":false,"suffix":""}],"container-title":"Jurnal Keuangan dan Perbankan","id":"ITEM-1","issue":"1","issued":{"date-parts":[["2010"]]},"page":"36-51","title":"Information Gap : Demand Supply Environmental Disclosure","type":"article-journal","volume":"14"},"uris":["http://www.mendeley.com/documents/?uuid=010fd5a0-fa96-4b6d-8bad-dd4067451d2f"]}],"mendeley":{"formattedCitation":"(Suhardjanto &amp; Choiriyah, 2010)","plainTextFormattedCitation":"(Suhardjanto &amp; Choiriyah, 2010)","previouslyFormattedCitation":"(Suhardjanto &amp; Choiriyah, 2010)"},"properties":{"noteIndex":0},"schema":"https://github.com/citation-style-language/schema/raw/master/csl-citation.json"}</w:instrText>
            </w:r>
            <w:r w:rsidRPr="003D5B79">
              <w:rPr>
                <w:rFonts w:ascii="Times New Roman" w:eastAsia="Times New Roman" w:hAnsi="Times New Roman" w:cs="Times New Roman"/>
                <w:sz w:val="24"/>
                <w:szCs w:val="24"/>
              </w:rPr>
              <w:fldChar w:fldCharType="separate"/>
            </w:r>
            <w:r w:rsidRPr="003D5B79">
              <w:rPr>
                <w:rFonts w:ascii="Times New Roman" w:eastAsia="Times New Roman" w:hAnsi="Times New Roman" w:cs="Times New Roman"/>
                <w:noProof/>
                <w:sz w:val="24"/>
                <w:szCs w:val="24"/>
              </w:rPr>
              <w:t>(Suhardjanto &amp; Choiriyah, 2010)</w:t>
            </w:r>
            <w:r w:rsidRPr="003D5B79">
              <w:rPr>
                <w:rFonts w:ascii="Times New Roman" w:eastAsia="Times New Roman" w:hAnsi="Times New Roman" w:cs="Times New Roman"/>
                <w:sz w:val="24"/>
                <w:szCs w:val="24"/>
              </w:rPr>
              <w:fldChar w:fldCharType="end"/>
            </w:r>
            <w:r w:rsidRPr="003D5B79">
              <w:rPr>
                <w:rFonts w:ascii="Times New Roman" w:eastAsia="Times New Roman" w:hAnsi="Times New Roman" w:cs="Times New Roman"/>
                <w:sz w:val="24"/>
                <w:szCs w:val="24"/>
              </w:rPr>
              <w:t xml:space="preserve"> </w:t>
            </w:r>
            <w:r w:rsidRPr="003D5B79">
              <w:rPr>
                <w:rFonts w:ascii="Times New Roman" w:eastAsia="Times New Roman" w:hAnsi="Times New Roman" w:cs="Times New Roman"/>
                <w:sz w:val="24"/>
                <w:szCs w:val="24"/>
              </w:rPr>
              <w:fldChar w:fldCharType="begin" w:fldLock="1"/>
            </w:r>
            <w:r w:rsidRPr="003D5B79">
              <w:rPr>
                <w:rFonts w:ascii="Times New Roman" w:eastAsia="Times New Roman" w:hAnsi="Times New Roman" w:cs="Times New Roman"/>
                <w:sz w:val="24"/>
                <w:szCs w:val="24"/>
              </w:rPr>
              <w:instrText>ADDIN CSL_CITATION {"citationItems":[{"id":"ITEM-1","itemData":{"author":[{"dropping-particle":"","family":"Amelia,","given":"Windar","non-dropping-particle":"","parse-names":false,"suffix":""},{"dropping-particle":"","family":"Suhardjanto","given":"Djoko","non-dropping-particle":"","parse-names":false,"suffix":""}],"id":"ITEM-1","issued":{"date-parts":[["2011"]]},"publisher":"Universitas Sebelas Maret Surakarta","title":"Permintaan Elite Based Stakeholders Dan Praktik Pengungkapan Lingkungan Hidup di Indonesia","type":"thesis"},"uris":["http://www.mendeley.com/documents/?uuid=5b1210ca-03ef-49a9-b30e-15608b6ed150"]}],"mendeley":{"formattedCitation":"(Amelia, &amp; Suhardjanto, 2011)","plainTextFormattedCitation":"(Amelia, &amp; Suhardjanto, 2011)","previouslyFormattedCitation":"(Amelia, &amp; Suhardjanto, 2011)"},"properties":{"noteIndex":0},"schema":"https://github.com/citation-style-language/schema/raw/master/csl-citation.json"}</w:instrText>
            </w:r>
            <w:r w:rsidRPr="003D5B79">
              <w:rPr>
                <w:rFonts w:ascii="Times New Roman" w:eastAsia="Times New Roman" w:hAnsi="Times New Roman" w:cs="Times New Roman"/>
                <w:sz w:val="24"/>
                <w:szCs w:val="24"/>
              </w:rPr>
              <w:fldChar w:fldCharType="separate"/>
            </w:r>
            <w:r w:rsidRPr="003D5B79">
              <w:rPr>
                <w:rFonts w:ascii="Times New Roman" w:eastAsia="Times New Roman" w:hAnsi="Times New Roman" w:cs="Times New Roman"/>
                <w:noProof/>
                <w:sz w:val="24"/>
                <w:szCs w:val="24"/>
              </w:rPr>
              <w:t>(Amelia, &amp; Suhardjanto, 2011)</w:t>
            </w:r>
            <w:r w:rsidRPr="003D5B79">
              <w:rPr>
                <w:rFonts w:ascii="Times New Roman" w:eastAsia="Times New Roman" w:hAnsi="Times New Roman" w:cs="Times New Roman"/>
                <w:sz w:val="24"/>
                <w:szCs w:val="24"/>
              </w:rPr>
              <w:fldChar w:fldCharType="end"/>
            </w:r>
          </w:p>
        </w:tc>
        <w:tc>
          <w:tcPr>
            <w:tcW w:w="2693" w:type="dxa"/>
            <w:vMerge w:val="restart"/>
            <w:tcBorders>
              <w:top w:val="nil"/>
              <w:left w:val="nil"/>
              <w:bottom w:val="nil"/>
              <w:right w:val="nil"/>
            </w:tcBorders>
            <w:shd w:val="clear" w:color="auto" w:fill="auto"/>
            <w:vAlign w:val="center"/>
            <w:hideMark/>
          </w:tcPr>
          <w:p w14:paraId="4009E8B1" w14:textId="77777777" w:rsidR="003D5B79" w:rsidRPr="003D5B79" w:rsidRDefault="003D5B79" w:rsidP="003D5B79">
            <w:pPr>
              <w:autoSpaceDE w:val="0"/>
              <w:autoSpaceDN w:val="0"/>
              <w:adjustRightInd w:val="0"/>
              <w:spacing w:after="0" w:line="240" w:lineRule="auto"/>
              <w:rPr>
                <w:rFonts w:ascii="Times New Roman" w:hAnsi="Times New Roman" w:cs="Times New Roman"/>
                <w:sz w:val="24"/>
                <w:szCs w:val="24"/>
              </w:rPr>
            </w:pPr>
            <w:r w:rsidRPr="003D5B79">
              <w:rPr>
                <w:rFonts w:ascii="Times New Roman" w:hAnsi="Times New Roman" w:cs="Times New Roman"/>
                <w:sz w:val="24"/>
                <w:szCs w:val="24"/>
              </w:rPr>
              <w:t>Ratio data</w:t>
            </w:r>
          </w:p>
          <w:p w14:paraId="57309DE0"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hAnsi="Times New Roman" w:cs="Times New Roman"/>
                <w:sz w:val="24"/>
                <w:szCs w:val="24"/>
              </w:rPr>
              <w:t xml:space="preserve">Percentage of stakeholder expectations (demand) and company practice (supply) regarding B3 waste disclosure </w:t>
            </w:r>
            <w:r w:rsidRPr="003D5B79">
              <w:rPr>
                <w:rFonts w:ascii="Times New Roman" w:hAnsi="Times New Roman" w:cs="Times New Roman"/>
                <w:sz w:val="24"/>
                <w:szCs w:val="24"/>
              </w:rPr>
              <w:fldChar w:fldCharType="begin" w:fldLock="1"/>
            </w:r>
            <w:r w:rsidRPr="003D5B79">
              <w:rPr>
                <w:rFonts w:ascii="Times New Roman" w:hAnsi="Times New Roman" w:cs="Times New Roman"/>
                <w:sz w:val="24"/>
                <w:szCs w:val="24"/>
              </w:rPr>
              <w:instrText>ADDIN CSL_CITATION {"citationItems":[{"id":"ITEM-1","itemData":{"abstract":"The purposes of this study were to invest igate informat ion gap of environmentaldisclosure in Indonesian and to examine relat ionship between company characterist ics andits environmental disclosures. Company characterist ics were ident if ied as size, prof itability,leverage, prof ile, and company</w:instrText>
            </w:r>
            <w:r w:rsidRPr="003D5B79">
              <w:rPr>
                <w:rFonts w:ascii="Tahoma" w:hAnsi="Tahoma" w:cs="Tahoma"/>
                <w:sz w:val="24"/>
                <w:szCs w:val="24"/>
              </w:rPr>
              <w:instrText>�</w:instrText>
            </w:r>
            <w:r w:rsidRPr="003D5B79">
              <w:rPr>
                <w:rFonts w:ascii="Times New Roman" w:hAnsi="Times New Roman" w:cs="Times New Roman"/>
                <w:sz w:val="24"/>
                <w:szCs w:val="24"/>
              </w:rPr>
              <w:instrText>s operat ion territory. This study also examined proport ion ofindependent commissioner and the educat ional background of commissioner president ascont rol variable. Primary and secondary data were used in this research. Interview and questionnaire to 50 respondents as broader stakeholders were used as primary data. On average,there was high demand f rom respondents on environmental disclosure (score of 3.95 within5 Likert scale). Under purposive sampling, 100 annual reports of companies in BEI were selectedas secondary data. There was 44% of those disclosed environmental informat ion. Underweighted index, the level of disclosure was 4.84%. High demand f rom broader stakeholdersto disclose environmental informat ion does not supply properly by Indonesian companies.Thus, there was informat ion gap in environmetal disclosure. Result of logist ic regressionshowed that the determinants for Indonesian companies to disclosure environmentalinformat ion were Prof itabilit y; Leverage and Proport ion of Independent Commissioner. Inaddit ion, the signif icant predictors for the level of disclosure were Leverage; Proport ion ofIndependent Commissioner and the Educat ional Background of Commissioner President .","author":[{"dropping-particle":"","family":"Suhardjanto","given":"Djoko","non-dropping-particle":"","parse-names":false,"suffix":""},{"dropping-particle":"","family":"Choiriyah","given":"Umi","non-dropping-particle":"","parse-names":false,"suffix":""}],"container-title":"Jurnal Keuangan dan Perbankan","id":"ITEM-1","issue":"1","issued":{"date-parts":[["2010"]]},"page":"36-51","title":"Information Gap : Demand Supply Environmental Disclosure","type":"article-journal","volume":"14"},"uris":["http://www.mendeley.com/documents/?uuid=010fd5a0-fa96-4b6d-8bad-dd4067451d2f"]}],"mendeley":{"formattedCitation":"(Suhardjanto &amp; Choiriyah, 2010)","plainTextFormattedCitation":"(Suhardjanto &amp; Choiriyah, 2010)","previouslyFormattedCitation":"(Suhardjanto &amp; Choiriyah, 2010)"},"properties":{"noteIndex":0},"schema":"https://github.com/citation-style-language/schema/raw/master/csl-citation.json"}</w:instrText>
            </w:r>
            <w:r w:rsidRPr="003D5B79">
              <w:rPr>
                <w:rFonts w:ascii="Times New Roman" w:hAnsi="Times New Roman" w:cs="Times New Roman"/>
                <w:sz w:val="24"/>
                <w:szCs w:val="24"/>
              </w:rPr>
              <w:fldChar w:fldCharType="separate"/>
            </w:r>
            <w:r w:rsidRPr="003D5B79">
              <w:rPr>
                <w:rFonts w:ascii="Times New Roman" w:hAnsi="Times New Roman" w:cs="Times New Roman"/>
                <w:noProof/>
                <w:sz w:val="24"/>
                <w:szCs w:val="24"/>
              </w:rPr>
              <w:t>(Suhardjanto &amp; Choiriyah, 2010)</w:t>
            </w:r>
            <w:r w:rsidRPr="003D5B79">
              <w:rPr>
                <w:rFonts w:ascii="Times New Roman" w:hAnsi="Times New Roman" w:cs="Times New Roman"/>
                <w:sz w:val="24"/>
                <w:szCs w:val="24"/>
              </w:rPr>
              <w:fldChar w:fldCharType="end"/>
            </w:r>
            <w:r w:rsidRPr="003D5B79">
              <w:rPr>
                <w:rFonts w:ascii="Times New Roman" w:hAnsi="Times New Roman" w:cs="Times New Roman"/>
                <w:sz w:val="24"/>
                <w:szCs w:val="24"/>
              </w:rPr>
              <w:t xml:space="preserve"> </w:t>
            </w:r>
            <w:r w:rsidRPr="003D5B79">
              <w:rPr>
                <w:rFonts w:ascii="Times New Roman" w:hAnsi="Times New Roman" w:cs="Times New Roman"/>
                <w:sz w:val="24"/>
                <w:szCs w:val="24"/>
              </w:rPr>
              <w:fldChar w:fldCharType="begin" w:fldLock="1"/>
            </w:r>
            <w:r w:rsidRPr="003D5B79">
              <w:rPr>
                <w:rFonts w:ascii="Times New Roman" w:hAnsi="Times New Roman" w:cs="Times New Roman"/>
                <w:sz w:val="24"/>
                <w:szCs w:val="24"/>
              </w:rPr>
              <w:instrText>ADDIN CSL_CITATION {"citationItems":[{"id":"ITEM-1","itemData":{"author":[{"dropping-particle":"","family":"Amelia,","given":"Windar","non-dropping-particle":"","parse-names":false,"suffix":""},{"dropping-particle":"","family":"Suhardjanto","given":"Djoko","non-dropping-particle":"","parse-names":false,"suffix":""}],"id":"ITEM-1","issued":{"date-parts":[["2011"]]},"publisher":"Universitas Sebelas Maret Surakarta","title":"Permintaan Elite Based Stakeholders Dan Praktik Pengungkapan Lingkungan Hidup di Indonesia","type":"thesis"},"uris":["http://www.mendeley.com/documents/?uuid=5b1210ca-03ef-49a9-b30e-15608b6ed150"]}],"mendeley":{"formattedCitation":"(Amelia, &amp; Suhardjanto, 2011)","plainTextFormattedCitation":"(Amelia, &amp; Suhardjanto, 2011)","previouslyFormattedCitation":"(Amelia, &amp; Suhardjanto, 2011)"},"properties":{"noteIndex":0},"schema":"https://github.com/citation-style-language/schema/raw/master/csl-citation.json"}</w:instrText>
            </w:r>
            <w:r w:rsidRPr="003D5B79">
              <w:rPr>
                <w:rFonts w:ascii="Times New Roman" w:hAnsi="Times New Roman" w:cs="Times New Roman"/>
                <w:sz w:val="24"/>
                <w:szCs w:val="24"/>
              </w:rPr>
              <w:fldChar w:fldCharType="separate"/>
            </w:r>
            <w:r w:rsidRPr="003D5B79">
              <w:rPr>
                <w:rFonts w:ascii="Times New Roman" w:hAnsi="Times New Roman" w:cs="Times New Roman"/>
                <w:noProof/>
                <w:sz w:val="24"/>
                <w:szCs w:val="24"/>
              </w:rPr>
              <w:t>(Amelia, &amp; Suhardjanto, 2011)</w:t>
            </w:r>
            <w:r w:rsidRPr="003D5B79">
              <w:rPr>
                <w:rFonts w:ascii="Times New Roman" w:hAnsi="Times New Roman" w:cs="Times New Roman"/>
                <w:sz w:val="24"/>
                <w:szCs w:val="24"/>
              </w:rPr>
              <w:fldChar w:fldCharType="end"/>
            </w:r>
          </w:p>
        </w:tc>
      </w:tr>
      <w:tr w:rsidR="003D5B79" w:rsidRPr="003D5B79" w14:paraId="64C9DE99" w14:textId="77777777" w:rsidTr="00520690">
        <w:trPr>
          <w:trHeight w:val="458"/>
        </w:trPr>
        <w:tc>
          <w:tcPr>
            <w:tcW w:w="567" w:type="dxa"/>
            <w:vMerge/>
            <w:tcBorders>
              <w:top w:val="nil"/>
              <w:left w:val="nil"/>
              <w:bottom w:val="nil"/>
              <w:right w:val="nil"/>
            </w:tcBorders>
            <w:vAlign w:val="center"/>
            <w:hideMark/>
          </w:tcPr>
          <w:p w14:paraId="5A587A1E"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p>
        </w:tc>
        <w:tc>
          <w:tcPr>
            <w:tcW w:w="1951" w:type="dxa"/>
            <w:vMerge/>
            <w:tcBorders>
              <w:top w:val="nil"/>
              <w:left w:val="nil"/>
              <w:bottom w:val="nil"/>
              <w:right w:val="nil"/>
            </w:tcBorders>
            <w:vAlign w:val="center"/>
            <w:hideMark/>
          </w:tcPr>
          <w:p w14:paraId="0F51B887"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p>
        </w:tc>
        <w:tc>
          <w:tcPr>
            <w:tcW w:w="2410" w:type="dxa"/>
            <w:vMerge/>
            <w:tcBorders>
              <w:top w:val="nil"/>
              <w:left w:val="nil"/>
              <w:bottom w:val="nil"/>
              <w:right w:val="nil"/>
            </w:tcBorders>
            <w:vAlign w:val="center"/>
            <w:hideMark/>
          </w:tcPr>
          <w:p w14:paraId="4D20CE89"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p>
        </w:tc>
        <w:tc>
          <w:tcPr>
            <w:tcW w:w="2693" w:type="dxa"/>
            <w:vMerge/>
            <w:tcBorders>
              <w:top w:val="nil"/>
              <w:left w:val="nil"/>
              <w:bottom w:val="nil"/>
              <w:right w:val="nil"/>
            </w:tcBorders>
            <w:vAlign w:val="center"/>
            <w:hideMark/>
          </w:tcPr>
          <w:p w14:paraId="7EA04026"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p>
        </w:tc>
      </w:tr>
      <w:tr w:rsidR="003D5B79" w:rsidRPr="003D5B79" w14:paraId="39F0C817" w14:textId="77777777" w:rsidTr="00520690">
        <w:trPr>
          <w:trHeight w:val="458"/>
        </w:trPr>
        <w:tc>
          <w:tcPr>
            <w:tcW w:w="567" w:type="dxa"/>
            <w:vMerge/>
            <w:tcBorders>
              <w:top w:val="nil"/>
              <w:left w:val="nil"/>
              <w:bottom w:val="nil"/>
              <w:right w:val="nil"/>
            </w:tcBorders>
            <w:vAlign w:val="center"/>
            <w:hideMark/>
          </w:tcPr>
          <w:p w14:paraId="2F6D89E5"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p>
        </w:tc>
        <w:tc>
          <w:tcPr>
            <w:tcW w:w="1951" w:type="dxa"/>
            <w:vMerge/>
            <w:tcBorders>
              <w:top w:val="nil"/>
              <w:left w:val="nil"/>
              <w:bottom w:val="nil"/>
              <w:right w:val="nil"/>
            </w:tcBorders>
            <w:vAlign w:val="center"/>
            <w:hideMark/>
          </w:tcPr>
          <w:p w14:paraId="184FE8C4"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p>
        </w:tc>
        <w:tc>
          <w:tcPr>
            <w:tcW w:w="2410" w:type="dxa"/>
            <w:vMerge/>
            <w:tcBorders>
              <w:top w:val="nil"/>
              <w:left w:val="nil"/>
              <w:bottom w:val="nil"/>
              <w:right w:val="nil"/>
            </w:tcBorders>
            <w:vAlign w:val="center"/>
            <w:hideMark/>
          </w:tcPr>
          <w:p w14:paraId="4CA1611F"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p>
        </w:tc>
        <w:tc>
          <w:tcPr>
            <w:tcW w:w="2693" w:type="dxa"/>
            <w:vMerge/>
            <w:tcBorders>
              <w:top w:val="nil"/>
              <w:left w:val="nil"/>
              <w:bottom w:val="nil"/>
              <w:right w:val="nil"/>
            </w:tcBorders>
            <w:vAlign w:val="center"/>
            <w:hideMark/>
          </w:tcPr>
          <w:p w14:paraId="6617CBC2"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p>
        </w:tc>
      </w:tr>
      <w:tr w:rsidR="003D5B79" w:rsidRPr="003D5B79" w14:paraId="10E8A128" w14:textId="77777777" w:rsidTr="00520690">
        <w:trPr>
          <w:trHeight w:val="458"/>
        </w:trPr>
        <w:tc>
          <w:tcPr>
            <w:tcW w:w="567" w:type="dxa"/>
            <w:vMerge w:val="restart"/>
            <w:tcBorders>
              <w:top w:val="nil"/>
              <w:left w:val="nil"/>
              <w:bottom w:val="single" w:sz="4" w:space="0" w:color="000000"/>
              <w:right w:val="nil"/>
            </w:tcBorders>
            <w:shd w:val="clear" w:color="auto" w:fill="auto"/>
            <w:vAlign w:val="center"/>
            <w:hideMark/>
          </w:tcPr>
          <w:p w14:paraId="6538E26F"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2</w:t>
            </w:r>
          </w:p>
        </w:tc>
        <w:tc>
          <w:tcPr>
            <w:tcW w:w="1951" w:type="dxa"/>
            <w:vMerge w:val="restart"/>
            <w:tcBorders>
              <w:top w:val="nil"/>
              <w:left w:val="nil"/>
              <w:bottom w:val="single" w:sz="4" w:space="0" w:color="000000"/>
              <w:right w:val="nil"/>
            </w:tcBorders>
            <w:shd w:val="clear" w:color="auto" w:fill="auto"/>
            <w:vAlign w:val="center"/>
            <w:hideMark/>
          </w:tcPr>
          <w:p w14:paraId="5253B27C"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w w:val="105"/>
                <w:sz w:val="24"/>
                <w:szCs w:val="24"/>
              </w:rPr>
              <w:t>Types of Information Gaps Expectations and Practices of Disclosure of Financial Statements</w:t>
            </w:r>
          </w:p>
        </w:tc>
        <w:tc>
          <w:tcPr>
            <w:tcW w:w="2410" w:type="dxa"/>
            <w:vMerge w:val="restart"/>
            <w:tcBorders>
              <w:top w:val="nil"/>
              <w:left w:val="nil"/>
              <w:bottom w:val="single" w:sz="4" w:space="0" w:color="000000"/>
              <w:right w:val="nil"/>
            </w:tcBorders>
            <w:shd w:val="clear" w:color="auto" w:fill="auto"/>
            <w:vAlign w:val="center"/>
            <w:hideMark/>
          </w:tcPr>
          <w:p w14:paraId="6FF32A0B" w14:textId="77777777" w:rsidR="003D5B79" w:rsidRPr="003D5B79" w:rsidRDefault="003D5B79" w:rsidP="003D5B79">
            <w:pPr>
              <w:spacing w:after="0" w:line="240" w:lineRule="auto"/>
              <w:jc w:val="both"/>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Stakeholder groups have the demand they want to disclose environmental information, while companies make disclosures according to their abilities. (Lako, 2008).</w:t>
            </w:r>
          </w:p>
        </w:tc>
        <w:tc>
          <w:tcPr>
            <w:tcW w:w="2693" w:type="dxa"/>
            <w:vMerge w:val="restart"/>
            <w:tcBorders>
              <w:top w:val="nil"/>
              <w:left w:val="nil"/>
              <w:bottom w:val="single" w:sz="4" w:space="0" w:color="000000"/>
              <w:right w:val="nil"/>
            </w:tcBorders>
            <w:shd w:val="clear" w:color="auto" w:fill="auto"/>
            <w:vAlign w:val="center"/>
            <w:hideMark/>
          </w:tcPr>
          <w:p w14:paraId="5EA0D085" w14:textId="77777777" w:rsidR="003D5B79" w:rsidRPr="003D5B79" w:rsidRDefault="003D5B79" w:rsidP="003D5B79">
            <w:pPr>
              <w:autoSpaceDE w:val="0"/>
              <w:autoSpaceDN w:val="0"/>
              <w:adjustRightInd w:val="0"/>
              <w:spacing w:after="0" w:line="240" w:lineRule="auto"/>
              <w:rPr>
                <w:rFonts w:ascii="Times New Roman" w:hAnsi="Times New Roman" w:cs="Times New Roman"/>
                <w:sz w:val="24"/>
                <w:szCs w:val="24"/>
              </w:rPr>
            </w:pPr>
            <w:r w:rsidRPr="003D5B79">
              <w:rPr>
                <w:rFonts w:ascii="Times New Roman" w:hAnsi="Times New Roman" w:cs="Times New Roman"/>
                <w:sz w:val="24"/>
                <w:szCs w:val="24"/>
              </w:rPr>
              <w:t>Nominal Data</w:t>
            </w:r>
          </w:p>
          <w:p w14:paraId="5A6C6724" w14:textId="77777777" w:rsidR="003D5B79" w:rsidRPr="003D5B79" w:rsidRDefault="003D5B79" w:rsidP="003D5B79">
            <w:pPr>
              <w:autoSpaceDE w:val="0"/>
              <w:autoSpaceDN w:val="0"/>
              <w:adjustRightInd w:val="0"/>
              <w:spacing w:after="0" w:line="240" w:lineRule="auto"/>
              <w:rPr>
                <w:rFonts w:ascii="Times New Roman" w:hAnsi="Times New Roman" w:cs="Times New Roman"/>
                <w:sz w:val="24"/>
                <w:szCs w:val="24"/>
              </w:rPr>
            </w:pPr>
            <w:r w:rsidRPr="003D5B79">
              <w:rPr>
                <w:rFonts w:ascii="Times New Roman" w:hAnsi="Times New Roman" w:cs="Times New Roman"/>
                <w:sz w:val="24"/>
                <w:szCs w:val="24"/>
              </w:rPr>
              <w:t>1= Stakeholder's expectations regarding the disclosure of B3 waste</w:t>
            </w:r>
          </w:p>
          <w:p w14:paraId="0BBDAE57" w14:textId="77777777" w:rsidR="003D5B79" w:rsidRPr="003D5B79" w:rsidRDefault="003D5B79" w:rsidP="003D5B79">
            <w:pPr>
              <w:autoSpaceDE w:val="0"/>
              <w:autoSpaceDN w:val="0"/>
              <w:adjustRightInd w:val="0"/>
              <w:spacing w:after="0" w:line="240" w:lineRule="auto"/>
              <w:rPr>
                <w:rFonts w:ascii="Times New Roman" w:hAnsi="Times New Roman" w:cs="Times New Roman"/>
                <w:sz w:val="24"/>
                <w:szCs w:val="24"/>
              </w:rPr>
            </w:pPr>
          </w:p>
          <w:p w14:paraId="06D6066B" w14:textId="77777777" w:rsidR="003D5B79" w:rsidRPr="003D5B79" w:rsidRDefault="003D5B79" w:rsidP="003D5B79">
            <w:pPr>
              <w:autoSpaceDE w:val="0"/>
              <w:autoSpaceDN w:val="0"/>
              <w:adjustRightInd w:val="0"/>
              <w:spacing w:after="0" w:line="240" w:lineRule="auto"/>
              <w:rPr>
                <w:rFonts w:ascii="Times New Roman" w:hAnsi="Times New Roman" w:cs="Times New Roman"/>
                <w:sz w:val="24"/>
                <w:szCs w:val="24"/>
              </w:rPr>
            </w:pPr>
            <w:r w:rsidRPr="003D5B79">
              <w:rPr>
                <w:rFonts w:ascii="Times New Roman" w:hAnsi="Times New Roman" w:cs="Times New Roman"/>
                <w:sz w:val="24"/>
                <w:szCs w:val="24"/>
              </w:rPr>
              <w:t>0 = Company supply practices regarding B3 waste disclosure</w:t>
            </w:r>
          </w:p>
          <w:p w14:paraId="5BC0DCEF"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hAnsi="Times New Roman" w:cs="Times New Roman"/>
                <w:sz w:val="24"/>
                <w:szCs w:val="24"/>
              </w:rPr>
              <w:fldChar w:fldCharType="begin" w:fldLock="1"/>
            </w:r>
            <w:r w:rsidRPr="003D5B79">
              <w:rPr>
                <w:rFonts w:ascii="Times New Roman" w:hAnsi="Times New Roman" w:cs="Times New Roman"/>
                <w:sz w:val="24"/>
                <w:szCs w:val="24"/>
              </w:rPr>
              <w:instrText>ADDIN CSL_CITATION {"citationItems":[{"id":"ITEM-1","itemData":{"abstract":"The purposes of this study were to invest igate informat ion gap of environmentaldisclosure in Indonesian and to examine relat ionship between company characterist ics andits environmental disclosures. Company characterist ics were ident if ied as size, prof itability,leverage, prof ile, and company</w:instrText>
            </w:r>
            <w:r w:rsidRPr="003D5B79">
              <w:rPr>
                <w:rFonts w:ascii="Tahoma" w:hAnsi="Tahoma" w:cs="Tahoma"/>
                <w:sz w:val="24"/>
                <w:szCs w:val="24"/>
              </w:rPr>
              <w:instrText>�</w:instrText>
            </w:r>
            <w:r w:rsidRPr="003D5B79">
              <w:rPr>
                <w:rFonts w:ascii="Times New Roman" w:hAnsi="Times New Roman" w:cs="Times New Roman"/>
                <w:sz w:val="24"/>
                <w:szCs w:val="24"/>
              </w:rPr>
              <w:instrText>s operat ion territory. This study also examined proport ion ofindependent commissioner and the educat ional background of commissioner president ascont rol variable. Primary and secondary data were used in this research. Interview and questionnaire to 50 respondents as broader stakeholders were used as primary data. On average,there was high demand f rom respondents on environmental disclosure (score of 3.95 within5 Likert scale). Under purposive sampling, 100 annual reports of companies in BEI were selectedas secondary data. There was 44% of those disclosed environmental informat ion. Underweighted index, the level of disclosure was 4.84%. High demand f rom broader stakeholdersto disclose environmental informat ion does not supply properly by Indonesian companies.Thus, there was informat ion gap in environmetal disclosure. Result of logist ic regressionshowed that the determinants for Indonesian companies to disclosure environmentalinformat ion were Prof itabilit y; Leverage and Proport ion of Independent Commissioner. Inaddit ion, the signif icant predictors for the level of disclosure were Leverage; Proport ion ofIndependent Commissioner and the Educat ional Background of Commissioner President .","author":[{"dropping-particle":"","family":"Suhardjanto","given":"Djoko","non-dropping-particle":"","parse-names":false,"suffix":""},{"dropping-particle":"","family":"Choiriyah","given":"Umi","non-dropping-particle":"","parse-names":false,"suffix":""}],"container-title":"Jurnal Keuangan dan Perbankan","id":"ITEM-1","issue":"1","issued":{"date-parts":[["2010"]]},"page":"36-51","title":"Information Gap : Demand Supply Environmental Disclosure","type":"article-journal","volume":"14"},"uris":["http://www.mendeley.com/documents/?uuid=010fd5a0-fa96-4b6d-8bad-dd4067451d2f"]}],"mendeley":{"formattedCitation":"(Suhardjanto &amp; Choiriyah, 2010)","plainTextFormattedCitation":"(Suhardjanto &amp; Choiriyah, 2010)","previouslyFormattedCitation":"(Suhardjanto &amp; Choiriyah, 2010)"},"properties":{"noteIndex":0},"schema":"https://github.com/citation-style-language/schema/raw/master/csl-citation.json"}</w:instrText>
            </w:r>
            <w:r w:rsidRPr="003D5B79">
              <w:rPr>
                <w:rFonts w:ascii="Times New Roman" w:hAnsi="Times New Roman" w:cs="Times New Roman"/>
                <w:sz w:val="24"/>
                <w:szCs w:val="24"/>
              </w:rPr>
              <w:fldChar w:fldCharType="separate"/>
            </w:r>
            <w:r w:rsidRPr="003D5B79">
              <w:rPr>
                <w:rFonts w:ascii="Times New Roman" w:hAnsi="Times New Roman" w:cs="Times New Roman"/>
                <w:noProof/>
                <w:sz w:val="24"/>
                <w:szCs w:val="24"/>
              </w:rPr>
              <w:t>(Suhardjanto &amp; Choiriyah, 2010)</w:t>
            </w:r>
            <w:r w:rsidRPr="003D5B79">
              <w:rPr>
                <w:rFonts w:ascii="Times New Roman" w:hAnsi="Times New Roman" w:cs="Times New Roman"/>
                <w:sz w:val="24"/>
                <w:szCs w:val="24"/>
              </w:rPr>
              <w:fldChar w:fldCharType="end"/>
            </w:r>
            <w:r w:rsidRPr="003D5B79">
              <w:rPr>
                <w:rFonts w:ascii="Times New Roman" w:hAnsi="Times New Roman" w:cs="Times New Roman"/>
                <w:sz w:val="24"/>
                <w:szCs w:val="24"/>
              </w:rPr>
              <w:t xml:space="preserve"> </w:t>
            </w:r>
            <w:r w:rsidRPr="003D5B79">
              <w:rPr>
                <w:rFonts w:ascii="Times New Roman" w:hAnsi="Times New Roman" w:cs="Times New Roman"/>
                <w:sz w:val="24"/>
                <w:szCs w:val="24"/>
              </w:rPr>
              <w:fldChar w:fldCharType="begin" w:fldLock="1"/>
            </w:r>
            <w:r w:rsidRPr="003D5B79">
              <w:rPr>
                <w:rFonts w:ascii="Times New Roman" w:hAnsi="Times New Roman" w:cs="Times New Roman"/>
                <w:sz w:val="24"/>
                <w:szCs w:val="24"/>
              </w:rPr>
              <w:instrText>ADDIN CSL_CITATION {"citationItems":[{"id":"ITEM-1","itemData":{"author":[{"dropping-particle":"","family":"Amelia,","given":"Windar","non-dropping-particle":"","parse-names":false,"suffix":""},{"dropping-particle":"","family":"Suhardjanto","given":"Djoko","non-dropping-particle":"","parse-names":false,"suffix":""}],"id":"ITEM-1","issued":{"date-parts":[["2011"]]},"publisher":"Universitas Sebelas Maret Surakarta","title":"Permintaan Elite Based Stakeholders Dan Praktik Pengungkapan Lingkungan Hidup di Indonesia","type":"thesis"},"uris":["http://www.mendeley.com/documents/?uuid=5b1210ca-03ef-49a9-b30e-15608b6ed150"]}],"mendeley":{"formattedCitation":"(Amelia, &amp; Suhardjanto, 2011)","plainTextFormattedCitation":"(Amelia, &amp; Suhardjanto, 2011)","previouslyFormattedCitation":"(Amelia, &amp; Suhardjanto, 2011)"},"properties":{"noteIndex":0},"schema":"https://github.com/citation-style-language/schema/raw/master/csl-citation.json"}</w:instrText>
            </w:r>
            <w:r w:rsidRPr="003D5B79">
              <w:rPr>
                <w:rFonts w:ascii="Times New Roman" w:hAnsi="Times New Roman" w:cs="Times New Roman"/>
                <w:sz w:val="24"/>
                <w:szCs w:val="24"/>
              </w:rPr>
              <w:fldChar w:fldCharType="separate"/>
            </w:r>
            <w:r w:rsidRPr="003D5B79">
              <w:rPr>
                <w:rFonts w:ascii="Times New Roman" w:hAnsi="Times New Roman" w:cs="Times New Roman"/>
                <w:noProof/>
                <w:sz w:val="24"/>
                <w:szCs w:val="24"/>
              </w:rPr>
              <w:t>(Amelia, &amp; Suhardjanto, 2011)</w:t>
            </w:r>
            <w:r w:rsidRPr="003D5B79">
              <w:rPr>
                <w:rFonts w:ascii="Times New Roman" w:hAnsi="Times New Roman" w:cs="Times New Roman"/>
                <w:sz w:val="24"/>
                <w:szCs w:val="24"/>
              </w:rPr>
              <w:fldChar w:fldCharType="end"/>
            </w:r>
          </w:p>
        </w:tc>
      </w:tr>
      <w:tr w:rsidR="003D5B79" w:rsidRPr="003D5B79" w14:paraId="7CCCDF49" w14:textId="77777777" w:rsidTr="00520690">
        <w:trPr>
          <w:trHeight w:val="458"/>
        </w:trPr>
        <w:tc>
          <w:tcPr>
            <w:tcW w:w="567" w:type="dxa"/>
            <w:vMerge/>
            <w:tcBorders>
              <w:top w:val="nil"/>
              <w:left w:val="nil"/>
              <w:bottom w:val="single" w:sz="4" w:space="0" w:color="000000"/>
              <w:right w:val="nil"/>
            </w:tcBorders>
            <w:vAlign w:val="center"/>
            <w:hideMark/>
          </w:tcPr>
          <w:p w14:paraId="477B3753"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p>
        </w:tc>
        <w:tc>
          <w:tcPr>
            <w:tcW w:w="1951" w:type="dxa"/>
            <w:vMerge/>
            <w:tcBorders>
              <w:top w:val="nil"/>
              <w:left w:val="nil"/>
              <w:bottom w:val="single" w:sz="4" w:space="0" w:color="000000"/>
              <w:right w:val="nil"/>
            </w:tcBorders>
            <w:vAlign w:val="center"/>
            <w:hideMark/>
          </w:tcPr>
          <w:p w14:paraId="5D06430B"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p>
        </w:tc>
        <w:tc>
          <w:tcPr>
            <w:tcW w:w="2410" w:type="dxa"/>
            <w:vMerge/>
            <w:tcBorders>
              <w:top w:val="nil"/>
              <w:left w:val="nil"/>
              <w:bottom w:val="single" w:sz="4" w:space="0" w:color="000000"/>
              <w:right w:val="nil"/>
            </w:tcBorders>
            <w:vAlign w:val="center"/>
            <w:hideMark/>
          </w:tcPr>
          <w:p w14:paraId="5446D94F"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p>
        </w:tc>
        <w:tc>
          <w:tcPr>
            <w:tcW w:w="2693" w:type="dxa"/>
            <w:vMerge/>
            <w:tcBorders>
              <w:top w:val="nil"/>
              <w:left w:val="nil"/>
              <w:bottom w:val="single" w:sz="4" w:space="0" w:color="000000"/>
              <w:right w:val="nil"/>
            </w:tcBorders>
            <w:vAlign w:val="center"/>
            <w:hideMark/>
          </w:tcPr>
          <w:p w14:paraId="3D0B7D26"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p>
        </w:tc>
      </w:tr>
      <w:tr w:rsidR="003D5B79" w:rsidRPr="003D5B79" w14:paraId="015D71A1" w14:textId="77777777" w:rsidTr="00520690">
        <w:trPr>
          <w:trHeight w:val="458"/>
        </w:trPr>
        <w:tc>
          <w:tcPr>
            <w:tcW w:w="567" w:type="dxa"/>
            <w:vMerge/>
            <w:tcBorders>
              <w:top w:val="nil"/>
              <w:left w:val="nil"/>
              <w:bottom w:val="single" w:sz="4" w:space="0" w:color="000000"/>
              <w:right w:val="nil"/>
            </w:tcBorders>
            <w:vAlign w:val="center"/>
            <w:hideMark/>
          </w:tcPr>
          <w:p w14:paraId="5A9EF478"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p>
        </w:tc>
        <w:tc>
          <w:tcPr>
            <w:tcW w:w="1951" w:type="dxa"/>
            <w:vMerge/>
            <w:tcBorders>
              <w:top w:val="nil"/>
              <w:left w:val="nil"/>
              <w:bottom w:val="single" w:sz="4" w:space="0" w:color="000000"/>
              <w:right w:val="nil"/>
            </w:tcBorders>
            <w:vAlign w:val="center"/>
            <w:hideMark/>
          </w:tcPr>
          <w:p w14:paraId="1F1590AA"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p>
        </w:tc>
        <w:tc>
          <w:tcPr>
            <w:tcW w:w="2410" w:type="dxa"/>
            <w:vMerge/>
            <w:tcBorders>
              <w:top w:val="nil"/>
              <w:left w:val="nil"/>
              <w:bottom w:val="single" w:sz="4" w:space="0" w:color="000000"/>
              <w:right w:val="nil"/>
            </w:tcBorders>
            <w:vAlign w:val="center"/>
            <w:hideMark/>
          </w:tcPr>
          <w:p w14:paraId="195B80E8"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p>
        </w:tc>
        <w:tc>
          <w:tcPr>
            <w:tcW w:w="2693" w:type="dxa"/>
            <w:vMerge/>
            <w:tcBorders>
              <w:top w:val="nil"/>
              <w:left w:val="nil"/>
              <w:bottom w:val="single" w:sz="4" w:space="0" w:color="000000"/>
              <w:right w:val="nil"/>
            </w:tcBorders>
            <w:vAlign w:val="center"/>
            <w:hideMark/>
          </w:tcPr>
          <w:p w14:paraId="666D1221"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p>
        </w:tc>
      </w:tr>
      <w:tr w:rsidR="003D5B79" w:rsidRPr="003D5B79" w14:paraId="1872C3BA" w14:textId="77777777" w:rsidTr="00520690">
        <w:trPr>
          <w:trHeight w:val="458"/>
        </w:trPr>
        <w:tc>
          <w:tcPr>
            <w:tcW w:w="567" w:type="dxa"/>
            <w:vMerge/>
            <w:tcBorders>
              <w:top w:val="nil"/>
              <w:left w:val="nil"/>
              <w:bottom w:val="single" w:sz="4" w:space="0" w:color="000000"/>
              <w:right w:val="nil"/>
            </w:tcBorders>
            <w:vAlign w:val="center"/>
            <w:hideMark/>
          </w:tcPr>
          <w:p w14:paraId="78DCE7B4"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p>
        </w:tc>
        <w:tc>
          <w:tcPr>
            <w:tcW w:w="1951" w:type="dxa"/>
            <w:vMerge/>
            <w:tcBorders>
              <w:top w:val="nil"/>
              <w:left w:val="nil"/>
              <w:bottom w:val="single" w:sz="4" w:space="0" w:color="000000"/>
              <w:right w:val="nil"/>
            </w:tcBorders>
            <w:vAlign w:val="center"/>
            <w:hideMark/>
          </w:tcPr>
          <w:p w14:paraId="4DB1E9C3"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p>
        </w:tc>
        <w:tc>
          <w:tcPr>
            <w:tcW w:w="2410" w:type="dxa"/>
            <w:vMerge/>
            <w:tcBorders>
              <w:top w:val="nil"/>
              <w:left w:val="nil"/>
              <w:bottom w:val="single" w:sz="4" w:space="0" w:color="000000"/>
              <w:right w:val="nil"/>
            </w:tcBorders>
            <w:vAlign w:val="center"/>
            <w:hideMark/>
          </w:tcPr>
          <w:p w14:paraId="3D61CF82"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p>
        </w:tc>
        <w:tc>
          <w:tcPr>
            <w:tcW w:w="2693" w:type="dxa"/>
            <w:vMerge/>
            <w:tcBorders>
              <w:top w:val="nil"/>
              <w:left w:val="nil"/>
              <w:bottom w:val="single" w:sz="4" w:space="0" w:color="000000"/>
              <w:right w:val="nil"/>
            </w:tcBorders>
            <w:vAlign w:val="center"/>
            <w:hideMark/>
          </w:tcPr>
          <w:p w14:paraId="6C6276C1"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p>
        </w:tc>
      </w:tr>
      <w:tr w:rsidR="003D5B79" w:rsidRPr="003D5B79" w14:paraId="03BC9599" w14:textId="77777777" w:rsidTr="00520690">
        <w:trPr>
          <w:trHeight w:val="458"/>
        </w:trPr>
        <w:tc>
          <w:tcPr>
            <w:tcW w:w="567" w:type="dxa"/>
            <w:vMerge/>
            <w:tcBorders>
              <w:top w:val="nil"/>
              <w:left w:val="nil"/>
              <w:bottom w:val="single" w:sz="4" w:space="0" w:color="000000"/>
              <w:right w:val="nil"/>
            </w:tcBorders>
            <w:vAlign w:val="center"/>
            <w:hideMark/>
          </w:tcPr>
          <w:p w14:paraId="05CB628F"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p>
        </w:tc>
        <w:tc>
          <w:tcPr>
            <w:tcW w:w="1951" w:type="dxa"/>
            <w:vMerge/>
            <w:tcBorders>
              <w:top w:val="nil"/>
              <w:left w:val="nil"/>
              <w:bottom w:val="single" w:sz="4" w:space="0" w:color="000000"/>
              <w:right w:val="nil"/>
            </w:tcBorders>
            <w:vAlign w:val="center"/>
            <w:hideMark/>
          </w:tcPr>
          <w:p w14:paraId="6690ACF6"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p>
        </w:tc>
        <w:tc>
          <w:tcPr>
            <w:tcW w:w="2410" w:type="dxa"/>
            <w:vMerge/>
            <w:tcBorders>
              <w:top w:val="nil"/>
              <w:left w:val="nil"/>
              <w:bottom w:val="single" w:sz="4" w:space="0" w:color="000000"/>
              <w:right w:val="nil"/>
            </w:tcBorders>
            <w:vAlign w:val="center"/>
            <w:hideMark/>
          </w:tcPr>
          <w:p w14:paraId="57484F3A"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p>
        </w:tc>
        <w:tc>
          <w:tcPr>
            <w:tcW w:w="2693" w:type="dxa"/>
            <w:vMerge/>
            <w:tcBorders>
              <w:top w:val="nil"/>
              <w:left w:val="nil"/>
              <w:bottom w:val="single" w:sz="4" w:space="0" w:color="000000"/>
              <w:right w:val="nil"/>
            </w:tcBorders>
            <w:vAlign w:val="center"/>
            <w:hideMark/>
          </w:tcPr>
          <w:p w14:paraId="0C145990"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p>
        </w:tc>
      </w:tr>
    </w:tbl>
    <w:p w14:paraId="74C3CF78" w14:textId="77777777" w:rsidR="003D5B79" w:rsidRPr="003D5B79" w:rsidRDefault="003D5B79" w:rsidP="003D5B79">
      <w:pPr>
        <w:tabs>
          <w:tab w:val="left" w:pos="1080"/>
        </w:tabs>
        <w:spacing w:after="0" w:line="240" w:lineRule="auto"/>
        <w:jc w:val="both"/>
        <w:rPr>
          <w:rFonts w:ascii="Times New Roman" w:hAnsi="Times New Roman" w:cs="Times New Roman"/>
          <w:b/>
          <w:sz w:val="24"/>
          <w:szCs w:val="24"/>
        </w:rPr>
      </w:pPr>
    </w:p>
    <w:p w14:paraId="16FB13F9" w14:textId="77777777" w:rsidR="009C55B3" w:rsidRDefault="009C55B3" w:rsidP="003D5B79">
      <w:pPr>
        <w:tabs>
          <w:tab w:val="left" w:pos="1080"/>
        </w:tabs>
        <w:spacing w:after="0" w:line="240" w:lineRule="auto"/>
        <w:jc w:val="both"/>
        <w:rPr>
          <w:rFonts w:ascii="Times New Roman" w:hAnsi="Times New Roman" w:cs="Times New Roman"/>
          <w:b/>
          <w:sz w:val="24"/>
          <w:szCs w:val="24"/>
        </w:rPr>
        <w:sectPr w:rsidR="009C55B3" w:rsidSect="009C55B3">
          <w:type w:val="continuous"/>
          <w:pgSz w:w="12240" w:h="15840"/>
          <w:pgMar w:top="1440" w:right="1440" w:bottom="1440" w:left="1440" w:header="720" w:footer="720" w:gutter="0"/>
          <w:cols w:space="720"/>
          <w:docGrid w:linePitch="360"/>
        </w:sectPr>
      </w:pPr>
    </w:p>
    <w:p w14:paraId="393A0828" w14:textId="77777777" w:rsidR="003D5B79" w:rsidRPr="003D5B79" w:rsidRDefault="003D5B79" w:rsidP="003D5B79">
      <w:pPr>
        <w:tabs>
          <w:tab w:val="left" w:pos="1080"/>
        </w:tabs>
        <w:spacing w:after="0" w:line="240" w:lineRule="auto"/>
        <w:jc w:val="both"/>
        <w:rPr>
          <w:rFonts w:ascii="Times New Roman" w:hAnsi="Times New Roman" w:cs="Times New Roman"/>
          <w:b/>
          <w:sz w:val="24"/>
          <w:szCs w:val="24"/>
        </w:rPr>
      </w:pPr>
      <w:r w:rsidRPr="003D5B79">
        <w:rPr>
          <w:rFonts w:ascii="Times New Roman" w:hAnsi="Times New Roman" w:cs="Times New Roman"/>
          <w:b/>
          <w:sz w:val="24"/>
          <w:szCs w:val="24"/>
        </w:rPr>
        <w:lastRenderedPageBreak/>
        <w:t>Data Analysis Results</w:t>
      </w:r>
    </w:p>
    <w:p w14:paraId="0257B210" w14:textId="77777777" w:rsidR="003D5B79" w:rsidRPr="003D5B79" w:rsidRDefault="003D5B79" w:rsidP="003D5B79">
      <w:pPr>
        <w:tabs>
          <w:tab w:val="left" w:pos="1080"/>
        </w:tabs>
        <w:spacing w:after="0" w:line="240" w:lineRule="auto"/>
        <w:jc w:val="both"/>
        <w:rPr>
          <w:rFonts w:ascii="Times New Roman" w:hAnsi="Times New Roman" w:cs="Times New Roman"/>
          <w:b/>
          <w:sz w:val="24"/>
          <w:szCs w:val="24"/>
        </w:rPr>
      </w:pPr>
      <w:r w:rsidRPr="003D5B79">
        <w:rPr>
          <w:rFonts w:ascii="Times New Roman" w:hAnsi="Times New Roman" w:cs="Times New Roman"/>
          <w:b/>
          <w:sz w:val="24"/>
          <w:szCs w:val="24"/>
        </w:rPr>
        <w:t>LB3 Disclosure Index Results (Unweighted)</w:t>
      </w:r>
    </w:p>
    <w:p w14:paraId="7956C6E2" w14:textId="77777777" w:rsidR="003D5B79" w:rsidRPr="003D5B79" w:rsidRDefault="003D5B79" w:rsidP="003D5B79">
      <w:pPr>
        <w:shd w:val="clear" w:color="auto" w:fill="FFFFFF"/>
        <w:spacing w:after="0" w:line="240" w:lineRule="auto"/>
        <w:ind w:firstLine="720"/>
        <w:jc w:val="both"/>
        <w:textAlignment w:val="baseline"/>
        <w:rPr>
          <w:rFonts w:ascii="Times New Roman" w:hAnsi="Times New Roman" w:cs="Times New Roman"/>
          <w:sz w:val="24"/>
          <w:szCs w:val="24"/>
        </w:rPr>
      </w:pPr>
      <w:r w:rsidRPr="003D5B79">
        <w:rPr>
          <w:rFonts w:ascii="Times New Roman" w:hAnsi="Times New Roman" w:cs="Times New Roman"/>
          <w:sz w:val="24"/>
          <w:szCs w:val="24"/>
        </w:rPr>
        <w:t xml:space="preserve">The following are LB3 disclosure items from the GFD results from several researchers. Based on PP No 101 of 2014 </w:t>
      </w:r>
      <w:r w:rsidRPr="003D5B79">
        <w:rPr>
          <w:rFonts w:ascii="Times New Roman" w:hAnsi="Times New Roman" w:cs="Times New Roman"/>
          <w:sz w:val="24"/>
          <w:szCs w:val="24"/>
        </w:rPr>
        <w:lastRenderedPageBreak/>
        <w:t>concerning LB3 management, Minister of Environment and Forestry Regulation No. 55 of 2015 LB3 characteristic test, Minister of Environment Forestry Regulation No. 63 of 2016 LB3 hoarding test.</w:t>
      </w:r>
    </w:p>
    <w:p w14:paraId="1118B95A" w14:textId="77777777" w:rsidR="009C55B3" w:rsidRDefault="009C55B3" w:rsidP="003D5B79">
      <w:pPr>
        <w:tabs>
          <w:tab w:val="left" w:pos="1080"/>
        </w:tabs>
        <w:spacing w:after="0" w:line="240" w:lineRule="auto"/>
        <w:jc w:val="both"/>
        <w:rPr>
          <w:rFonts w:ascii="Times New Roman" w:hAnsi="Times New Roman" w:cs="Times New Roman"/>
          <w:b/>
          <w:sz w:val="24"/>
          <w:szCs w:val="24"/>
        </w:rPr>
        <w:sectPr w:rsidR="009C55B3" w:rsidSect="009C55B3">
          <w:type w:val="continuous"/>
          <w:pgSz w:w="12240" w:h="15840"/>
          <w:pgMar w:top="1440" w:right="1440" w:bottom="1440" w:left="1440" w:header="720" w:footer="720" w:gutter="0"/>
          <w:cols w:num="2" w:space="720"/>
          <w:docGrid w:linePitch="360"/>
        </w:sectPr>
      </w:pPr>
    </w:p>
    <w:p w14:paraId="7C8B75CD" w14:textId="77777777" w:rsidR="003D5B79" w:rsidRPr="003D5B79" w:rsidRDefault="003D5B79" w:rsidP="003D5B79">
      <w:pPr>
        <w:tabs>
          <w:tab w:val="left" w:pos="1080"/>
        </w:tabs>
        <w:spacing w:after="0" w:line="240" w:lineRule="auto"/>
        <w:jc w:val="both"/>
        <w:rPr>
          <w:rFonts w:ascii="Times New Roman" w:hAnsi="Times New Roman" w:cs="Times New Roman"/>
          <w:b/>
          <w:sz w:val="24"/>
          <w:szCs w:val="24"/>
        </w:rPr>
      </w:pPr>
    </w:p>
    <w:p w14:paraId="0D333DF3" w14:textId="77777777" w:rsidR="003D5B79" w:rsidRPr="003D5B79" w:rsidRDefault="003D5B79" w:rsidP="003D5B79">
      <w:pPr>
        <w:tabs>
          <w:tab w:val="left" w:pos="1080"/>
        </w:tabs>
        <w:spacing w:after="0" w:line="240" w:lineRule="auto"/>
        <w:jc w:val="center"/>
        <w:rPr>
          <w:rFonts w:ascii="Times New Roman" w:hAnsi="Times New Roman" w:cs="Times New Roman"/>
          <w:b/>
          <w:sz w:val="24"/>
          <w:szCs w:val="24"/>
        </w:rPr>
      </w:pPr>
      <w:r w:rsidRPr="003D5B79">
        <w:rPr>
          <w:rFonts w:ascii="Times New Roman" w:hAnsi="Times New Roman" w:cs="Times New Roman"/>
          <w:b/>
          <w:sz w:val="24"/>
          <w:szCs w:val="24"/>
        </w:rPr>
        <w:t>Tablel 2</w:t>
      </w:r>
    </w:p>
    <w:p w14:paraId="01DC4C27" w14:textId="77777777" w:rsidR="003D5B79" w:rsidRPr="003D5B79" w:rsidRDefault="003D5B79" w:rsidP="003D5B79">
      <w:pPr>
        <w:tabs>
          <w:tab w:val="left" w:pos="1080"/>
        </w:tabs>
        <w:spacing w:after="0" w:line="240" w:lineRule="auto"/>
        <w:jc w:val="center"/>
        <w:rPr>
          <w:rFonts w:ascii="Times New Roman" w:hAnsi="Times New Roman" w:cs="Times New Roman"/>
          <w:b/>
          <w:sz w:val="24"/>
          <w:szCs w:val="24"/>
        </w:rPr>
      </w:pPr>
      <w:r w:rsidRPr="003D5B79">
        <w:rPr>
          <w:rFonts w:ascii="Times New Roman" w:hAnsi="Times New Roman" w:cs="Times New Roman"/>
          <w:b/>
          <w:sz w:val="24"/>
          <w:szCs w:val="24"/>
        </w:rPr>
        <w:lastRenderedPageBreak/>
        <w:t>Results of the Hazardous Waste Disclosure Index</w:t>
      </w:r>
    </w:p>
    <w:tbl>
      <w:tblPr>
        <w:tblW w:w="8360" w:type="dxa"/>
        <w:tblLook w:val="04A0" w:firstRow="1" w:lastRow="0" w:firstColumn="1" w:lastColumn="0" w:noHBand="0" w:noVBand="1"/>
      </w:tblPr>
      <w:tblGrid>
        <w:gridCol w:w="1080"/>
        <w:gridCol w:w="3520"/>
        <w:gridCol w:w="3760"/>
      </w:tblGrid>
      <w:tr w:rsidR="003D5B79" w:rsidRPr="003D5B79" w14:paraId="76F0C433" w14:textId="77777777" w:rsidTr="00520690">
        <w:trPr>
          <w:trHeight w:val="330"/>
        </w:trPr>
        <w:tc>
          <w:tcPr>
            <w:tcW w:w="1080" w:type="dxa"/>
            <w:tcBorders>
              <w:top w:val="single" w:sz="8" w:space="0" w:color="auto"/>
              <w:left w:val="nil"/>
              <w:bottom w:val="single" w:sz="8" w:space="0" w:color="auto"/>
              <w:right w:val="nil"/>
            </w:tcBorders>
            <w:shd w:val="clear" w:color="auto" w:fill="auto"/>
            <w:noWrap/>
            <w:vAlign w:val="center"/>
            <w:hideMark/>
          </w:tcPr>
          <w:p w14:paraId="7B622278" w14:textId="77777777" w:rsidR="003D5B79" w:rsidRPr="003D5B79" w:rsidRDefault="003D5B79" w:rsidP="003D5B79">
            <w:pPr>
              <w:spacing w:after="0" w:line="240" w:lineRule="auto"/>
              <w:jc w:val="center"/>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No</w:t>
            </w:r>
          </w:p>
        </w:tc>
        <w:tc>
          <w:tcPr>
            <w:tcW w:w="3520" w:type="dxa"/>
            <w:tcBorders>
              <w:top w:val="single" w:sz="8" w:space="0" w:color="auto"/>
              <w:left w:val="nil"/>
              <w:bottom w:val="single" w:sz="8" w:space="0" w:color="auto"/>
              <w:right w:val="nil"/>
            </w:tcBorders>
            <w:shd w:val="clear" w:color="auto" w:fill="auto"/>
            <w:noWrap/>
            <w:vAlign w:val="center"/>
            <w:hideMark/>
          </w:tcPr>
          <w:p w14:paraId="7ED15F89" w14:textId="77777777" w:rsidR="003D5B79" w:rsidRPr="003D5B79" w:rsidRDefault="003D5B79" w:rsidP="003D5B79">
            <w:pPr>
              <w:spacing w:after="0" w:line="240" w:lineRule="auto"/>
              <w:jc w:val="center"/>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Disclosure items</w:t>
            </w:r>
          </w:p>
        </w:tc>
        <w:tc>
          <w:tcPr>
            <w:tcW w:w="3760" w:type="dxa"/>
            <w:tcBorders>
              <w:top w:val="single" w:sz="8" w:space="0" w:color="auto"/>
              <w:left w:val="nil"/>
              <w:bottom w:val="single" w:sz="8" w:space="0" w:color="auto"/>
              <w:right w:val="nil"/>
            </w:tcBorders>
            <w:shd w:val="clear" w:color="auto" w:fill="auto"/>
            <w:noWrap/>
            <w:vAlign w:val="center"/>
            <w:hideMark/>
          </w:tcPr>
          <w:p w14:paraId="414B0AF9" w14:textId="77777777" w:rsidR="003D5B79" w:rsidRPr="003D5B79" w:rsidRDefault="003D5B79" w:rsidP="003D5B79">
            <w:pPr>
              <w:spacing w:after="0" w:line="240" w:lineRule="auto"/>
              <w:jc w:val="center"/>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Researcher, Regulation</w:t>
            </w:r>
          </w:p>
        </w:tc>
      </w:tr>
      <w:tr w:rsidR="003D5B79" w:rsidRPr="003D5B79" w14:paraId="7D4FA4AC" w14:textId="77777777" w:rsidTr="00520690">
        <w:trPr>
          <w:trHeight w:val="315"/>
        </w:trPr>
        <w:tc>
          <w:tcPr>
            <w:tcW w:w="1080" w:type="dxa"/>
            <w:tcBorders>
              <w:top w:val="nil"/>
              <w:left w:val="nil"/>
              <w:bottom w:val="nil"/>
              <w:right w:val="nil"/>
            </w:tcBorders>
            <w:shd w:val="clear" w:color="auto" w:fill="auto"/>
            <w:noWrap/>
            <w:vAlign w:val="center"/>
            <w:hideMark/>
          </w:tcPr>
          <w:p w14:paraId="0DA3DF40"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w:t>
            </w:r>
          </w:p>
        </w:tc>
        <w:tc>
          <w:tcPr>
            <w:tcW w:w="3520" w:type="dxa"/>
            <w:tcBorders>
              <w:top w:val="nil"/>
              <w:left w:val="nil"/>
              <w:bottom w:val="nil"/>
              <w:right w:val="nil"/>
            </w:tcBorders>
            <w:shd w:val="clear" w:color="auto" w:fill="auto"/>
            <w:noWrap/>
            <w:hideMark/>
          </w:tcPr>
          <w:p w14:paraId="62B86481"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Type/code LB3/Code</w:t>
            </w:r>
          </w:p>
        </w:tc>
        <w:tc>
          <w:tcPr>
            <w:tcW w:w="3760" w:type="dxa"/>
            <w:tcBorders>
              <w:top w:val="nil"/>
              <w:left w:val="nil"/>
              <w:bottom w:val="nil"/>
              <w:right w:val="nil"/>
            </w:tcBorders>
            <w:shd w:val="clear" w:color="auto" w:fill="auto"/>
            <w:noWrap/>
            <w:vAlign w:val="center"/>
            <w:hideMark/>
          </w:tcPr>
          <w:p w14:paraId="56F482ED"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 xml:space="preserve">Suhardjanto, </w:t>
            </w:r>
            <w:r w:rsidRPr="003D5B79">
              <w:rPr>
                <w:rFonts w:ascii="Times New Roman" w:eastAsia="Times New Roman" w:hAnsi="Times New Roman" w:cs="Times New Roman"/>
                <w:i/>
                <w:iCs/>
                <w:color w:val="000000"/>
                <w:sz w:val="24"/>
                <w:szCs w:val="24"/>
              </w:rPr>
              <w:t>et al.,</w:t>
            </w:r>
            <w:r w:rsidRPr="003D5B79">
              <w:rPr>
                <w:rFonts w:ascii="Times New Roman" w:eastAsia="Times New Roman" w:hAnsi="Times New Roman" w:cs="Times New Roman"/>
                <w:color w:val="000000"/>
                <w:sz w:val="24"/>
                <w:szCs w:val="24"/>
              </w:rPr>
              <w:t xml:space="preserve"> (2007); Permen LHK Nomor 55 tahun 2015 Uji karakteristik LB3</w:t>
            </w:r>
          </w:p>
        </w:tc>
      </w:tr>
      <w:tr w:rsidR="003D5B79" w:rsidRPr="003D5B79" w14:paraId="5142CE3C" w14:textId="77777777" w:rsidTr="00520690">
        <w:trPr>
          <w:trHeight w:val="315"/>
        </w:trPr>
        <w:tc>
          <w:tcPr>
            <w:tcW w:w="1080" w:type="dxa"/>
            <w:tcBorders>
              <w:top w:val="nil"/>
              <w:left w:val="nil"/>
              <w:bottom w:val="nil"/>
              <w:right w:val="nil"/>
            </w:tcBorders>
            <w:shd w:val="clear" w:color="auto" w:fill="auto"/>
            <w:noWrap/>
            <w:vAlign w:val="center"/>
            <w:hideMark/>
          </w:tcPr>
          <w:p w14:paraId="736D4DDF"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2</w:t>
            </w:r>
          </w:p>
        </w:tc>
        <w:tc>
          <w:tcPr>
            <w:tcW w:w="3520" w:type="dxa"/>
            <w:tcBorders>
              <w:top w:val="nil"/>
              <w:left w:val="nil"/>
              <w:bottom w:val="nil"/>
              <w:right w:val="nil"/>
            </w:tcBorders>
            <w:shd w:val="clear" w:color="auto" w:fill="auto"/>
            <w:noWrap/>
            <w:hideMark/>
          </w:tcPr>
          <w:p w14:paraId="435159B9"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total weight of waste by type</w:t>
            </w:r>
          </w:p>
        </w:tc>
        <w:tc>
          <w:tcPr>
            <w:tcW w:w="3760" w:type="dxa"/>
            <w:tcBorders>
              <w:top w:val="nil"/>
              <w:left w:val="nil"/>
              <w:bottom w:val="nil"/>
              <w:right w:val="nil"/>
            </w:tcBorders>
            <w:shd w:val="clear" w:color="auto" w:fill="auto"/>
            <w:noWrap/>
            <w:vAlign w:val="center"/>
            <w:hideMark/>
          </w:tcPr>
          <w:p w14:paraId="22EBF5D6"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Setiabudi (2016)</w:t>
            </w:r>
          </w:p>
        </w:tc>
      </w:tr>
      <w:tr w:rsidR="003D5B79" w:rsidRPr="003D5B79" w14:paraId="3DD2AEE7" w14:textId="77777777" w:rsidTr="00520690">
        <w:trPr>
          <w:trHeight w:val="315"/>
        </w:trPr>
        <w:tc>
          <w:tcPr>
            <w:tcW w:w="1080" w:type="dxa"/>
            <w:tcBorders>
              <w:top w:val="nil"/>
              <w:left w:val="nil"/>
              <w:bottom w:val="nil"/>
              <w:right w:val="nil"/>
            </w:tcBorders>
            <w:shd w:val="clear" w:color="auto" w:fill="auto"/>
            <w:noWrap/>
            <w:vAlign w:val="center"/>
            <w:hideMark/>
          </w:tcPr>
          <w:p w14:paraId="0AEEB62E"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3</w:t>
            </w:r>
          </w:p>
        </w:tc>
        <w:tc>
          <w:tcPr>
            <w:tcW w:w="3520" w:type="dxa"/>
            <w:tcBorders>
              <w:top w:val="nil"/>
              <w:left w:val="nil"/>
              <w:bottom w:val="nil"/>
              <w:right w:val="nil"/>
            </w:tcBorders>
            <w:shd w:val="clear" w:color="auto" w:fill="auto"/>
            <w:noWrap/>
            <w:hideMark/>
          </w:tcPr>
          <w:p w14:paraId="02CFC926"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waste reduction efforts</w:t>
            </w:r>
          </w:p>
        </w:tc>
        <w:tc>
          <w:tcPr>
            <w:tcW w:w="3760" w:type="dxa"/>
            <w:tcBorders>
              <w:top w:val="nil"/>
              <w:left w:val="nil"/>
              <w:bottom w:val="nil"/>
              <w:right w:val="nil"/>
            </w:tcBorders>
            <w:shd w:val="clear" w:color="auto" w:fill="auto"/>
            <w:noWrap/>
            <w:vAlign w:val="center"/>
            <w:hideMark/>
          </w:tcPr>
          <w:p w14:paraId="78646063"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 xml:space="preserve">Crakson, </w:t>
            </w:r>
            <w:r w:rsidRPr="003D5B79">
              <w:rPr>
                <w:rFonts w:ascii="Times New Roman" w:eastAsia="Times New Roman" w:hAnsi="Times New Roman" w:cs="Times New Roman"/>
                <w:i/>
                <w:iCs/>
                <w:color w:val="000000"/>
                <w:sz w:val="24"/>
                <w:szCs w:val="24"/>
              </w:rPr>
              <w:t>et al.,</w:t>
            </w:r>
            <w:r w:rsidRPr="003D5B79">
              <w:rPr>
                <w:rFonts w:ascii="Times New Roman" w:eastAsia="Times New Roman" w:hAnsi="Times New Roman" w:cs="Times New Roman"/>
                <w:color w:val="000000"/>
                <w:sz w:val="24"/>
                <w:szCs w:val="24"/>
              </w:rPr>
              <w:t xml:space="preserve"> (2008)</w:t>
            </w:r>
          </w:p>
        </w:tc>
      </w:tr>
      <w:tr w:rsidR="003D5B79" w:rsidRPr="003D5B79" w14:paraId="3865388A" w14:textId="77777777" w:rsidTr="00520690">
        <w:trPr>
          <w:trHeight w:val="315"/>
        </w:trPr>
        <w:tc>
          <w:tcPr>
            <w:tcW w:w="1080" w:type="dxa"/>
            <w:tcBorders>
              <w:top w:val="nil"/>
              <w:left w:val="nil"/>
              <w:bottom w:val="nil"/>
              <w:right w:val="nil"/>
            </w:tcBorders>
            <w:shd w:val="clear" w:color="auto" w:fill="auto"/>
            <w:noWrap/>
            <w:vAlign w:val="center"/>
            <w:hideMark/>
          </w:tcPr>
          <w:p w14:paraId="568CA4EA"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4</w:t>
            </w:r>
          </w:p>
        </w:tc>
        <w:tc>
          <w:tcPr>
            <w:tcW w:w="3520" w:type="dxa"/>
            <w:tcBorders>
              <w:top w:val="nil"/>
              <w:left w:val="nil"/>
              <w:bottom w:val="nil"/>
              <w:right w:val="nil"/>
            </w:tcBorders>
            <w:shd w:val="clear" w:color="auto" w:fill="auto"/>
            <w:noWrap/>
            <w:hideMark/>
          </w:tcPr>
          <w:p w14:paraId="6C9F8C68"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Waste storage</w:t>
            </w:r>
          </w:p>
        </w:tc>
        <w:tc>
          <w:tcPr>
            <w:tcW w:w="3760" w:type="dxa"/>
            <w:tcBorders>
              <w:top w:val="nil"/>
              <w:left w:val="nil"/>
              <w:bottom w:val="nil"/>
              <w:right w:val="nil"/>
            </w:tcBorders>
            <w:shd w:val="clear" w:color="auto" w:fill="auto"/>
            <w:noWrap/>
            <w:vAlign w:val="center"/>
            <w:hideMark/>
          </w:tcPr>
          <w:p w14:paraId="3FDA6519"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PP 101 tahun 2014</w:t>
            </w:r>
          </w:p>
        </w:tc>
      </w:tr>
      <w:tr w:rsidR="003D5B79" w:rsidRPr="003D5B79" w14:paraId="3D806EC3" w14:textId="77777777" w:rsidTr="00520690">
        <w:trPr>
          <w:trHeight w:val="315"/>
        </w:trPr>
        <w:tc>
          <w:tcPr>
            <w:tcW w:w="1080" w:type="dxa"/>
            <w:tcBorders>
              <w:top w:val="nil"/>
              <w:left w:val="nil"/>
              <w:bottom w:val="nil"/>
              <w:right w:val="nil"/>
            </w:tcBorders>
            <w:shd w:val="clear" w:color="auto" w:fill="auto"/>
            <w:noWrap/>
            <w:vAlign w:val="center"/>
            <w:hideMark/>
          </w:tcPr>
          <w:p w14:paraId="1E36D26A"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5</w:t>
            </w:r>
          </w:p>
        </w:tc>
        <w:tc>
          <w:tcPr>
            <w:tcW w:w="3520" w:type="dxa"/>
            <w:tcBorders>
              <w:top w:val="nil"/>
              <w:left w:val="nil"/>
              <w:bottom w:val="nil"/>
              <w:right w:val="nil"/>
            </w:tcBorders>
            <w:shd w:val="clear" w:color="auto" w:fill="auto"/>
            <w:noWrap/>
            <w:hideMark/>
          </w:tcPr>
          <w:p w14:paraId="3832DC8A"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Waste collection</w:t>
            </w:r>
          </w:p>
        </w:tc>
        <w:tc>
          <w:tcPr>
            <w:tcW w:w="3760" w:type="dxa"/>
            <w:tcBorders>
              <w:top w:val="nil"/>
              <w:left w:val="nil"/>
              <w:bottom w:val="nil"/>
              <w:right w:val="nil"/>
            </w:tcBorders>
            <w:shd w:val="clear" w:color="auto" w:fill="auto"/>
            <w:noWrap/>
            <w:vAlign w:val="center"/>
            <w:hideMark/>
          </w:tcPr>
          <w:p w14:paraId="12435E2C"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PP 101 tahun 2014</w:t>
            </w:r>
          </w:p>
        </w:tc>
      </w:tr>
      <w:tr w:rsidR="003D5B79" w:rsidRPr="003D5B79" w14:paraId="0EF937C2" w14:textId="77777777" w:rsidTr="00520690">
        <w:trPr>
          <w:trHeight w:val="315"/>
        </w:trPr>
        <w:tc>
          <w:tcPr>
            <w:tcW w:w="1080" w:type="dxa"/>
            <w:tcBorders>
              <w:top w:val="nil"/>
              <w:left w:val="nil"/>
              <w:bottom w:val="nil"/>
              <w:right w:val="nil"/>
            </w:tcBorders>
            <w:shd w:val="clear" w:color="auto" w:fill="auto"/>
            <w:noWrap/>
            <w:vAlign w:val="center"/>
            <w:hideMark/>
          </w:tcPr>
          <w:p w14:paraId="03261233"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6</w:t>
            </w:r>
          </w:p>
        </w:tc>
        <w:tc>
          <w:tcPr>
            <w:tcW w:w="3520" w:type="dxa"/>
            <w:tcBorders>
              <w:top w:val="nil"/>
              <w:left w:val="nil"/>
              <w:bottom w:val="nil"/>
              <w:right w:val="nil"/>
            </w:tcBorders>
            <w:shd w:val="clear" w:color="auto" w:fill="auto"/>
            <w:noWrap/>
            <w:hideMark/>
          </w:tcPr>
          <w:p w14:paraId="6694DC75"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hazardous waste transport information</w:t>
            </w:r>
          </w:p>
        </w:tc>
        <w:tc>
          <w:tcPr>
            <w:tcW w:w="3760" w:type="dxa"/>
            <w:tcBorders>
              <w:top w:val="nil"/>
              <w:left w:val="nil"/>
              <w:bottom w:val="nil"/>
              <w:right w:val="nil"/>
            </w:tcBorders>
            <w:shd w:val="clear" w:color="auto" w:fill="auto"/>
            <w:noWrap/>
            <w:vAlign w:val="center"/>
            <w:hideMark/>
          </w:tcPr>
          <w:p w14:paraId="77DA5B9B"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Wiseman (1982)</w:t>
            </w:r>
          </w:p>
        </w:tc>
      </w:tr>
      <w:tr w:rsidR="003D5B79" w:rsidRPr="003D5B79" w14:paraId="43FE45AD" w14:textId="77777777" w:rsidTr="00520690">
        <w:trPr>
          <w:trHeight w:val="315"/>
        </w:trPr>
        <w:tc>
          <w:tcPr>
            <w:tcW w:w="1080" w:type="dxa"/>
            <w:tcBorders>
              <w:top w:val="nil"/>
              <w:left w:val="nil"/>
              <w:bottom w:val="nil"/>
              <w:right w:val="nil"/>
            </w:tcBorders>
            <w:shd w:val="clear" w:color="auto" w:fill="auto"/>
            <w:noWrap/>
            <w:vAlign w:val="center"/>
            <w:hideMark/>
          </w:tcPr>
          <w:p w14:paraId="09DCB711"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7</w:t>
            </w:r>
          </w:p>
        </w:tc>
        <w:tc>
          <w:tcPr>
            <w:tcW w:w="3520" w:type="dxa"/>
            <w:tcBorders>
              <w:top w:val="nil"/>
              <w:left w:val="nil"/>
              <w:bottom w:val="nil"/>
              <w:right w:val="nil"/>
            </w:tcBorders>
            <w:shd w:val="clear" w:color="auto" w:fill="auto"/>
            <w:noWrap/>
            <w:hideMark/>
          </w:tcPr>
          <w:p w14:paraId="7367B361"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Waste utilization</w:t>
            </w:r>
          </w:p>
        </w:tc>
        <w:tc>
          <w:tcPr>
            <w:tcW w:w="3760" w:type="dxa"/>
            <w:tcBorders>
              <w:top w:val="nil"/>
              <w:left w:val="nil"/>
              <w:bottom w:val="nil"/>
              <w:right w:val="nil"/>
            </w:tcBorders>
            <w:shd w:val="clear" w:color="auto" w:fill="auto"/>
            <w:noWrap/>
            <w:vAlign w:val="center"/>
            <w:hideMark/>
          </w:tcPr>
          <w:p w14:paraId="6C5996E2"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PP 101 tahun 2015</w:t>
            </w:r>
          </w:p>
        </w:tc>
      </w:tr>
      <w:tr w:rsidR="003D5B79" w:rsidRPr="003D5B79" w14:paraId="2C6F4B25" w14:textId="77777777" w:rsidTr="00520690">
        <w:trPr>
          <w:trHeight w:val="315"/>
        </w:trPr>
        <w:tc>
          <w:tcPr>
            <w:tcW w:w="1080" w:type="dxa"/>
            <w:tcBorders>
              <w:top w:val="nil"/>
              <w:left w:val="nil"/>
              <w:bottom w:val="nil"/>
              <w:right w:val="nil"/>
            </w:tcBorders>
            <w:shd w:val="clear" w:color="auto" w:fill="auto"/>
            <w:noWrap/>
            <w:vAlign w:val="center"/>
            <w:hideMark/>
          </w:tcPr>
          <w:p w14:paraId="0CC3D524"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w:t>
            </w:r>
          </w:p>
        </w:tc>
        <w:tc>
          <w:tcPr>
            <w:tcW w:w="3520" w:type="dxa"/>
            <w:tcBorders>
              <w:top w:val="nil"/>
              <w:left w:val="nil"/>
              <w:bottom w:val="nil"/>
              <w:right w:val="nil"/>
            </w:tcBorders>
            <w:shd w:val="clear" w:color="auto" w:fill="auto"/>
            <w:noWrap/>
            <w:hideMark/>
          </w:tcPr>
          <w:p w14:paraId="4FD49101"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waste recycling</w:t>
            </w:r>
          </w:p>
        </w:tc>
        <w:tc>
          <w:tcPr>
            <w:tcW w:w="3760" w:type="dxa"/>
            <w:tcBorders>
              <w:top w:val="nil"/>
              <w:left w:val="nil"/>
              <w:bottom w:val="nil"/>
              <w:right w:val="nil"/>
            </w:tcBorders>
            <w:shd w:val="clear" w:color="auto" w:fill="auto"/>
            <w:noWrap/>
            <w:vAlign w:val="center"/>
            <w:hideMark/>
          </w:tcPr>
          <w:p w14:paraId="28CBC5C8"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 xml:space="preserve">Crakson </w:t>
            </w:r>
            <w:r w:rsidRPr="003D5B79">
              <w:rPr>
                <w:rFonts w:ascii="Times New Roman" w:eastAsia="Times New Roman" w:hAnsi="Times New Roman" w:cs="Times New Roman"/>
                <w:i/>
                <w:iCs/>
                <w:color w:val="000000"/>
                <w:sz w:val="24"/>
                <w:szCs w:val="24"/>
              </w:rPr>
              <w:t>et al.,</w:t>
            </w:r>
            <w:r w:rsidRPr="003D5B79">
              <w:rPr>
                <w:rFonts w:ascii="Times New Roman" w:eastAsia="Times New Roman" w:hAnsi="Times New Roman" w:cs="Times New Roman"/>
                <w:color w:val="000000"/>
                <w:sz w:val="24"/>
                <w:szCs w:val="24"/>
              </w:rPr>
              <w:t xml:space="preserve"> (2008); Clarkson </w:t>
            </w:r>
            <w:r w:rsidRPr="003D5B79">
              <w:rPr>
                <w:rFonts w:ascii="Times New Roman" w:eastAsia="Times New Roman" w:hAnsi="Times New Roman" w:cs="Times New Roman"/>
                <w:i/>
                <w:iCs/>
                <w:color w:val="000000"/>
                <w:sz w:val="24"/>
                <w:szCs w:val="24"/>
              </w:rPr>
              <w:t>et al.,</w:t>
            </w:r>
            <w:r w:rsidRPr="003D5B79">
              <w:rPr>
                <w:rFonts w:ascii="Times New Roman" w:eastAsia="Times New Roman" w:hAnsi="Times New Roman" w:cs="Times New Roman"/>
                <w:color w:val="000000"/>
                <w:sz w:val="24"/>
                <w:szCs w:val="24"/>
              </w:rPr>
              <w:t xml:space="preserve"> (2013)</w:t>
            </w:r>
          </w:p>
        </w:tc>
      </w:tr>
      <w:tr w:rsidR="003D5B79" w:rsidRPr="003D5B79" w14:paraId="657B3775" w14:textId="77777777" w:rsidTr="00520690">
        <w:trPr>
          <w:trHeight w:val="315"/>
        </w:trPr>
        <w:tc>
          <w:tcPr>
            <w:tcW w:w="1080" w:type="dxa"/>
            <w:tcBorders>
              <w:top w:val="nil"/>
              <w:left w:val="nil"/>
              <w:bottom w:val="nil"/>
              <w:right w:val="nil"/>
            </w:tcBorders>
            <w:shd w:val="clear" w:color="auto" w:fill="auto"/>
            <w:noWrap/>
            <w:vAlign w:val="center"/>
            <w:hideMark/>
          </w:tcPr>
          <w:p w14:paraId="44A29AD7"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9</w:t>
            </w:r>
          </w:p>
        </w:tc>
        <w:tc>
          <w:tcPr>
            <w:tcW w:w="3520" w:type="dxa"/>
            <w:tcBorders>
              <w:top w:val="nil"/>
              <w:left w:val="nil"/>
              <w:bottom w:val="nil"/>
              <w:right w:val="nil"/>
            </w:tcBorders>
            <w:shd w:val="clear" w:color="auto" w:fill="auto"/>
            <w:noWrap/>
            <w:hideMark/>
          </w:tcPr>
          <w:p w14:paraId="2D1B0020"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pengolahan processing</w:t>
            </w:r>
          </w:p>
        </w:tc>
        <w:tc>
          <w:tcPr>
            <w:tcW w:w="3760" w:type="dxa"/>
            <w:tcBorders>
              <w:top w:val="nil"/>
              <w:left w:val="nil"/>
              <w:bottom w:val="nil"/>
              <w:right w:val="nil"/>
            </w:tcBorders>
            <w:shd w:val="clear" w:color="auto" w:fill="auto"/>
            <w:noWrap/>
            <w:vAlign w:val="center"/>
            <w:hideMark/>
          </w:tcPr>
          <w:p w14:paraId="7FE0932E"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 xml:space="preserve">Clarkson </w:t>
            </w:r>
            <w:r w:rsidRPr="003D5B79">
              <w:rPr>
                <w:rFonts w:ascii="Times New Roman" w:eastAsia="Times New Roman" w:hAnsi="Times New Roman" w:cs="Times New Roman"/>
                <w:i/>
                <w:iCs/>
                <w:color w:val="000000"/>
                <w:sz w:val="24"/>
                <w:szCs w:val="24"/>
              </w:rPr>
              <w:t>et al.,</w:t>
            </w:r>
            <w:r w:rsidRPr="003D5B79">
              <w:rPr>
                <w:rFonts w:ascii="Times New Roman" w:eastAsia="Times New Roman" w:hAnsi="Times New Roman" w:cs="Times New Roman"/>
                <w:color w:val="000000"/>
                <w:sz w:val="24"/>
                <w:szCs w:val="24"/>
              </w:rPr>
              <w:t xml:space="preserve"> (2013)</w:t>
            </w:r>
          </w:p>
        </w:tc>
      </w:tr>
      <w:tr w:rsidR="003D5B79" w:rsidRPr="003D5B79" w14:paraId="6CDB6367" w14:textId="77777777" w:rsidTr="00520690">
        <w:trPr>
          <w:trHeight w:val="315"/>
        </w:trPr>
        <w:tc>
          <w:tcPr>
            <w:tcW w:w="1080" w:type="dxa"/>
            <w:tcBorders>
              <w:top w:val="nil"/>
              <w:left w:val="nil"/>
              <w:bottom w:val="nil"/>
              <w:right w:val="nil"/>
            </w:tcBorders>
            <w:shd w:val="clear" w:color="auto" w:fill="auto"/>
            <w:noWrap/>
            <w:vAlign w:val="center"/>
            <w:hideMark/>
          </w:tcPr>
          <w:p w14:paraId="430B6523"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10</w:t>
            </w:r>
          </w:p>
        </w:tc>
        <w:tc>
          <w:tcPr>
            <w:tcW w:w="3520" w:type="dxa"/>
            <w:tcBorders>
              <w:top w:val="nil"/>
              <w:left w:val="nil"/>
              <w:bottom w:val="nil"/>
              <w:right w:val="nil"/>
            </w:tcBorders>
            <w:shd w:val="clear" w:color="auto" w:fill="auto"/>
            <w:noWrap/>
            <w:hideMark/>
          </w:tcPr>
          <w:p w14:paraId="2733BD31"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Hoarding</w:t>
            </w:r>
          </w:p>
        </w:tc>
        <w:tc>
          <w:tcPr>
            <w:tcW w:w="3760" w:type="dxa"/>
            <w:tcBorders>
              <w:top w:val="nil"/>
              <w:left w:val="nil"/>
              <w:bottom w:val="nil"/>
              <w:right w:val="nil"/>
            </w:tcBorders>
            <w:shd w:val="clear" w:color="auto" w:fill="auto"/>
            <w:noWrap/>
            <w:vAlign w:val="center"/>
            <w:hideMark/>
          </w:tcPr>
          <w:p w14:paraId="06EDD39A"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PP 101 tahun 2015; Permen LHK Nomor 63 tahun 2016 Uji Penimbunan LB3</w:t>
            </w:r>
          </w:p>
        </w:tc>
      </w:tr>
      <w:tr w:rsidR="003D5B79" w:rsidRPr="003D5B79" w14:paraId="0C51A7AC" w14:textId="77777777" w:rsidTr="00520690">
        <w:trPr>
          <w:trHeight w:val="315"/>
        </w:trPr>
        <w:tc>
          <w:tcPr>
            <w:tcW w:w="1080" w:type="dxa"/>
            <w:tcBorders>
              <w:top w:val="nil"/>
              <w:left w:val="nil"/>
              <w:bottom w:val="nil"/>
              <w:right w:val="nil"/>
            </w:tcBorders>
            <w:shd w:val="clear" w:color="auto" w:fill="auto"/>
            <w:noWrap/>
            <w:vAlign w:val="center"/>
            <w:hideMark/>
          </w:tcPr>
          <w:p w14:paraId="378169EB"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11</w:t>
            </w:r>
          </w:p>
        </w:tc>
        <w:tc>
          <w:tcPr>
            <w:tcW w:w="3520" w:type="dxa"/>
            <w:tcBorders>
              <w:top w:val="nil"/>
              <w:left w:val="nil"/>
              <w:bottom w:val="nil"/>
              <w:right w:val="nil"/>
            </w:tcBorders>
            <w:shd w:val="clear" w:color="auto" w:fill="auto"/>
            <w:noWrap/>
            <w:hideMark/>
          </w:tcPr>
          <w:p w14:paraId="7AC92DD1"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waste disposal method</w:t>
            </w:r>
          </w:p>
        </w:tc>
        <w:tc>
          <w:tcPr>
            <w:tcW w:w="3760" w:type="dxa"/>
            <w:tcBorders>
              <w:top w:val="nil"/>
              <w:left w:val="nil"/>
              <w:bottom w:val="nil"/>
              <w:right w:val="nil"/>
            </w:tcBorders>
            <w:shd w:val="clear" w:color="auto" w:fill="auto"/>
            <w:noWrap/>
            <w:vAlign w:val="center"/>
            <w:hideMark/>
          </w:tcPr>
          <w:p w14:paraId="12EF95C7"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 xml:space="preserve">Wiseman (1982);Crakson </w:t>
            </w:r>
            <w:r w:rsidRPr="003D5B79">
              <w:rPr>
                <w:rFonts w:ascii="Times New Roman" w:eastAsia="Times New Roman" w:hAnsi="Times New Roman" w:cs="Times New Roman"/>
                <w:i/>
                <w:iCs/>
                <w:color w:val="000000"/>
                <w:sz w:val="24"/>
                <w:szCs w:val="24"/>
              </w:rPr>
              <w:t>et al.,</w:t>
            </w:r>
            <w:r w:rsidRPr="003D5B79">
              <w:rPr>
                <w:rFonts w:ascii="Times New Roman" w:eastAsia="Times New Roman" w:hAnsi="Times New Roman" w:cs="Times New Roman"/>
                <w:color w:val="000000"/>
                <w:sz w:val="24"/>
                <w:szCs w:val="24"/>
              </w:rPr>
              <w:t xml:space="preserve"> (2008); Clarkson </w:t>
            </w:r>
            <w:r w:rsidRPr="003D5B79">
              <w:rPr>
                <w:rFonts w:ascii="Times New Roman" w:eastAsia="Times New Roman" w:hAnsi="Times New Roman" w:cs="Times New Roman"/>
                <w:i/>
                <w:iCs/>
                <w:color w:val="000000"/>
                <w:sz w:val="24"/>
                <w:szCs w:val="24"/>
              </w:rPr>
              <w:t>et al.,</w:t>
            </w:r>
            <w:r w:rsidRPr="003D5B79">
              <w:rPr>
                <w:rFonts w:ascii="Times New Roman" w:eastAsia="Times New Roman" w:hAnsi="Times New Roman" w:cs="Times New Roman"/>
                <w:color w:val="000000"/>
                <w:sz w:val="24"/>
                <w:szCs w:val="24"/>
              </w:rPr>
              <w:t xml:space="preserve"> (2013)</w:t>
            </w:r>
          </w:p>
        </w:tc>
      </w:tr>
      <w:tr w:rsidR="003D5B79" w:rsidRPr="003D5B79" w14:paraId="0BC0D0F6" w14:textId="77777777" w:rsidTr="00520690">
        <w:trPr>
          <w:trHeight w:val="315"/>
        </w:trPr>
        <w:tc>
          <w:tcPr>
            <w:tcW w:w="1080" w:type="dxa"/>
            <w:tcBorders>
              <w:top w:val="nil"/>
              <w:left w:val="nil"/>
              <w:bottom w:val="nil"/>
              <w:right w:val="nil"/>
            </w:tcBorders>
            <w:shd w:val="clear" w:color="auto" w:fill="auto"/>
            <w:noWrap/>
            <w:vAlign w:val="center"/>
            <w:hideMark/>
          </w:tcPr>
          <w:p w14:paraId="339A23B0"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12</w:t>
            </w:r>
          </w:p>
        </w:tc>
        <w:tc>
          <w:tcPr>
            <w:tcW w:w="3520" w:type="dxa"/>
            <w:tcBorders>
              <w:top w:val="nil"/>
              <w:left w:val="nil"/>
              <w:bottom w:val="nil"/>
              <w:right w:val="nil"/>
            </w:tcBorders>
            <w:shd w:val="clear" w:color="auto" w:fill="auto"/>
            <w:noWrap/>
            <w:hideMark/>
          </w:tcPr>
          <w:p w14:paraId="3B57E53D"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Total weight of waste by disposal method</w:t>
            </w:r>
          </w:p>
        </w:tc>
        <w:tc>
          <w:tcPr>
            <w:tcW w:w="3760" w:type="dxa"/>
            <w:tcBorders>
              <w:top w:val="nil"/>
              <w:left w:val="nil"/>
              <w:bottom w:val="nil"/>
              <w:right w:val="nil"/>
            </w:tcBorders>
            <w:shd w:val="clear" w:color="auto" w:fill="auto"/>
            <w:noWrap/>
            <w:vAlign w:val="center"/>
            <w:hideMark/>
          </w:tcPr>
          <w:p w14:paraId="360227E2"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GRI4</w:t>
            </w:r>
          </w:p>
        </w:tc>
      </w:tr>
      <w:tr w:rsidR="003D5B79" w:rsidRPr="003D5B79" w14:paraId="0BF583C4" w14:textId="77777777" w:rsidTr="00520690">
        <w:trPr>
          <w:trHeight w:val="315"/>
        </w:trPr>
        <w:tc>
          <w:tcPr>
            <w:tcW w:w="1080" w:type="dxa"/>
            <w:tcBorders>
              <w:top w:val="nil"/>
              <w:left w:val="nil"/>
              <w:bottom w:val="nil"/>
              <w:right w:val="nil"/>
            </w:tcBorders>
            <w:shd w:val="clear" w:color="auto" w:fill="auto"/>
            <w:noWrap/>
            <w:vAlign w:val="center"/>
            <w:hideMark/>
          </w:tcPr>
          <w:p w14:paraId="7F1D2842"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13</w:t>
            </w:r>
          </w:p>
        </w:tc>
        <w:tc>
          <w:tcPr>
            <w:tcW w:w="3520" w:type="dxa"/>
            <w:tcBorders>
              <w:top w:val="nil"/>
              <w:left w:val="nil"/>
              <w:bottom w:val="nil"/>
              <w:right w:val="nil"/>
            </w:tcBorders>
            <w:shd w:val="clear" w:color="auto" w:fill="auto"/>
            <w:noWrap/>
            <w:hideMark/>
          </w:tcPr>
          <w:p w14:paraId="1C9E6357"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Waste utilization permit</w:t>
            </w:r>
          </w:p>
        </w:tc>
        <w:tc>
          <w:tcPr>
            <w:tcW w:w="3760" w:type="dxa"/>
            <w:tcBorders>
              <w:top w:val="nil"/>
              <w:left w:val="nil"/>
              <w:bottom w:val="nil"/>
              <w:right w:val="nil"/>
            </w:tcBorders>
            <w:shd w:val="clear" w:color="auto" w:fill="auto"/>
            <w:noWrap/>
            <w:vAlign w:val="center"/>
            <w:hideMark/>
          </w:tcPr>
          <w:p w14:paraId="0355C1B9"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PP 101 tahun 2014</w:t>
            </w:r>
          </w:p>
        </w:tc>
      </w:tr>
      <w:tr w:rsidR="003D5B79" w:rsidRPr="003D5B79" w14:paraId="17ECA96C" w14:textId="77777777" w:rsidTr="00520690">
        <w:trPr>
          <w:trHeight w:val="315"/>
        </w:trPr>
        <w:tc>
          <w:tcPr>
            <w:tcW w:w="1080" w:type="dxa"/>
            <w:tcBorders>
              <w:top w:val="nil"/>
              <w:left w:val="nil"/>
              <w:bottom w:val="nil"/>
              <w:right w:val="nil"/>
            </w:tcBorders>
            <w:shd w:val="clear" w:color="auto" w:fill="auto"/>
            <w:noWrap/>
            <w:vAlign w:val="center"/>
            <w:hideMark/>
          </w:tcPr>
          <w:p w14:paraId="64CCBA76"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14</w:t>
            </w:r>
          </w:p>
        </w:tc>
        <w:tc>
          <w:tcPr>
            <w:tcW w:w="3520" w:type="dxa"/>
            <w:tcBorders>
              <w:top w:val="nil"/>
              <w:left w:val="nil"/>
              <w:bottom w:val="nil"/>
              <w:right w:val="nil"/>
            </w:tcBorders>
            <w:shd w:val="clear" w:color="auto" w:fill="auto"/>
            <w:noWrap/>
            <w:hideMark/>
          </w:tcPr>
          <w:p w14:paraId="1D1A2CEB"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percentage of waste transported for international shipping</w:t>
            </w:r>
          </w:p>
        </w:tc>
        <w:tc>
          <w:tcPr>
            <w:tcW w:w="3760" w:type="dxa"/>
            <w:tcBorders>
              <w:top w:val="nil"/>
              <w:left w:val="nil"/>
              <w:bottom w:val="nil"/>
              <w:right w:val="nil"/>
            </w:tcBorders>
            <w:shd w:val="clear" w:color="auto" w:fill="auto"/>
            <w:noWrap/>
            <w:vAlign w:val="center"/>
            <w:hideMark/>
          </w:tcPr>
          <w:p w14:paraId="1039E401"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GRI5</w:t>
            </w:r>
          </w:p>
        </w:tc>
      </w:tr>
      <w:tr w:rsidR="003D5B79" w:rsidRPr="003D5B79" w14:paraId="29D3D933" w14:textId="77777777" w:rsidTr="00520690">
        <w:trPr>
          <w:trHeight w:val="315"/>
        </w:trPr>
        <w:tc>
          <w:tcPr>
            <w:tcW w:w="1080" w:type="dxa"/>
            <w:tcBorders>
              <w:top w:val="nil"/>
              <w:left w:val="nil"/>
              <w:bottom w:val="nil"/>
              <w:right w:val="nil"/>
            </w:tcBorders>
            <w:shd w:val="clear" w:color="auto" w:fill="auto"/>
            <w:noWrap/>
            <w:vAlign w:val="center"/>
            <w:hideMark/>
          </w:tcPr>
          <w:p w14:paraId="6D2C4A68"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15</w:t>
            </w:r>
          </w:p>
        </w:tc>
        <w:tc>
          <w:tcPr>
            <w:tcW w:w="3520" w:type="dxa"/>
            <w:tcBorders>
              <w:top w:val="nil"/>
              <w:left w:val="nil"/>
              <w:bottom w:val="nil"/>
              <w:right w:val="nil"/>
            </w:tcBorders>
            <w:shd w:val="clear" w:color="auto" w:fill="auto"/>
            <w:noWrap/>
            <w:hideMark/>
          </w:tcPr>
          <w:p w14:paraId="572F5E22"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Management of Environmental Pollution due to B3 waste</w:t>
            </w:r>
          </w:p>
        </w:tc>
        <w:tc>
          <w:tcPr>
            <w:tcW w:w="3760" w:type="dxa"/>
            <w:tcBorders>
              <w:top w:val="nil"/>
              <w:left w:val="nil"/>
              <w:bottom w:val="nil"/>
              <w:right w:val="nil"/>
            </w:tcBorders>
            <w:shd w:val="clear" w:color="auto" w:fill="auto"/>
            <w:noWrap/>
            <w:vAlign w:val="center"/>
            <w:hideMark/>
          </w:tcPr>
          <w:p w14:paraId="4F3B1CFC"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PP 101 tahun 2014</w:t>
            </w:r>
          </w:p>
        </w:tc>
      </w:tr>
      <w:tr w:rsidR="003D5B79" w:rsidRPr="003D5B79" w14:paraId="18B41062" w14:textId="77777777" w:rsidTr="00520690">
        <w:trPr>
          <w:trHeight w:val="315"/>
        </w:trPr>
        <w:tc>
          <w:tcPr>
            <w:tcW w:w="1080" w:type="dxa"/>
            <w:tcBorders>
              <w:top w:val="nil"/>
              <w:left w:val="nil"/>
              <w:bottom w:val="nil"/>
              <w:right w:val="nil"/>
            </w:tcBorders>
            <w:shd w:val="clear" w:color="auto" w:fill="auto"/>
            <w:noWrap/>
            <w:vAlign w:val="center"/>
            <w:hideMark/>
          </w:tcPr>
          <w:p w14:paraId="3F403159"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16</w:t>
            </w:r>
          </w:p>
        </w:tc>
        <w:tc>
          <w:tcPr>
            <w:tcW w:w="3520" w:type="dxa"/>
            <w:tcBorders>
              <w:top w:val="nil"/>
              <w:left w:val="nil"/>
              <w:bottom w:val="nil"/>
              <w:right w:val="nil"/>
            </w:tcBorders>
            <w:shd w:val="clear" w:color="auto" w:fill="auto"/>
            <w:noWrap/>
            <w:hideMark/>
          </w:tcPr>
          <w:p w14:paraId="1CB20989"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Emergency Response System in LB3 Management</w:t>
            </w:r>
          </w:p>
        </w:tc>
        <w:tc>
          <w:tcPr>
            <w:tcW w:w="3760" w:type="dxa"/>
            <w:tcBorders>
              <w:top w:val="nil"/>
              <w:left w:val="nil"/>
              <w:bottom w:val="nil"/>
              <w:right w:val="nil"/>
            </w:tcBorders>
            <w:shd w:val="clear" w:color="auto" w:fill="auto"/>
            <w:noWrap/>
            <w:vAlign w:val="center"/>
            <w:hideMark/>
          </w:tcPr>
          <w:p w14:paraId="75249D51"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PP 101 tahun 2014</w:t>
            </w:r>
          </w:p>
        </w:tc>
      </w:tr>
      <w:tr w:rsidR="003D5B79" w:rsidRPr="003D5B79" w14:paraId="09BCFB70" w14:textId="77777777" w:rsidTr="00520690">
        <w:trPr>
          <w:trHeight w:val="315"/>
        </w:trPr>
        <w:tc>
          <w:tcPr>
            <w:tcW w:w="1080" w:type="dxa"/>
            <w:tcBorders>
              <w:top w:val="nil"/>
              <w:left w:val="nil"/>
              <w:bottom w:val="nil"/>
              <w:right w:val="nil"/>
            </w:tcBorders>
            <w:shd w:val="clear" w:color="auto" w:fill="auto"/>
            <w:noWrap/>
            <w:vAlign w:val="center"/>
            <w:hideMark/>
          </w:tcPr>
          <w:p w14:paraId="4EE53F11"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17</w:t>
            </w:r>
          </w:p>
        </w:tc>
        <w:tc>
          <w:tcPr>
            <w:tcW w:w="3520" w:type="dxa"/>
            <w:tcBorders>
              <w:top w:val="nil"/>
              <w:left w:val="nil"/>
              <w:bottom w:val="nil"/>
              <w:right w:val="nil"/>
            </w:tcBorders>
            <w:shd w:val="clear" w:color="auto" w:fill="auto"/>
            <w:noWrap/>
            <w:hideMark/>
          </w:tcPr>
          <w:p w14:paraId="4BB1433F"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construction</w:t>
            </w:r>
          </w:p>
        </w:tc>
        <w:tc>
          <w:tcPr>
            <w:tcW w:w="3760" w:type="dxa"/>
            <w:tcBorders>
              <w:top w:val="nil"/>
              <w:left w:val="nil"/>
              <w:bottom w:val="nil"/>
              <w:right w:val="nil"/>
            </w:tcBorders>
            <w:shd w:val="clear" w:color="auto" w:fill="auto"/>
            <w:noWrap/>
            <w:vAlign w:val="center"/>
            <w:hideMark/>
          </w:tcPr>
          <w:p w14:paraId="6A6D9A15"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PP 101 tahun 2014</w:t>
            </w:r>
          </w:p>
        </w:tc>
      </w:tr>
      <w:tr w:rsidR="003D5B79" w:rsidRPr="003D5B79" w14:paraId="354C9DBE" w14:textId="77777777" w:rsidTr="00520690">
        <w:trPr>
          <w:trHeight w:val="315"/>
        </w:trPr>
        <w:tc>
          <w:tcPr>
            <w:tcW w:w="1080" w:type="dxa"/>
            <w:tcBorders>
              <w:top w:val="nil"/>
              <w:left w:val="nil"/>
              <w:bottom w:val="nil"/>
              <w:right w:val="nil"/>
            </w:tcBorders>
            <w:shd w:val="clear" w:color="auto" w:fill="auto"/>
            <w:noWrap/>
            <w:vAlign w:val="center"/>
            <w:hideMark/>
          </w:tcPr>
          <w:p w14:paraId="3206A911"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18</w:t>
            </w:r>
          </w:p>
        </w:tc>
        <w:tc>
          <w:tcPr>
            <w:tcW w:w="3520" w:type="dxa"/>
            <w:tcBorders>
              <w:top w:val="nil"/>
              <w:left w:val="nil"/>
              <w:bottom w:val="nil"/>
              <w:right w:val="nil"/>
            </w:tcBorders>
            <w:shd w:val="clear" w:color="auto" w:fill="auto"/>
            <w:noWrap/>
            <w:hideMark/>
          </w:tcPr>
          <w:p w14:paraId="4490BF8D"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supervision</w:t>
            </w:r>
          </w:p>
        </w:tc>
        <w:tc>
          <w:tcPr>
            <w:tcW w:w="3760" w:type="dxa"/>
            <w:tcBorders>
              <w:top w:val="nil"/>
              <w:left w:val="nil"/>
              <w:bottom w:val="nil"/>
              <w:right w:val="nil"/>
            </w:tcBorders>
            <w:shd w:val="clear" w:color="auto" w:fill="auto"/>
            <w:noWrap/>
            <w:vAlign w:val="center"/>
            <w:hideMark/>
          </w:tcPr>
          <w:p w14:paraId="00115DEB"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PP 101 tahun 2014</w:t>
            </w:r>
          </w:p>
        </w:tc>
      </w:tr>
      <w:tr w:rsidR="003D5B79" w:rsidRPr="003D5B79" w14:paraId="02A68C1C" w14:textId="77777777" w:rsidTr="00520690">
        <w:trPr>
          <w:trHeight w:val="315"/>
        </w:trPr>
        <w:tc>
          <w:tcPr>
            <w:tcW w:w="1080" w:type="dxa"/>
            <w:tcBorders>
              <w:top w:val="nil"/>
              <w:left w:val="nil"/>
              <w:bottom w:val="nil"/>
              <w:right w:val="nil"/>
            </w:tcBorders>
            <w:shd w:val="clear" w:color="auto" w:fill="auto"/>
            <w:noWrap/>
            <w:vAlign w:val="center"/>
            <w:hideMark/>
          </w:tcPr>
          <w:p w14:paraId="574C63A8"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19</w:t>
            </w:r>
          </w:p>
        </w:tc>
        <w:tc>
          <w:tcPr>
            <w:tcW w:w="3520" w:type="dxa"/>
            <w:tcBorders>
              <w:top w:val="nil"/>
              <w:left w:val="nil"/>
              <w:bottom w:val="nil"/>
              <w:right w:val="nil"/>
            </w:tcBorders>
            <w:shd w:val="clear" w:color="auto" w:fill="auto"/>
            <w:noWrap/>
            <w:hideMark/>
          </w:tcPr>
          <w:p w14:paraId="2897FF25"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The total volume of the waste spill</w:t>
            </w:r>
          </w:p>
        </w:tc>
        <w:tc>
          <w:tcPr>
            <w:tcW w:w="3760" w:type="dxa"/>
            <w:tcBorders>
              <w:top w:val="nil"/>
              <w:left w:val="nil"/>
              <w:bottom w:val="nil"/>
              <w:right w:val="nil"/>
            </w:tcBorders>
            <w:shd w:val="clear" w:color="auto" w:fill="auto"/>
            <w:noWrap/>
            <w:vAlign w:val="center"/>
            <w:hideMark/>
          </w:tcPr>
          <w:p w14:paraId="6A24037C"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 xml:space="preserve">GRI4;Clarkson </w:t>
            </w:r>
            <w:r w:rsidRPr="003D5B79">
              <w:rPr>
                <w:rFonts w:ascii="Times New Roman" w:eastAsia="Times New Roman" w:hAnsi="Times New Roman" w:cs="Times New Roman"/>
                <w:i/>
                <w:iCs/>
                <w:color w:val="000000"/>
                <w:sz w:val="24"/>
                <w:szCs w:val="24"/>
              </w:rPr>
              <w:t>et al.,</w:t>
            </w:r>
            <w:r w:rsidRPr="003D5B79">
              <w:rPr>
                <w:rFonts w:ascii="Times New Roman" w:eastAsia="Times New Roman" w:hAnsi="Times New Roman" w:cs="Times New Roman"/>
                <w:color w:val="000000"/>
                <w:sz w:val="24"/>
                <w:szCs w:val="24"/>
              </w:rPr>
              <w:t xml:space="preserve"> (2013);Setiabudi (2016)</w:t>
            </w:r>
          </w:p>
        </w:tc>
      </w:tr>
      <w:tr w:rsidR="003D5B79" w:rsidRPr="003D5B79" w14:paraId="699E3E18" w14:textId="77777777" w:rsidTr="00520690">
        <w:trPr>
          <w:trHeight w:val="315"/>
        </w:trPr>
        <w:tc>
          <w:tcPr>
            <w:tcW w:w="1080" w:type="dxa"/>
            <w:tcBorders>
              <w:top w:val="nil"/>
              <w:left w:val="nil"/>
              <w:bottom w:val="nil"/>
              <w:right w:val="nil"/>
            </w:tcBorders>
            <w:shd w:val="clear" w:color="auto" w:fill="auto"/>
            <w:noWrap/>
            <w:vAlign w:val="center"/>
            <w:hideMark/>
          </w:tcPr>
          <w:p w14:paraId="4A59BC67"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20</w:t>
            </w:r>
          </w:p>
        </w:tc>
        <w:tc>
          <w:tcPr>
            <w:tcW w:w="3520" w:type="dxa"/>
            <w:tcBorders>
              <w:top w:val="nil"/>
              <w:left w:val="nil"/>
              <w:bottom w:val="nil"/>
              <w:right w:val="nil"/>
            </w:tcBorders>
            <w:shd w:val="clear" w:color="auto" w:fill="auto"/>
            <w:noWrap/>
            <w:hideMark/>
          </w:tcPr>
          <w:p w14:paraId="6F9D9807"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cause of waste</w:t>
            </w:r>
          </w:p>
        </w:tc>
        <w:tc>
          <w:tcPr>
            <w:tcW w:w="3760" w:type="dxa"/>
            <w:tcBorders>
              <w:top w:val="nil"/>
              <w:left w:val="nil"/>
              <w:bottom w:val="nil"/>
              <w:right w:val="nil"/>
            </w:tcBorders>
            <w:shd w:val="clear" w:color="auto" w:fill="auto"/>
            <w:noWrap/>
            <w:vAlign w:val="center"/>
            <w:hideMark/>
          </w:tcPr>
          <w:p w14:paraId="0BDE48DF"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 xml:space="preserve">Clarkson </w:t>
            </w:r>
            <w:r w:rsidRPr="003D5B79">
              <w:rPr>
                <w:rFonts w:ascii="Times New Roman" w:eastAsia="Times New Roman" w:hAnsi="Times New Roman" w:cs="Times New Roman"/>
                <w:i/>
                <w:iCs/>
                <w:color w:val="000000"/>
                <w:sz w:val="24"/>
                <w:szCs w:val="24"/>
              </w:rPr>
              <w:t>et al.,</w:t>
            </w:r>
            <w:r w:rsidRPr="003D5B79">
              <w:rPr>
                <w:rFonts w:ascii="Times New Roman" w:eastAsia="Times New Roman" w:hAnsi="Times New Roman" w:cs="Times New Roman"/>
                <w:color w:val="000000"/>
                <w:sz w:val="24"/>
                <w:szCs w:val="24"/>
              </w:rPr>
              <w:t xml:space="preserve"> (2013)</w:t>
            </w:r>
          </w:p>
        </w:tc>
      </w:tr>
      <w:tr w:rsidR="003D5B79" w:rsidRPr="003D5B79" w14:paraId="68ACCC4A" w14:textId="77777777" w:rsidTr="00520690">
        <w:trPr>
          <w:trHeight w:val="315"/>
        </w:trPr>
        <w:tc>
          <w:tcPr>
            <w:tcW w:w="1080" w:type="dxa"/>
            <w:tcBorders>
              <w:top w:val="nil"/>
              <w:left w:val="nil"/>
              <w:bottom w:val="single" w:sz="4" w:space="0" w:color="auto"/>
              <w:right w:val="nil"/>
            </w:tcBorders>
            <w:shd w:val="clear" w:color="auto" w:fill="auto"/>
            <w:noWrap/>
            <w:vAlign w:val="center"/>
            <w:hideMark/>
          </w:tcPr>
          <w:p w14:paraId="76C10990"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21</w:t>
            </w:r>
          </w:p>
        </w:tc>
        <w:tc>
          <w:tcPr>
            <w:tcW w:w="3520" w:type="dxa"/>
            <w:tcBorders>
              <w:top w:val="nil"/>
              <w:left w:val="nil"/>
              <w:bottom w:val="single" w:sz="4" w:space="0" w:color="auto"/>
              <w:right w:val="nil"/>
            </w:tcBorders>
            <w:shd w:val="clear" w:color="auto" w:fill="auto"/>
            <w:noWrap/>
            <w:hideMark/>
          </w:tcPr>
          <w:p w14:paraId="6698DA43"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waste treatment</w:t>
            </w:r>
          </w:p>
        </w:tc>
        <w:tc>
          <w:tcPr>
            <w:tcW w:w="3760" w:type="dxa"/>
            <w:tcBorders>
              <w:top w:val="nil"/>
              <w:left w:val="nil"/>
              <w:bottom w:val="single" w:sz="4" w:space="0" w:color="auto"/>
              <w:right w:val="nil"/>
            </w:tcBorders>
            <w:shd w:val="clear" w:color="auto" w:fill="auto"/>
            <w:noWrap/>
            <w:vAlign w:val="center"/>
            <w:hideMark/>
          </w:tcPr>
          <w:p w14:paraId="10FA2D69"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 xml:space="preserve">Clarkson </w:t>
            </w:r>
            <w:r w:rsidRPr="003D5B79">
              <w:rPr>
                <w:rFonts w:ascii="Times New Roman" w:eastAsia="Times New Roman" w:hAnsi="Times New Roman" w:cs="Times New Roman"/>
                <w:i/>
                <w:iCs/>
                <w:color w:val="000000"/>
                <w:sz w:val="24"/>
                <w:szCs w:val="24"/>
              </w:rPr>
              <w:t>et al.,</w:t>
            </w:r>
            <w:r w:rsidRPr="003D5B79">
              <w:rPr>
                <w:rFonts w:ascii="Times New Roman" w:eastAsia="Times New Roman" w:hAnsi="Times New Roman" w:cs="Times New Roman"/>
                <w:color w:val="000000"/>
                <w:sz w:val="24"/>
                <w:szCs w:val="24"/>
              </w:rPr>
              <w:t xml:space="preserve"> (2008)</w:t>
            </w:r>
          </w:p>
        </w:tc>
      </w:tr>
    </w:tbl>
    <w:p w14:paraId="48262719" w14:textId="77777777" w:rsidR="003D5B79" w:rsidRPr="003D5B79" w:rsidRDefault="003D5B79" w:rsidP="003D5B79">
      <w:pPr>
        <w:tabs>
          <w:tab w:val="left" w:pos="1080"/>
        </w:tabs>
        <w:spacing w:after="0" w:line="240" w:lineRule="auto"/>
        <w:jc w:val="both"/>
        <w:rPr>
          <w:rFonts w:ascii="Times New Roman" w:hAnsi="Times New Roman" w:cs="Times New Roman"/>
          <w:sz w:val="24"/>
          <w:szCs w:val="24"/>
        </w:rPr>
      </w:pPr>
      <w:r w:rsidRPr="003D5B79">
        <w:rPr>
          <w:rFonts w:ascii="Times New Roman" w:hAnsi="Times New Roman" w:cs="Times New Roman"/>
          <w:sz w:val="24"/>
          <w:szCs w:val="24"/>
        </w:rPr>
        <w:t>Source: Processed Data 2021</w:t>
      </w:r>
    </w:p>
    <w:p w14:paraId="7AB6B95A" w14:textId="77777777" w:rsidR="003D5B79" w:rsidRPr="003D5B79" w:rsidRDefault="003D5B79" w:rsidP="003D5B79">
      <w:pPr>
        <w:spacing w:after="0" w:line="240" w:lineRule="auto"/>
        <w:ind w:firstLine="567"/>
        <w:jc w:val="both"/>
        <w:rPr>
          <w:rFonts w:ascii="Times New Roman" w:hAnsi="Times New Roman" w:cs="Times New Roman"/>
          <w:sz w:val="24"/>
          <w:szCs w:val="24"/>
        </w:rPr>
      </w:pPr>
      <w:r w:rsidRPr="003D5B79">
        <w:rPr>
          <w:rFonts w:ascii="Times New Roman" w:hAnsi="Times New Roman" w:cs="Times New Roman"/>
          <w:sz w:val="24"/>
          <w:szCs w:val="24"/>
        </w:rPr>
        <w:t xml:space="preserve"> </w:t>
      </w:r>
    </w:p>
    <w:p w14:paraId="4EF1B8A4" w14:textId="77777777" w:rsidR="003D5B79" w:rsidRPr="003D5B79" w:rsidRDefault="003D5B79" w:rsidP="003D5B79">
      <w:pPr>
        <w:spacing w:after="0" w:line="240" w:lineRule="auto"/>
        <w:ind w:firstLine="567"/>
        <w:jc w:val="both"/>
        <w:rPr>
          <w:rFonts w:ascii="Times New Roman" w:hAnsi="Times New Roman" w:cs="Times New Roman"/>
          <w:sz w:val="24"/>
          <w:szCs w:val="24"/>
        </w:rPr>
      </w:pPr>
    </w:p>
    <w:p w14:paraId="2A454AAA" w14:textId="77777777" w:rsidR="009C55B3" w:rsidRDefault="009C55B3" w:rsidP="003D5B79">
      <w:pPr>
        <w:spacing w:after="0" w:line="240" w:lineRule="auto"/>
        <w:jc w:val="both"/>
        <w:rPr>
          <w:rFonts w:ascii="Times New Roman" w:hAnsi="Times New Roman" w:cs="Times New Roman"/>
          <w:b/>
          <w:sz w:val="24"/>
          <w:szCs w:val="24"/>
        </w:rPr>
        <w:sectPr w:rsidR="009C55B3" w:rsidSect="009C55B3">
          <w:type w:val="continuous"/>
          <w:pgSz w:w="12240" w:h="15840"/>
          <w:pgMar w:top="1440" w:right="1440" w:bottom="1440" w:left="1440" w:header="720" w:footer="720" w:gutter="0"/>
          <w:cols w:space="720"/>
          <w:docGrid w:linePitch="360"/>
        </w:sectPr>
      </w:pPr>
    </w:p>
    <w:p w14:paraId="3F4E227E" w14:textId="77777777" w:rsidR="009C55B3" w:rsidRPr="009C55B3" w:rsidRDefault="009C55B3" w:rsidP="009C55B3">
      <w:pPr>
        <w:pStyle w:val="ListParagraph"/>
        <w:numPr>
          <w:ilvl w:val="0"/>
          <w:numId w:val="5"/>
        </w:numPr>
        <w:spacing w:after="0" w:line="240" w:lineRule="auto"/>
        <w:jc w:val="center"/>
        <w:rPr>
          <w:rFonts w:ascii="Times New Roman" w:hAnsi="Times New Roman"/>
          <w:b/>
          <w:bCs/>
          <w:sz w:val="20"/>
          <w:szCs w:val="20"/>
          <w:lang w:val="id-ID"/>
        </w:rPr>
      </w:pPr>
      <w:r w:rsidRPr="009C55B3">
        <w:rPr>
          <w:rFonts w:ascii="Times New Roman" w:hAnsi="Times New Roman"/>
          <w:b/>
          <w:bCs/>
          <w:sz w:val="20"/>
          <w:szCs w:val="20"/>
          <w:lang w:val="id-ID"/>
        </w:rPr>
        <w:lastRenderedPageBreak/>
        <w:t xml:space="preserve">RESEARCH </w:t>
      </w:r>
      <w:r w:rsidRPr="009C55B3">
        <w:rPr>
          <w:rFonts w:ascii="Times New Roman" w:hAnsi="Times New Roman"/>
          <w:b/>
          <w:sz w:val="20"/>
          <w:szCs w:val="20"/>
        </w:rPr>
        <w:t>RESULTS</w:t>
      </w:r>
      <w:r w:rsidRPr="009C55B3">
        <w:rPr>
          <w:rFonts w:ascii="Times New Roman" w:hAnsi="Times New Roman"/>
          <w:b/>
          <w:bCs/>
          <w:sz w:val="20"/>
          <w:szCs w:val="20"/>
          <w:lang w:val="id-ID"/>
        </w:rPr>
        <w:t xml:space="preserve"> AND DISCUSSION</w:t>
      </w:r>
    </w:p>
    <w:p w14:paraId="338E013C" w14:textId="77777777" w:rsidR="003D5B79" w:rsidRPr="009C55B3" w:rsidRDefault="003D5B79" w:rsidP="003D5B79">
      <w:pPr>
        <w:spacing w:after="0" w:line="240" w:lineRule="auto"/>
        <w:jc w:val="both"/>
        <w:rPr>
          <w:rFonts w:ascii="Times New Roman" w:hAnsi="Times New Roman" w:cs="Times New Roman"/>
          <w:b/>
          <w:sz w:val="24"/>
          <w:szCs w:val="24"/>
        </w:rPr>
      </w:pPr>
    </w:p>
    <w:p w14:paraId="69D21CE2" w14:textId="77777777" w:rsidR="003D5B79" w:rsidRPr="003D5B79" w:rsidRDefault="003D5B79" w:rsidP="003D5B79">
      <w:pPr>
        <w:spacing w:after="0" w:line="240" w:lineRule="auto"/>
        <w:ind w:firstLine="567"/>
        <w:jc w:val="both"/>
        <w:rPr>
          <w:rFonts w:ascii="Times New Roman" w:hAnsi="Times New Roman" w:cs="Times New Roman"/>
          <w:sz w:val="24"/>
          <w:szCs w:val="24"/>
        </w:rPr>
      </w:pPr>
    </w:p>
    <w:p w14:paraId="3CAAEBE2" w14:textId="77777777" w:rsidR="003D5B79" w:rsidRPr="003D5B79" w:rsidRDefault="003D5B79" w:rsidP="003D5B79">
      <w:pPr>
        <w:tabs>
          <w:tab w:val="left" w:pos="360"/>
          <w:tab w:val="left" w:pos="450"/>
        </w:tabs>
        <w:spacing w:after="0" w:line="240" w:lineRule="auto"/>
        <w:jc w:val="both"/>
        <w:rPr>
          <w:rFonts w:ascii="Times New Roman" w:eastAsia="Times New Roman" w:hAnsi="Times New Roman" w:cs="Times New Roman"/>
          <w:b/>
          <w:sz w:val="24"/>
          <w:szCs w:val="24"/>
        </w:rPr>
      </w:pPr>
      <w:r w:rsidRPr="003D5B79">
        <w:rPr>
          <w:rFonts w:ascii="Times New Roman" w:eastAsia="Times New Roman" w:hAnsi="Times New Roman" w:cs="Times New Roman"/>
          <w:b/>
          <w:sz w:val="24"/>
          <w:szCs w:val="24"/>
        </w:rPr>
        <w:t>Descriptive Test Results With Cartesian Diagram</w:t>
      </w:r>
    </w:p>
    <w:p w14:paraId="04281885" w14:textId="77777777" w:rsidR="003D5B79" w:rsidRPr="003D5B79" w:rsidRDefault="003D5B79" w:rsidP="003D5B79">
      <w:pPr>
        <w:tabs>
          <w:tab w:val="left" w:pos="360"/>
          <w:tab w:val="left" w:pos="450"/>
        </w:tabs>
        <w:spacing w:after="0" w:line="240" w:lineRule="auto"/>
        <w:jc w:val="both"/>
        <w:rPr>
          <w:rFonts w:ascii="Times New Roman" w:eastAsia="Times New Roman" w:hAnsi="Times New Roman" w:cs="Times New Roman"/>
          <w:sz w:val="24"/>
          <w:szCs w:val="24"/>
        </w:rPr>
      </w:pPr>
      <w:r w:rsidRPr="003D5B79">
        <w:rPr>
          <w:rFonts w:ascii="Times New Roman" w:eastAsia="Times New Roman" w:hAnsi="Times New Roman" w:cs="Times New Roman"/>
          <w:bCs/>
          <w:sz w:val="24"/>
          <w:szCs w:val="24"/>
          <w:lang w:val="id-ID"/>
        </w:rPr>
        <w:lastRenderedPageBreak/>
        <w:tab/>
        <w:t xml:space="preserve">The Cartesian chart is used to see items of LB3 disclosure that are important or that are the main priority in LB3 disclosures in the company's annual report on the IDX. Calculation of demand and supply values is in appendix 8c. The results of the Cartesian </w:t>
      </w:r>
      <w:r w:rsidRPr="003D5B79">
        <w:rPr>
          <w:rFonts w:ascii="Times New Roman" w:eastAsia="Times New Roman" w:hAnsi="Times New Roman" w:cs="Times New Roman"/>
          <w:bCs/>
          <w:sz w:val="24"/>
          <w:szCs w:val="24"/>
          <w:lang w:val="id-ID"/>
        </w:rPr>
        <w:lastRenderedPageBreak/>
        <w:t>demand and supply diagram for LB3 disclosure are as follows:</w:t>
      </w:r>
    </w:p>
    <w:p w14:paraId="11414A83" w14:textId="77777777" w:rsidR="009C55B3" w:rsidRDefault="009C55B3" w:rsidP="003D5B79">
      <w:pPr>
        <w:tabs>
          <w:tab w:val="left" w:pos="360"/>
          <w:tab w:val="left" w:pos="450"/>
        </w:tabs>
        <w:spacing w:after="0" w:line="240" w:lineRule="auto"/>
        <w:jc w:val="both"/>
        <w:rPr>
          <w:rFonts w:ascii="Times New Roman" w:eastAsia="Times New Roman" w:hAnsi="Times New Roman" w:cs="Times New Roman"/>
          <w:b/>
          <w:sz w:val="24"/>
          <w:szCs w:val="24"/>
        </w:rPr>
        <w:sectPr w:rsidR="009C55B3" w:rsidSect="009C55B3">
          <w:type w:val="continuous"/>
          <w:pgSz w:w="12240" w:h="15840"/>
          <w:pgMar w:top="1440" w:right="1440" w:bottom="1440" w:left="1440" w:header="720" w:footer="720" w:gutter="0"/>
          <w:cols w:num="2" w:space="720"/>
          <w:docGrid w:linePitch="360"/>
        </w:sectPr>
      </w:pPr>
    </w:p>
    <w:p w14:paraId="10D42CCE" w14:textId="77777777" w:rsidR="003D5B79" w:rsidRPr="003D5B79" w:rsidRDefault="003D5B79" w:rsidP="003D5B79">
      <w:pPr>
        <w:tabs>
          <w:tab w:val="left" w:pos="360"/>
          <w:tab w:val="left" w:pos="450"/>
        </w:tabs>
        <w:spacing w:after="0" w:line="240" w:lineRule="auto"/>
        <w:jc w:val="both"/>
        <w:rPr>
          <w:rFonts w:ascii="Times New Roman" w:eastAsia="Times New Roman" w:hAnsi="Times New Roman" w:cs="Times New Roman"/>
          <w:b/>
          <w:sz w:val="24"/>
          <w:szCs w:val="24"/>
        </w:rPr>
      </w:pPr>
      <w:r w:rsidRPr="003D5B79">
        <w:rPr>
          <w:rFonts w:ascii="Times New Roman" w:hAnsi="Times New Roman" w:cs="Times New Roman"/>
          <w:noProof/>
          <w:sz w:val="24"/>
          <w:szCs w:val="24"/>
        </w:rPr>
        <w:lastRenderedPageBreak/>
        <mc:AlternateContent>
          <mc:Choice Requires="wps">
            <w:drawing>
              <wp:anchor distT="0" distB="0" distL="114300" distR="114300" simplePos="0" relativeHeight="251662336" behindDoc="0" locked="0" layoutInCell="1" allowOverlap="1" wp14:anchorId="16210CE4" wp14:editId="0CF835D0">
                <wp:simplePos x="0" y="0"/>
                <wp:positionH relativeFrom="column">
                  <wp:posOffset>3586480</wp:posOffset>
                </wp:positionH>
                <wp:positionV relativeFrom="paragraph">
                  <wp:posOffset>1858010</wp:posOffset>
                </wp:positionV>
                <wp:extent cx="431165" cy="326390"/>
                <wp:effectExtent l="0" t="0" r="26035" b="16510"/>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1165" cy="326390"/>
                        </a:xfrm>
                        <a:prstGeom prst="rect">
                          <a:avLst/>
                        </a:prstGeom>
                        <a:solidFill>
                          <a:sysClr val="window" lastClr="FFFFFF"/>
                        </a:solidFill>
                        <a:ln w="12700" cap="flat" cmpd="sng" algn="ctr">
                          <a:solidFill>
                            <a:srgbClr val="70AD47"/>
                          </a:solidFill>
                          <a:prstDash val="solid"/>
                          <a:miter lim="800000"/>
                        </a:ln>
                        <a:effectLst/>
                      </wps:spPr>
                      <wps:txbx>
                        <w:txbxContent>
                          <w:p w14:paraId="5EBC5A6C" w14:textId="77777777" w:rsidR="003D5B79" w:rsidRDefault="003D5B79" w:rsidP="003D5B79">
                            <w:pPr>
                              <w:jc w:val="center"/>
                            </w:pPr>
                            <w:r>
                              <w:t>IV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38" o:spid="_x0000_s1026" style="position:absolute;left:0;text-align:left;margin-left:282.4pt;margin-top:146.3pt;width:33.95pt;height:2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" fillcolor="window" strokecolor="#70ad47" strokeweight="1pt">
                <v:path arrowok="t"/>
                <v:textbox>
                  <w:txbxContent>
                    <w:p w:rsidR="003D5B79" w:rsidRDefault="003D5B79" w:rsidP="003D5B79">
                      <w:pPr>
                        <w:jc w:val="center"/>
                      </w:pPr>
                      <w:r>
                        <w:t>IV</w:t>
                      </w:r>
                    </w:p>
                  </w:txbxContent>
                </v:textbox>
              </v:rect>
            </w:pict>
          </mc:Fallback>
        </mc:AlternateContent>
      </w:r>
      <w:r w:rsidRPr="003D5B79">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9351BC5" wp14:editId="757718AC">
                <wp:simplePos x="0" y="0"/>
                <wp:positionH relativeFrom="column">
                  <wp:posOffset>2147570</wp:posOffset>
                </wp:positionH>
                <wp:positionV relativeFrom="paragraph">
                  <wp:posOffset>1939290</wp:posOffset>
                </wp:positionV>
                <wp:extent cx="431165" cy="326390"/>
                <wp:effectExtent l="0" t="0" r="26035" b="1651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1165" cy="326390"/>
                        </a:xfrm>
                        <a:prstGeom prst="rect">
                          <a:avLst/>
                        </a:prstGeom>
                        <a:solidFill>
                          <a:sysClr val="window" lastClr="FFFFFF"/>
                        </a:solidFill>
                        <a:ln w="12700" cap="flat" cmpd="sng" algn="ctr">
                          <a:solidFill>
                            <a:srgbClr val="70AD47"/>
                          </a:solidFill>
                          <a:prstDash val="solid"/>
                          <a:miter lim="800000"/>
                        </a:ln>
                        <a:effectLst/>
                      </wps:spPr>
                      <wps:txbx>
                        <w:txbxContent>
                          <w:p w14:paraId="5BAB0989" w14:textId="77777777" w:rsidR="003D5B79" w:rsidRDefault="003D5B79" w:rsidP="003D5B79">
                            <w:pPr>
                              <w:jc w:val="center"/>
                            </w:pPr>
                            <w:r>
                              <w:t>III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37" o:spid="_x0000_s1027" style="position:absolute;left:0;text-align:left;margin-left:169.1pt;margin-top:152.7pt;width:33.95pt;height:2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" fillcolor="window" strokecolor="#70ad47" strokeweight="1pt">
                <v:path arrowok="t"/>
                <v:textbox>
                  <w:txbxContent>
                    <w:p w:rsidR="003D5B79" w:rsidRDefault="003D5B79" w:rsidP="003D5B79">
                      <w:pPr>
                        <w:jc w:val="center"/>
                      </w:pPr>
                      <w:r>
                        <w:t>III</w:t>
                      </w:r>
                    </w:p>
                  </w:txbxContent>
                </v:textbox>
              </v:rect>
            </w:pict>
          </mc:Fallback>
        </mc:AlternateContent>
      </w:r>
      <w:r w:rsidRPr="003D5B79">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4FA82F4" wp14:editId="497ED03D">
                <wp:simplePos x="0" y="0"/>
                <wp:positionH relativeFrom="column">
                  <wp:posOffset>2904490</wp:posOffset>
                </wp:positionH>
                <wp:positionV relativeFrom="paragraph">
                  <wp:posOffset>261620</wp:posOffset>
                </wp:positionV>
                <wp:extent cx="430530" cy="325755"/>
                <wp:effectExtent l="0" t="0" r="26670" b="17145"/>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0530" cy="325755"/>
                        </a:xfrm>
                        <a:prstGeom prst="rect">
                          <a:avLst/>
                        </a:prstGeom>
                        <a:solidFill>
                          <a:sysClr val="window" lastClr="FFFFFF"/>
                        </a:solidFill>
                        <a:ln w="12700" cap="flat" cmpd="sng" algn="ctr">
                          <a:solidFill>
                            <a:srgbClr val="70AD47"/>
                          </a:solidFill>
                          <a:prstDash val="solid"/>
                          <a:miter lim="800000"/>
                        </a:ln>
                        <a:effectLst/>
                      </wps:spPr>
                      <wps:txbx>
                        <w:txbxContent>
                          <w:p w14:paraId="647653DB" w14:textId="77777777" w:rsidR="003D5B79" w:rsidRDefault="003D5B79" w:rsidP="003D5B79">
                            <w:pPr>
                              <w:jc w:val="center"/>
                            </w:pPr>
                            <w:r>
                              <w:t>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36" o:spid="_x0000_s1028" style="position:absolute;left:0;text-align:left;margin-left:228.7pt;margin-top:20.6pt;width:33.9pt;height:25.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" fillcolor="window" strokecolor="#70ad47" strokeweight="1pt">
                <v:path arrowok="t"/>
                <v:textbox>
                  <w:txbxContent>
                    <w:p w:rsidR="003D5B79" w:rsidRDefault="003D5B79" w:rsidP="003D5B79">
                      <w:pPr>
                        <w:jc w:val="center"/>
                      </w:pPr>
                      <w:r>
                        <w:t>II</w:t>
                      </w:r>
                    </w:p>
                  </w:txbxContent>
                </v:textbox>
              </v:rect>
            </w:pict>
          </mc:Fallback>
        </mc:AlternateContent>
      </w:r>
      <w:r w:rsidRPr="003D5B79">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10788E8" wp14:editId="391BF077">
                <wp:simplePos x="0" y="0"/>
                <wp:positionH relativeFrom="column">
                  <wp:posOffset>1925955</wp:posOffset>
                </wp:positionH>
                <wp:positionV relativeFrom="paragraph">
                  <wp:posOffset>233680</wp:posOffset>
                </wp:positionV>
                <wp:extent cx="431165" cy="326390"/>
                <wp:effectExtent l="0" t="0" r="26035" b="1651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1165" cy="326390"/>
                        </a:xfrm>
                        <a:prstGeom prst="rect">
                          <a:avLst/>
                        </a:prstGeom>
                        <a:solidFill>
                          <a:sysClr val="window" lastClr="FFFFFF"/>
                        </a:solidFill>
                        <a:ln w="12700" cap="flat" cmpd="sng" algn="ctr">
                          <a:solidFill>
                            <a:srgbClr val="70AD47"/>
                          </a:solidFill>
                          <a:prstDash val="solid"/>
                          <a:miter lim="800000"/>
                        </a:ln>
                        <a:effectLst/>
                      </wps:spPr>
                      <wps:txbx>
                        <w:txbxContent>
                          <w:p w14:paraId="6B772265" w14:textId="77777777" w:rsidR="003D5B79" w:rsidRDefault="003D5B79" w:rsidP="003D5B79">
                            <w:pPr>
                              <w:jc w:val="center"/>
                            </w:pP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31" o:spid="_x0000_s1029" style="position:absolute;left:0;text-align:left;margin-left:151.65pt;margin-top:18.4pt;width:33.95pt;height:2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" fillcolor="window" strokecolor="#70ad47" strokeweight="1pt">
                <v:path arrowok="t"/>
                <v:textbox>
                  <w:txbxContent>
                    <w:p w:rsidR="003D5B79" w:rsidRDefault="003D5B79" w:rsidP="003D5B79">
                      <w:pPr>
                        <w:jc w:val="center"/>
                      </w:pPr>
                      <w:r>
                        <w:t>I</w:t>
                      </w:r>
                    </w:p>
                  </w:txbxContent>
                </v:textbox>
              </v:rect>
            </w:pict>
          </mc:Fallback>
        </mc:AlternateContent>
      </w:r>
      <w:r w:rsidRPr="003D5B79">
        <w:rPr>
          <w:rFonts w:ascii="Times New Roman" w:hAnsi="Times New Roman" w:cs="Times New Roman"/>
          <w:noProof/>
          <w:sz w:val="24"/>
          <w:szCs w:val="24"/>
        </w:rPr>
        <w:drawing>
          <wp:inline distT="0" distB="0" distL="0" distR="0" wp14:anchorId="7FE4EA4E" wp14:editId="0BFDB3D1">
            <wp:extent cx="5095875" cy="3086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t="13426" r="54037" b="22971"/>
                    <a:stretch>
                      <a:fillRect/>
                    </a:stretch>
                  </pic:blipFill>
                  <pic:spPr bwMode="auto">
                    <a:xfrm>
                      <a:off x="0" y="0"/>
                      <a:ext cx="5095875" cy="3086100"/>
                    </a:xfrm>
                    <a:prstGeom prst="rect">
                      <a:avLst/>
                    </a:prstGeom>
                    <a:noFill/>
                    <a:ln>
                      <a:noFill/>
                    </a:ln>
                  </pic:spPr>
                </pic:pic>
              </a:graphicData>
            </a:graphic>
          </wp:inline>
        </w:drawing>
      </w:r>
    </w:p>
    <w:p w14:paraId="36C78A91" w14:textId="77777777" w:rsidR="003D5B79" w:rsidRPr="003D5B79" w:rsidRDefault="003D5B79" w:rsidP="003D5B79">
      <w:pPr>
        <w:spacing w:after="0" w:line="240" w:lineRule="auto"/>
        <w:jc w:val="center"/>
        <w:rPr>
          <w:rFonts w:ascii="Times New Roman" w:eastAsia="Times New Roman" w:hAnsi="Times New Roman" w:cs="Times New Roman"/>
          <w:sz w:val="24"/>
          <w:szCs w:val="24"/>
        </w:rPr>
      </w:pPr>
      <w:r w:rsidRPr="003D5B79">
        <w:rPr>
          <w:rFonts w:ascii="Times New Roman" w:eastAsia="Times New Roman" w:hAnsi="Times New Roman" w:cs="Times New Roman"/>
          <w:sz w:val="24"/>
          <w:szCs w:val="24"/>
        </w:rPr>
        <w:t>Picture 3</w:t>
      </w:r>
    </w:p>
    <w:p w14:paraId="201BAB34" w14:textId="77777777" w:rsidR="003D5B79" w:rsidRPr="003D5B79" w:rsidRDefault="003D5B79" w:rsidP="003D5B79">
      <w:pPr>
        <w:pStyle w:val="Caption"/>
        <w:spacing w:before="0" w:after="0"/>
        <w:jc w:val="center"/>
        <w:rPr>
          <w:rFonts w:cs="Times New Roman"/>
          <w:i w:val="0"/>
          <w:lang w:val="id-ID"/>
        </w:rPr>
      </w:pPr>
      <w:r w:rsidRPr="003D5B79">
        <w:rPr>
          <w:rFonts w:cs="Times New Roman"/>
          <w:i w:val="0"/>
          <w:lang w:val="id-ID"/>
        </w:rPr>
        <w:t>Test Results of Cartesian Diagram of Demand and Supply disclosure of LB3</w:t>
      </w:r>
    </w:p>
    <w:p w14:paraId="6083AB27" w14:textId="77777777" w:rsidR="003D5B79" w:rsidRPr="003D5B79" w:rsidRDefault="003D5B79" w:rsidP="003D5B79">
      <w:pPr>
        <w:pStyle w:val="Caption"/>
        <w:spacing w:before="0" w:after="0"/>
        <w:jc w:val="center"/>
        <w:rPr>
          <w:rFonts w:cs="Times New Roman"/>
          <w:i w:val="0"/>
        </w:rPr>
      </w:pPr>
    </w:p>
    <w:p w14:paraId="3649D906" w14:textId="77777777" w:rsidR="009C55B3" w:rsidRDefault="009C55B3" w:rsidP="003D5B79">
      <w:pPr>
        <w:spacing w:after="0" w:line="240" w:lineRule="auto"/>
        <w:jc w:val="both"/>
        <w:rPr>
          <w:rFonts w:ascii="Times New Roman" w:eastAsia="Times New Roman" w:hAnsi="Times New Roman" w:cs="Times New Roman"/>
          <w:sz w:val="24"/>
          <w:szCs w:val="24"/>
          <w:lang w:val="id-ID"/>
        </w:rPr>
        <w:sectPr w:rsidR="009C55B3" w:rsidSect="009C55B3">
          <w:type w:val="continuous"/>
          <w:pgSz w:w="12240" w:h="15840"/>
          <w:pgMar w:top="1440" w:right="1440" w:bottom="1440" w:left="1440" w:header="720" w:footer="720" w:gutter="0"/>
          <w:cols w:space="720"/>
          <w:docGrid w:linePitch="360"/>
        </w:sectPr>
      </w:pPr>
    </w:p>
    <w:p w14:paraId="4A179D8F" w14:textId="77777777" w:rsidR="003D5B79" w:rsidRPr="003D5B79" w:rsidRDefault="003D5B79" w:rsidP="003D5B79">
      <w:pPr>
        <w:spacing w:after="0" w:line="240" w:lineRule="auto"/>
        <w:jc w:val="both"/>
        <w:rPr>
          <w:rFonts w:ascii="Times New Roman" w:eastAsia="Times New Roman" w:hAnsi="Times New Roman" w:cs="Times New Roman"/>
          <w:sz w:val="24"/>
          <w:szCs w:val="24"/>
          <w:lang w:val="id-ID"/>
        </w:rPr>
      </w:pPr>
      <w:r w:rsidRPr="003D5B79">
        <w:rPr>
          <w:rFonts w:ascii="Times New Roman" w:eastAsia="Times New Roman" w:hAnsi="Times New Roman" w:cs="Times New Roman"/>
          <w:sz w:val="24"/>
          <w:szCs w:val="24"/>
          <w:lang w:val="id-ID"/>
        </w:rPr>
        <w:lastRenderedPageBreak/>
        <w:t>Quadrant I of LB3 disclosure items located in this quadrant are eight items, namely the type of waste, the total weight of waste by type, financing, prevention of environmental pollution due to LB3, emergency response system in LB3 management, supervision, the volume of LB3 spills, causes of LB3, LB3 storage, LB3 collection, LB3 treatment. Disclosure items in this quadrant mean that these disclosure items need to be prioritized by the company because the expectations (demand) are high while the realization (supply) is not in line with expectations (market), which is still low. Factors in this quadrant are considered very important, but the company has not implemented them according to the wishes of the stakeholders.</w:t>
      </w:r>
    </w:p>
    <w:p w14:paraId="070463C0" w14:textId="77777777" w:rsidR="003D5B79" w:rsidRPr="003D5B79" w:rsidRDefault="003D5B79" w:rsidP="003D5B79">
      <w:pPr>
        <w:spacing w:after="0" w:line="240" w:lineRule="auto"/>
        <w:jc w:val="both"/>
        <w:rPr>
          <w:rFonts w:ascii="Times New Roman" w:eastAsia="Times New Roman" w:hAnsi="Times New Roman" w:cs="Times New Roman"/>
          <w:sz w:val="24"/>
          <w:szCs w:val="24"/>
          <w:lang w:val="id-ID"/>
        </w:rPr>
      </w:pPr>
      <w:r w:rsidRPr="003D5B79">
        <w:rPr>
          <w:rFonts w:ascii="Times New Roman" w:eastAsia="Times New Roman" w:hAnsi="Times New Roman" w:cs="Times New Roman"/>
          <w:sz w:val="24"/>
          <w:szCs w:val="24"/>
          <w:lang w:val="id-ID"/>
        </w:rPr>
        <w:t xml:space="preserve">Quadrant II LB3 disclosure items in this quadrant have four items. LB3 reduction efforts, LB3 utilization, LB3 recycling, LB3 management. Disclosure items in this quadrant mean that both disclosure items need to be maintained. Factors in this </w:t>
      </w:r>
      <w:r w:rsidRPr="003D5B79">
        <w:rPr>
          <w:rFonts w:ascii="Times New Roman" w:eastAsia="Times New Roman" w:hAnsi="Times New Roman" w:cs="Times New Roman"/>
          <w:sz w:val="24"/>
          <w:szCs w:val="24"/>
          <w:lang w:val="id-ID"/>
        </w:rPr>
        <w:lastRenderedPageBreak/>
        <w:t>quadrant are considered very important and satisfying in their implementation.</w:t>
      </w:r>
    </w:p>
    <w:p w14:paraId="4E736656" w14:textId="77777777" w:rsidR="003D5B79" w:rsidRPr="003D5B79" w:rsidRDefault="003D5B79" w:rsidP="003D5B79">
      <w:pPr>
        <w:spacing w:after="0" w:line="240" w:lineRule="auto"/>
        <w:jc w:val="both"/>
        <w:rPr>
          <w:rFonts w:ascii="Times New Roman" w:eastAsia="Times New Roman" w:hAnsi="Times New Roman" w:cs="Times New Roman"/>
          <w:sz w:val="24"/>
          <w:szCs w:val="24"/>
          <w:lang w:val="id-ID"/>
        </w:rPr>
      </w:pPr>
      <w:r w:rsidRPr="003D5B79">
        <w:rPr>
          <w:rFonts w:ascii="Times New Roman" w:eastAsia="Times New Roman" w:hAnsi="Times New Roman" w:cs="Times New Roman"/>
          <w:sz w:val="24"/>
          <w:szCs w:val="24"/>
          <w:lang w:val="id-ID"/>
        </w:rPr>
        <w:t>Quadrant III, LB3 disclosure items, contained in this quadrant are six items: information disclosure items for LB3 transportation, LB3 storage, LB3 disposal method, LB3 total weight based on disposal method, percentage of LB3 transported for international shipping, LB3 coaching. In this quadrant, demand considers disclosure less critical, and its implementation is less satisfying.</w:t>
      </w:r>
    </w:p>
    <w:p w14:paraId="3C29C3D0" w14:textId="77777777" w:rsidR="003D5B79" w:rsidRPr="003D5B79" w:rsidRDefault="003D5B79" w:rsidP="003D5B79">
      <w:pPr>
        <w:spacing w:after="0" w:line="240" w:lineRule="auto"/>
        <w:jc w:val="both"/>
        <w:rPr>
          <w:rFonts w:ascii="Times New Roman" w:eastAsia="Times New Roman" w:hAnsi="Times New Roman" w:cs="Times New Roman"/>
          <w:sz w:val="24"/>
          <w:szCs w:val="24"/>
          <w:lang w:val="sv-SE"/>
        </w:rPr>
      </w:pPr>
      <w:r w:rsidRPr="003D5B79">
        <w:rPr>
          <w:rFonts w:ascii="Times New Roman" w:eastAsia="Times New Roman" w:hAnsi="Times New Roman" w:cs="Times New Roman"/>
          <w:sz w:val="24"/>
          <w:szCs w:val="24"/>
          <w:lang w:val="id-ID"/>
        </w:rPr>
        <w:t>Quadrant IV of the LB3 disclosure items contained in this quadrant is none. If there is a meaning that the disclosure items are less important, but the implementation is excessive, it is considered less important but very satisfying the disclosure practice.</w:t>
      </w:r>
      <w:r w:rsidRPr="003D5B79">
        <w:rPr>
          <w:rFonts w:ascii="Times New Roman" w:eastAsia="Times New Roman" w:hAnsi="Times New Roman" w:cs="Times New Roman"/>
          <w:sz w:val="24"/>
          <w:szCs w:val="24"/>
          <w:lang w:val="sv-SE"/>
        </w:rPr>
        <w:t xml:space="preserve"> </w:t>
      </w:r>
    </w:p>
    <w:p w14:paraId="2949E2D9" w14:textId="77777777" w:rsidR="003D5B79" w:rsidRPr="003D5B79" w:rsidRDefault="003D5B79" w:rsidP="003D5B79">
      <w:pPr>
        <w:spacing w:after="0" w:line="240" w:lineRule="auto"/>
        <w:jc w:val="both"/>
        <w:rPr>
          <w:rFonts w:ascii="Times New Roman" w:eastAsia="Times New Roman" w:hAnsi="Times New Roman" w:cs="Times New Roman"/>
          <w:sz w:val="24"/>
          <w:szCs w:val="24"/>
          <w:lang w:val="sv-SE"/>
        </w:rPr>
      </w:pPr>
    </w:p>
    <w:p w14:paraId="129061F9" w14:textId="77777777" w:rsidR="003D5B79" w:rsidRPr="003D5B79" w:rsidRDefault="003D5B79" w:rsidP="003D5B79">
      <w:pPr>
        <w:tabs>
          <w:tab w:val="left" w:pos="360"/>
          <w:tab w:val="left" w:pos="450"/>
        </w:tabs>
        <w:spacing w:after="0" w:line="240" w:lineRule="auto"/>
        <w:jc w:val="both"/>
        <w:rPr>
          <w:rFonts w:ascii="Times New Roman" w:eastAsia="Times New Roman" w:hAnsi="Times New Roman" w:cs="Times New Roman"/>
          <w:b/>
          <w:sz w:val="24"/>
          <w:szCs w:val="24"/>
          <w:lang w:val="sv-SE"/>
        </w:rPr>
      </w:pPr>
      <w:r w:rsidRPr="003D5B79">
        <w:rPr>
          <w:rFonts w:ascii="Times New Roman" w:eastAsia="Times New Roman" w:hAnsi="Times New Roman" w:cs="Times New Roman"/>
          <w:b/>
          <w:sz w:val="24"/>
          <w:szCs w:val="24"/>
          <w:lang w:val="sv-SE"/>
        </w:rPr>
        <w:t>Hypothesis Test Results Independent Sample t-test</w:t>
      </w:r>
      <w:r w:rsidRPr="003D5B79">
        <w:rPr>
          <w:rFonts w:ascii="Times New Roman" w:eastAsia="Times New Roman" w:hAnsi="Times New Roman" w:cs="Times New Roman"/>
          <w:b/>
          <w:sz w:val="24"/>
          <w:szCs w:val="24"/>
        </w:rPr>
        <w:tab/>
      </w:r>
    </w:p>
    <w:p w14:paraId="480B3757" w14:textId="77777777" w:rsidR="003D5B79" w:rsidRPr="003D5B79" w:rsidRDefault="003D5B79" w:rsidP="003D5B79">
      <w:pPr>
        <w:spacing w:after="0" w:line="240" w:lineRule="auto"/>
        <w:jc w:val="both"/>
        <w:rPr>
          <w:rFonts w:ascii="Times New Roman" w:eastAsia="Times New Roman" w:hAnsi="Times New Roman" w:cs="Times New Roman"/>
          <w:sz w:val="24"/>
          <w:szCs w:val="24"/>
        </w:rPr>
      </w:pPr>
      <w:r w:rsidRPr="003D5B79">
        <w:rPr>
          <w:rFonts w:ascii="Times New Roman" w:eastAsia="Times New Roman" w:hAnsi="Times New Roman" w:cs="Times New Roman"/>
          <w:sz w:val="24"/>
          <w:szCs w:val="24"/>
        </w:rPr>
        <w:t>The results of hypothesis testing in this study were obtained as follows:</w:t>
      </w:r>
    </w:p>
    <w:p w14:paraId="7156F30C" w14:textId="77777777" w:rsidR="003D5B79" w:rsidRPr="003D5B79" w:rsidRDefault="003D5B79" w:rsidP="003D5B79">
      <w:pPr>
        <w:spacing w:after="0" w:line="240" w:lineRule="auto"/>
        <w:jc w:val="both"/>
        <w:rPr>
          <w:rFonts w:ascii="Times New Roman" w:eastAsia="Times New Roman" w:hAnsi="Times New Roman" w:cs="Times New Roman"/>
          <w:sz w:val="24"/>
          <w:szCs w:val="24"/>
        </w:rPr>
      </w:pPr>
    </w:p>
    <w:p w14:paraId="2FB70986" w14:textId="77777777" w:rsidR="009C55B3" w:rsidRDefault="009C55B3" w:rsidP="003D5B79">
      <w:pPr>
        <w:spacing w:after="0" w:line="240" w:lineRule="auto"/>
        <w:jc w:val="both"/>
        <w:rPr>
          <w:rFonts w:ascii="Times New Roman" w:eastAsia="Times New Roman" w:hAnsi="Times New Roman" w:cs="Times New Roman"/>
          <w:sz w:val="24"/>
          <w:szCs w:val="24"/>
        </w:rPr>
        <w:sectPr w:rsidR="009C55B3" w:rsidSect="009C55B3">
          <w:type w:val="continuous"/>
          <w:pgSz w:w="12240" w:h="15840"/>
          <w:pgMar w:top="1440" w:right="1440" w:bottom="1440" w:left="1440" w:header="720" w:footer="720" w:gutter="0"/>
          <w:cols w:num="2" w:space="720"/>
          <w:docGrid w:linePitch="360"/>
        </w:sectPr>
      </w:pPr>
    </w:p>
    <w:p w14:paraId="1BF51E64" w14:textId="77777777" w:rsidR="003D5B79" w:rsidRPr="003D5B79" w:rsidRDefault="003D5B79" w:rsidP="003D5B79">
      <w:pPr>
        <w:spacing w:after="0" w:line="240" w:lineRule="auto"/>
        <w:jc w:val="both"/>
        <w:rPr>
          <w:rFonts w:ascii="Times New Roman" w:eastAsia="Times New Roman" w:hAnsi="Times New Roman" w:cs="Times New Roman"/>
          <w:sz w:val="24"/>
          <w:szCs w:val="24"/>
        </w:rPr>
      </w:pPr>
    </w:p>
    <w:p w14:paraId="259BAB76" w14:textId="77777777" w:rsidR="003D5B79" w:rsidRPr="003D5B79" w:rsidRDefault="003D5B79" w:rsidP="003D5B79">
      <w:pPr>
        <w:spacing w:after="0" w:line="240" w:lineRule="auto"/>
        <w:jc w:val="both"/>
        <w:rPr>
          <w:rFonts w:ascii="Times New Roman" w:eastAsia="Times New Roman" w:hAnsi="Times New Roman" w:cs="Times New Roman"/>
          <w:bCs/>
          <w:sz w:val="24"/>
          <w:szCs w:val="24"/>
          <w:lang w:val="en-GB"/>
        </w:rPr>
      </w:pPr>
    </w:p>
    <w:p w14:paraId="600D8C22" w14:textId="77777777" w:rsidR="003D5B79" w:rsidRPr="003D5B79" w:rsidRDefault="003D5B79" w:rsidP="003D5B79">
      <w:pPr>
        <w:spacing w:after="0" w:line="240" w:lineRule="auto"/>
        <w:ind w:firstLine="562"/>
        <w:jc w:val="center"/>
        <w:rPr>
          <w:rFonts w:ascii="Times New Roman" w:eastAsia="Times New Roman" w:hAnsi="Times New Roman" w:cs="Times New Roman"/>
          <w:b/>
          <w:bCs/>
          <w:sz w:val="24"/>
          <w:szCs w:val="24"/>
          <w:lang w:val="sv-SE"/>
        </w:rPr>
      </w:pPr>
      <w:r w:rsidRPr="003D5B79">
        <w:rPr>
          <w:rFonts w:ascii="Times New Roman" w:eastAsia="Times New Roman" w:hAnsi="Times New Roman" w:cs="Times New Roman"/>
          <w:b/>
          <w:bCs/>
          <w:sz w:val="24"/>
          <w:szCs w:val="24"/>
          <w:lang w:val="sv-SE"/>
        </w:rPr>
        <w:t>Tabel 3</w:t>
      </w:r>
    </w:p>
    <w:p w14:paraId="02C5CC06" w14:textId="77777777" w:rsidR="003D5B79" w:rsidRPr="003D5B79" w:rsidRDefault="003D5B79" w:rsidP="003D5B79">
      <w:pPr>
        <w:pStyle w:val="Caption"/>
        <w:spacing w:before="0" w:after="0"/>
        <w:jc w:val="center"/>
        <w:rPr>
          <w:rFonts w:cs="Times New Roman"/>
          <w:b/>
          <w:bCs/>
          <w:i w:val="0"/>
          <w:lang w:val="sv-SE"/>
        </w:rPr>
      </w:pPr>
      <w:r w:rsidRPr="003D5B79">
        <w:rPr>
          <w:rFonts w:cs="Times New Roman"/>
          <w:b/>
          <w:i w:val="0"/>
          <w:lang w:val="id-ID"/>
        </w:rPr>
        <w:t>Independent Difference Test Results Sample t-test</w:t>
      </w:r>
    </w:p>
    <w:tbl>
      <w:tblPr>
        <w:tblW w:w="4990" w:type="dxa"/>
        <w:tblInd w:w="2268" w:type="dxa"/>
        <w:tblLook w:val="04A0" w:firstRow="1" w:lastRow="0" w:firstColumn="1" w:lastColumn="0" w:noHBand="0" w:noVBand="1"/>
      </w:tblPr>
      <w:tblGrid>
        <w:gridCol w:w="3690"/>
        <w:gridCol w:w="1300"/>
      </w:tblGrid>
      <w:tr w:rsidR="003D5B79" w:rsidRPr="003D5B79" w14:paraId="4BDE8BC1" w14:textId="77777777" w:rsidTr="00520690">
        <w:trPr>
          <w:trHeight w:val="315"/>
        </w:trPr>
        <w:tc>
          <w:tcPr>
            <w:tcW w:w="3690" w:type="dxa"/>
            <w:tcBorders>
              <w:top w:val="single" w:sz="4" w:space="0" w:color="auto"/>
              <w:left w:val="nil"/>
              <w:bottom w:val="single" w:sz="4" w:space="0" w:color="auto"/>
              <w:right w:val="nil"/>
            </w:tcBorders>
            <w:shd w:val="clear" w:color="auto" w:fill="auto"/>
            <w:noWrap/>
            <w:vAlign w:val="bottom"/>
            <w:hideMark/>
          </w:tcPr>
          <w:p w14:paraId="7930A338"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Description</w:t>
            </w:r>
          </w:p>
        </w:tc>
        <w:tc>
          <w:tcPr>
            <w:tcW w:w="1300" w:type="dxa"/>
            <w:tcBorders>
              <w:top w:val="single" w:sz="4" w:space="0" w:color="auto"/>
              <w:left w:val="nil"/>
              <w:bottom w:val="single" w:sz="4" w:space="0" w:color="auto"/>
              <w:right w:val="nil"/>
            </w:tcBorders>
            <w:shd w:val="clear" w:color="auto" w:fill="auto"/>
            <w:noWrap/>
            <w:vAlign w:val="bottom"/>
            <w:hideMark/>
          </w:tcPr>
          <w:p w14:paraId="59F29F85"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Value</w:t>
            </w:r>
          </w:p>
        </w:tc>
      </w:tr>
      <w:tr w:rsidR="003D5B79" w:rsidRPr="003D5B79" w14:paraId="5A97B501" w14:textId="77777777" w:rsidTr="00520690">
        <w:trPr>
          <w:trHeight w:val="315"/>
        </w:trPr>
        <w:tc>
          <w:tcPr>
            <w:tcW w:w="3690" w:type="dxa"/>
            <w:tcBorders>
              <w:top w:val="nil"/>
              <w:left w:val="nil"/>
              <w:bottom w:val="nil"/>
              <w:right w:val="nil"/>
            </w:tcBorders>
            <w:shd w:val="clear" w:color="auto" w:fill="auto"/>
            <w:noWrap/>
            <w:vAlign w:val="bottom"/>
            <w:hideMark/>
          </w:tcPr>
          <w:p w14:paraId="33A44E2B"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sig F</w:t>
            </w:r>
          </w:p>
        </w:tc>
        <w:tc>
          <w:tcPr>
            <w:tcW w:w="1300" w:type="dxa"/>
            <w:tcBorders>
              <w:top w:val="nil"/>
              <w:left w:val="nil"/>
              <w:bottom w:val="nil"/>
              <w:right w:val="nil"/>
            </w:tcBorders>
            <w:shd w:val="clear" w:color="auto" w:fill="auto"/>
            <w:noWrap/>
            <w:vAlign w:val="bottom"/>
            <w:hideMark/>
          </w:tcPr>
          <w:p w14:paraId="4157A668"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0.000</w:t>
            </w:r>
          </w:p>
        </w:tc>
      </w:tr>
      <w:tr w:rsidR="003D5B79" w:rsidRPr="003D5B79" w14:paraId="6A0D2063" w14:textId="77777777" w:rsidTr="00520690">
        <w:trPr>
          <w:trHeight w:val="315"/>
        </w:trPr>
        <w:tc>
          <w:tcPr>
            <w:tcW w:w="3690" w:type="dxa"/>
            <w:tcBorders>
              <w:top w:val="nil"/>
              <w:left w:val="nil"/>
              <w:bottom w:val="nil"/>
              <w:right w:val="nil"/>
            </w:tcBorders>
            <w:shd w:val="clear" w:color="auto" w:fill="auto"/>
            <w:noWrap/>
            <w:vAlign w:val="bottom"/>
            <w:hideMark/>
          </w:tcPr>
          <w:p w14:paraId="0907BD4F"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 xml:space="preserve">tt </w:t>
            </w:r>
            <w:r w:rsidRPr="003D5B79">
              <w:rPr>
                <w:rFonts w:ascii="Times New Roman" w:eastAsia="Times New Roman" w:hAnsi="Times New Roman" w:cs="Times New Roman"/>
                <w:i/>
                <w:color w:val="000000"/>
                <w:sz w:val="24"/>
                <w:szCs w:val="24"/>
              </w:rPr>
              <w:t>Equal Variance  assumed</w:t>
            </w:r>
          </w:p>
        </w:tc>
        <w:tc>
          <w:tcPr>
            <w:tcW w:w="1300" w:type="dxa"/>
            <w:tcBorders>
              <w:top w:val="nil"/>
              <w:left w:val="nil"/>
              <w:bottom w:val="nil"/>
              <w:right w:val="nil"/>
            </w:tcBorders>
            <w:shd w:val="clear" w:color="auto" w:fill="auto"/>
            <w:noWrap/>
            <w:vAlign w:val="bottom"/>
            <w:hideMark/>
          </w:tcPr>
          <w:p w14:paraId="08F6404B"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11.074</w:t>
            </w:r>
          </w:p>
        </w:tc>
      </w:tr>
      <w:tr w:rsidR="003D5B79" w:rsidRPr="003D5B79" w14:paraId="3BFE6B03" w14:textId="77777777" w:rsidTr="00520690">
        <w:trPr>
          <w:trHeight w:val="315"/>
        </w:trPr>
        <w:tc>
          <w:tcPr>
            <w:tcW w:w="3690" w:type="dxa"/>
            <w:tcBorders>
              <w:top w:val="nil"/>
              <w:left w:val="nil"/>
              <w:bottom w:val="nil"/>
              <w:right w:val="nil"/>
            </w:tcBorders>
            <w:shd w:val="clear" w:color="auto" w:fill="auto"/>
            <w:noWrap/>
            <w:vAlign w:val="bottom"/>
            <w:hideMark/>
          </w:tcPr>
          <w:p w14:paraId="14A05713"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 xml:space="preserve">t  </w:t>
            </w:r>
            <w:r w:rsidRPr="003D5B79">
              <w:rPr>
                <w:rFonts w:ascii="Times New Roman" w:eastAsia="Times New Roman" w:hAnsi="Times New Roman" w:cs="Times New Roman"/>
                <w:i/>
                <w:color w:val="000000"/>
                <w:sz w:val="24"/>
                <w:szCs w:val="24"/>
              </w:rPr>
              <w:t>Equal Variance not assumed</w:t>
            </w:r>
          </w:p>
        </w:tc>
        <w:tc>
          <w:tcPr>
            <w:tcW w:w="1300" w:type="dxa"/>
            <w:tcBorders>
              <w:top w:val="nil"/>
              <w:left w:val="nil"/>
              <w:bottom w:val="nil"/>
              <w:right w:val="nil"/>
            </w:tcBorders>
            <w:shd w:val="clear" w:color="auto" w:fill="auto"/>
            <w:noWrap/>
            <w:vAlign w:val="bottom"/>
            <w:hideMark/>
          </w:tcPr>
          <w:p w14:paraId="663936F6"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11.074</w:t>
            </w:r>
          </w:p>
        </w:tc>
      </w:tr>
      <w:tr w:rsidR="003D5B79" w:rsidRPr="003D5B79" w14:paraId="2B2478A4" w14:textId="77777777" w:rsidTr="00520690">
        <w:trPr>
          <w:trHeight w:val="315"/>
        </w:trPr>
        <w:tc>
          <w:tcPr>
            <w:tcW w:w="3690" w:type="dxa"/>
            <w:tcBorders>
              <w:top w:val="nil"/>
              <w:left w:val="nil"/>
              <w:bottom w:val="nil"/>
              <w:right w:val="nil"/>
            </w:tcBorders>
            <w:shd w:val="clear" w:color="auto" w:fill="auto"/>
            <w:noWrap/>
            <w:vAlign w:val="bottom"/>
            <w:hideMark/>
          </w:tcPr>
          <w:p w14:paraId="2A5C1E4B"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 xml:space="preserve">sig t </w:t>
            </w:r>
            <w:r w:rsidRPr="003D5B79">
              <w:rPr>
                <w:rFonts w:ascii="Times New Roman" w:eastAsia="Times New Roman" w:hAnsi="Times New Roman" w:cs="Times New Roman"/>
                <w:i/>
                <w:color w:val="000000"/>
                <w:sz w:val="24"/>
                <w:szCs w:val="24"/>
              </w:rPr>
              <w:t>Equal Variance  assumed</w:t>
            </w:r>
          </w:p>
        </w:tc>
        <w:tc>
          <w:tcPr>
            <w:tcW w:w="1300" w:type="dxa"/>
            <w:tcBorders>
              <w:top w:val="nil"/>
              <w:left w:val="nil"/>
              <w:bottom w:val="nil"/>
              <w:right w:val="nil"/>
            </w:tcBorders>
            <w:shd w:val="clear" w:color="auto" w:fill="auto"/>
            <w:noWrap/>
            <w:vAlign w:val="bottom"/>
            <w:hideMark/>
          </w:tcPr>
          <w:p w14:paraId="2B02F2AC"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0.000</w:t>
            </w:r>
          </w:p>
        </w:tc>
      </w:tr>
      <w:tr w:rsidR="003D5B79" w:rsidRPr="003D5B79" w14:paraId="1603D75F" w14:textId="77777777" w:rsidTr="00520690">
        <w:trPr>
          <w:trHeight w:val="315"/>
        </w:trPr>
        <w:tc>
          <w:tcPr>
            <w:tcW w:w="3690" w:type="dxa"/>
            <w:tcBorders>
              <w:top w:val="nil"/>
              <w:left w:val="nil"/>
              <w:bottom w:val="single" w:sz="4" w:space="0" w:color="auto"/>
              <w:right w:val="nil"/>
            </w:tcBorders>
            <w:shd w:val="clear" w:color="auto" w:fill="auto"/>
            <w:noWrap/>
            <w:vAlign w:val="bottom"/>
            <w:hideMark/>
          </w:tcPr>
          <w:p w14:paraId="31350259"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 xml:space="preserve">sig t </w:t>
            </w:r>
            <w:r w:rsidRPr="003D5B79">
              <w:rPr>
                <w:rFonts w:ascii="Times New Roman" w:eastAsia="Times New Roman" w:hAnsi="Times New Roman" w:cs="Times New Roman"/>
                <w:i/>
                <w:color w:val="000000"/>
                <w:sz w:val="24"/>
                <w:szCs w:val="24"/>
              </w:rPr>
              <w:t>Equal Variance not assumed</w:t>
            </w:r>
          </w:p>
        </w:tc>
        <w:tc>
          <w:tcPr>
            <w:tcW w:w="1300" w:type="dxa"/>
            <w:tcBorders>
              <w:top w:val="nil"/>
              <w:left w:val="nil"/>
              <w:bottom w:val="single" w:sz="4" w:space="0" w:color="auto"/>
              <w:right w:val="nil"/>
            </w:tcBorders>
            <w:shd w:val="clear" w:color="auto" w:fill="auto"/>
            <w:noWrap/>
            <w:vAlign w:val="bottom"/>
            <w:hideMark/>
          </w:tcPr>
          <w:p w14:paraId="59A7D0D8"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0.000</w:t>
            </w:r>
          </w:p>
        </w:tc>
      </w:tr>
      <w:tr w:rsidR="003D5B79" w:rsidRPr="003D5B79" w14:paraId="1CC5D5E7" w14:textId="77777777" w:rsidTr="00520690">
        <w:trPr>
          <w:trHeight w:val="315"/>
        </w:trPr>
        <w:tc>
          <w:tcPr>
            <w:tcW w:w="3690" w:type="dxa"/>
            <w:tcBorders>
              <w:top w:val="nil"/>
              <w:left w:val="nil"/>
              <w:bottom w:val="nil"/>
              <w:right w:val="nil"/>
            </w:tcBorders>
            <w:shd w:val="clear" w:color="auto" w:fill="auto"/>
            <w:noWrap/>
            <w:vAlign w:val="bottom"/>
            <w:hideMark/>
          </w:tcPr>
          <w:p w14:paraId="2C6A1661"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 xml:space="preserve">Mean </w:t>
            </w:r>
            <w:r w:rsidRPr="003D5B79">
              <w:rPr>
                <w:rFonts w:ascii="Times New Roman" w:eastAsia="Times New Roman" w:hAnsi="Times New Roman" w:cs="Times New Roman"/>
                <w:i/>
                <w:color w:val="000000"/>
                <w:sz w:val="24"/>
                <w:szCs w:val="24"/>
              </w:rPr>
              <w:t>Demand</w:t>
            </w:r>
            <w:r w:rsidRPr="003D5B79">
              <w:rPr>
                <w:rFonts w:ascii="Times New Roman" w:eastAsia="Times New Roman" w:hAnsi="Times New Roman" w:cs="Times New Roman"/>
                <w:color w:val="000000"/>
                <w:sz w:val="24"/>
                <w:szCs w:val="24"/>
              </w:rPr>
              <w:t xml:space="preserve">      85.2490</w:t>
            </w:r>
          </w:p>
        </w:tc>
        <w:tc>
          <w:tcPr>
            <w:tcW w:w="1300" w:type="dxa"/>
            <w:tcBorders>
              <w:top w:val="nil"/>
              <w:left w:val="nil"/>
              <w:bottom w:val="nil"/>
              <w:right w:val="nil"/>
            </w:tcBorders>
            <w:shd w:val="clear" w:color="auto" w:fill="auto"/>
            <w:noWrap/>
            <w:vAlign w:val="bottom"/>
            <w:hideMark/>
          </w:tcPr>
          <w:p w14:paraId="7CE949EC" w14:textId="77777777" w:rsidR="003D5B79" w:rsidRPr="003D5B79" w:rsidRDefault="003D5B79" w:rsidP="003D5B79">
            <w:pPr>
              <w:spacing w:after="0" w:line="240" w:lineRule="auto"/>
              <w:rPr>
                <w:rFonts w:ascii="Times New Roman" w:eastAsia="Times New Roman" w:hAnsi="Times New Roman" w:cs="Times New Roman"/>
                <w:sz w:val="24"/>
                <w:szCs w:val="24"/>
              </w:rPr>
            </w:pPr>
          </w:p>
        </w:tc>
      </w:tr>
      <w:tr w:rsidR="003D5B79" w:rsidRPr="003D5B79" w14:paraId="7B8E10E5" w14:textId="77777777" w:rsidTr="00520690">
        <w:trPr>
          <w:trHeight w:val="315"/>
        </w:trPr>
        <w:tc>
          <w:tcPr>
            <w:tcW w:w="3690" w:type="dxa"/>
            <w:tcBorders>
              <w:top w:val="nil"/>
              <w:left w:val="nil"/>
              <w:bottom w:val="single" w:sz="4" w:space="0" w:color="auto"/>
              <w:right w:val="nil"/>
            </w:tcBorders>
            <w:shd w:val="clear" w:color="auto" w:fill="auto"/>
            <w:noWrap/>
            <w:vAlign w:val="bottom"/>
            <w:hideMark/>
          </w:tcPr>
          <w:p w14:paraId="6CABB96F"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 xml:space="preserve"> Mean </w:t>
            </w:r>
            <w:r w:rsidRPr="003D5B79">
              <w:rPr>
                <w:rFonts w:ascii="Times New Roman" w:eastAsia="Times New Roman" w:hAnsi="Times New Roman" w:cs="Times New Roman"/>
                <w:i/>
                <w:color w:val="000000"/>
                <w:sz w:val="24"/>
                <w:szCs w:val="24"/>
              </w:rPr>
              <w:t xml:space="preserve">Supply        </w:t>
            </w:r>
            <w:r w:rsidRPr="003D5B79">
              <w:rPr>
                <w:rFonts w:ascii="Times New Roman" w:eastAsia="Times New Roman" w:hAnsi="Times New Roman" w:cs="Times New Roman"/>
                <w:color w:val="000000"/>
                <w:sz w:val="24"/>
                <w:szCs w:val="24"/>
              </w:rPr>
              <w:t>25.7510</w:t>
            </w:r>
          </w:p>
        </w:tc>
        <w:tc>
          <w:tcPr>
            <w:tcW w:w="1300" w:type="dxa"/>
            <w:tcBorders>
              <w:top w:val="nil"/>
              <w:left w:val="nil"/>
              <w:bottom w:val="single" w:sz="4" w:space="0" w:color="auto"/>
              <w:right w:val="nil"/>
            </w:tcBorders>
            <w:shd w:val="clear" w:color="auto" w:fill="auto"/>
            <w:noWrap/>
            <w:vAlign w:val="bottom"/>
            <w:hideMark/>
          </w:tcPr>
          <w:p w14:paraId="12F5D236"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 </w:t>
            </w:r>
          </w:p>
        </w:tc>
      </w:tr>
    </w:tbl>
    <w:p w14:paraId="142B12A3" w14:textId="77777777" w:rsidR="003D5B79" w:rsidRPr="003D5B79" w:rsidRDefault="003D5B79" w:rsidP="003D5B79">
      <w:pPr>
        <w:tabs>
          <w:tab w:val="left" w:pos="911"/>
        </w:tabs>
        <w:spacing w:after="0" w:line="240" w:lineRule="auto"/>
        <w:ind w:firstLine="540"/>
        <w:jc w:val="both"/>
        <w:rPr>
          <w:rFonts w:ascii="Times New Roman" w:eastAsia="Times New Roman" w:hAnsi="Times New Roman" w:cs="Times New Roman"/>
          <w:sz w:val="24"/>
          <w:szCs w:val="24"/>
        </w:rPr>
      </w:pPr>
      <w:r w:rsidRPr="003D5B79">
        <w:rPr>
          <w:rFonts w:ascii="Times New Roman" w:eastAsia="Times New Roman" w:hAnsi="Times New Roman" w:cs="Times New Roman"/>
          <w:sz w:val="24"/>
          <w:szCs w:val="24"/>
        </w:rPr>
        <w:tab/>
      </w:r>
      <w:r w:rsidRPr="003D5B79">
        <w:rPr>
          <w:rFonts w:ascii="Times New Roman" w:eastAsia="Times New Roman" w:hAnsi="Times New Roman" w:cs="Times New Roman"/>
          <w:sz w:val="24"/>
          <w:szCs w:val="24"/>
        </w:rPr>
        <w:tab/>
        <w:t xml:space="preserve">             </w:t>
      </w:r>
      <w:r w:rsidRPr="003D5B79">
        <w:rPr>
          <w:rFonts w:ascii="Times New Roman" w:hAnsi="Times New Roman" w:cs="Times New Roman"/>
          <w:sz w:val="24"/>
          <w:szCs w:val="24"/>
        </w:rPr>
        <w:t>Source: Processed Data 2021</w:t>
      </w:r>
    </w:p>
    <w:p w14:paraId="5376AAFD" w14:textId="77777777" w:rsidR="009C55B3" w:rsidRDefault="003D5B79" w:rsidP="003D5B79">
      <w:pPr>
        <w:tabs>
          <w:tab w:val="left" w:pos="360"/>
        </w:tabs>
        <w:spacing w:after="0" w:line="240" w:lineRule="auto"/>
        <w:ind w:left="360"/>
        <w:jc w:val="both"/>
        <w:rPr>
          <w:rFonts w:ascii="Times New Roman" w:eastAsia="Times New Roman" w:hAnsi="Times New Roman" w:cs="Times New Roman"/>
          <w:bCs/>
          <w:sz w:val="24"/>
          <w:szCs w:val="24"/>
          <w:lang w:val="fi-FI"/>
        </w:rPr>
        <w:sectPr w:rsidR="009C55B3" w:rsidSect="009C55B3">
          <w:type w:val="continuous"/>
          <w:pgSz w:w="12240" w:h="15840"/>
          <w:pgMar w:top="1440" w:right="1440" w:bottom="1440" w:left="1440" w:header="720" w:footer="720" w:gutter="0"/>
          <w:cols w:space="720"/>
          <w:docGrid w:linePitch="360"/>
        </w:sectPr>
      </w:pPr>
      <w:r w:rsidRPr="003D5B79">
        <w:rPr>
          <w:rFonts w:ascii="Times New Roman" w:eastAsia="Times New Roman" w:hAnsi="Times New Roman" w:cs="Times New Roman"/>
          <w:bCs/>
          <w:sz w:val="24"/>
          <w:szCs w:val="24"/>
          <w:lang w:val="fi-FI"/>
        </w:rPr>
        <w:tab/>
      </w:r>
    </w:p>
    <w:p w14:paraId="0A8A9975" w14:textId="77777777" w:rsidR="003D5B79" w:rsidRPr="003D5B79" w:rsidRDefault="003D5B79" w:rsidP="003D5B79">
      <w:pPr>
        <w:tabs>
          <w:tab w:val="left" w:pos="360"/>
        </w:tabs>
        <w:spacing w:after="0" w:line="240" w:lineRule="auto"/>
        <w:ind w:left="360"/>
        <w:jc w:val="both"/>
        <w:rPr>
          <w:rFonts w:ascii="Times New Roman" w:eastAsia="Times New Roman" w:hAnsi="Times New Roman" w:cs="Times New Roman"/>
          <w:bCs/>
          <w:sz w:val="24"/>
          <w:szCs w:val="24"/>
          <w:lang w:val="sv-SE"/>
        </w:rPr>
      </w:pPr>
      <w:r w:rsidRPr="003D5B79">
        <w:rPr>
          <w:rFonts w:ascii="Times New Roman" w:eastAsia="Times New Roman" w:hAnsi="Times New Roman" w:cs="Times New Roman"/>
          <w:sz w:val="24"/>
          <w:szCs w:val="24"/>
          <w:lang w:val="fi-FI"/>
        </w:rPr>
        <w:lastRenderedPageBreak/>
        <w:t>There is a difference in the stakeholder's expectation (demand) for the LB3 disclosure items in the annual report of manufacturing and mineral and coal companies listed on the IDX with the realization (supply) of manufacturing and mineral and coal companies listed on the IDX. Stakeholder's expectation (demand) for LB3 disclosure items 85.2490% and company supply (supply) in disclosing LB3 in the annual financial statements 25,7510%</w:t>
      </w:r>
      <w:r w:rsidRPr="003D5B79">
        <w:rPr>
          <w:rFonts w:ascii="Times New Roman" w:eastAsia="Times New Roman" w:hAnsi="Times New Roman" w:cs="Times New Roman"/>
          <w:bCs/>
          <w:sz w:val="24"/>
          <w:szCs w:val="24"/>
          <w:lang w:val="sv-SE"/>
        </w:rPr>
        <w:t xml:space="preserve">. </w:t>
      </w:r>
    </w:p>
    <w:p w14:paraId="022DE66A" w14:textId="77777777" w:rsidR="003D5B79" w:rsidRPr="003D5B79" w:rsidRDefault="003D5B79" w:rsidP="003D5B79">
      <w:pPr>
        <w:tabs>
          <w:tab w:val="left" w:pos="1080"/>
        </w:tabs>
        <w:spacing w:after="0" w:line="240" w:lineRule="auto"/>
        <w:rPr>
          <w:rFonts w:ascii="Times New Roman" w:hAnsi="Times New Roman" w:cs="Times New Roman"/>
          <w:b/>
          <w:sz w:val="24"/>
          <w:szCs w:val="24"/>
        </w:rPr>
      </w:pPr>
      <w:r w:rsidRPr="003D5B79">
        <w:rPr>
          <w:rFonts w:ascii="Times New Roman" w:hAnsi="Times New Roman" w:cs="Times New Roman"/>
          <w:b/>
          <w:sz w:val="24"/>
          <w:szCs w:val="24"/>
        </w:rPr>
        <w:lastRenderedPageBreak/>
        <w:t>LB3 Disclosure Results Based on the Order of Highest Demand</w:t>
      </w:r>
    </w:p>
    <w:p w14:paraId="35ED19DF" w14:textId="77777777" w:rsidR="003D5B79" w:rsidRPr="003D5B79" w:rsidRDefault="003D5B79" w:rsidP="003D5B79">
      <w:pPr>
        <w:tabs>
          <w:tab w:val="left" w:pos="1080"/>
        </w:tabs>
        <w:spacing w:after="0" w:line="240" w:lineRule="auto"/>
        <w:rPr>
          <w:rFonts w:ascii="Times New Roman" w:hAnsi="Times New Roman" w:cs="Times New Roman"/>
          <w:b/>
          <w:sz w:val="24"/>
          <w:szCs w:val="24"/>
        </w:rPr>
      </w:pPr>
    </w:p>
    <w:p w14:paraId="64063DAE" w14:textId="77777777" w:rsidR="003D5B79" w:rsidRPr="003D5B79" w:rsidRDefault="003D5B79" w:rsidP="003D5B79">
      <w:pPr>
        <w:tabs>
          <w:tab w:val="left" w:pos="0"/>
        </w:tabs>
        <w:spacing w:after="0" w:line="240" w:lineRule="auto"/>
        <w:jc w:val="both"/>
        <w:rPr>
          <w:rFonts w:ascii="Times New Roman" w:eastAsia="Times New Roman" w:hAnsi="Times New Roman" w:cs="Times New Roman"/>
          <w:bCs/>
          <w:sz w:val="24"/>
          <w:szCs w:val="24"/>
          <w:lang w:val="sv-SE"/>
        </w:rPr>
      </w:pPr>
      <w:r w:rsidRPr="003D5B79">
        <w:rPr>
          <w:rFonts w:ascii="Times New Roman" w:eastAsia="Times New Roman" w:hAnsi="Times New Roman" w:cs="Times New Roman"/>
          <w:bCs/>
          <w:sz w:val="24"/>
          <w:szCs w:val="24"/>
          <w:lang w:val="sv-SE"/>
        </w:rPr>
        <w:tab/>
        <w:t xml:space="preserve">The difference in the stakeholder's expectations (demand) on the LB3 disclosure items in the annual report of manufacturing and mineral and coal companies listed on the IDX with the realization (supply) of manufacturing and mineral and coal companies listed on the IDX. Stakeholders' demand for the following LB3 disclosure items: </w:t>
      </w:r>
    </w:p>
    <w:p w14:paraId="5E79197F" w14:textId="77777777" w:rsidR="009C55B3" w:rsidRDefault="009C55B3" w:rsidP="003D5B79">
      <w:pPr>
        <w:tabs>
          <w:tab w:val="left" w:pos="1080"/>
        </w:tabs>
        <w:spacing w:after="0" w:line="240" w:lineRule="auto"/>
        <w:jc w:val="center"/>
        <w:rPr>
          <w:rFonts w:ascii="Times New Roman" w:hAnsi="Times New Roman" w:cs="Times New Roman"/>
          <w:b/>
          <w:sz w:val="24"/>
          <w:szCs w:val="24"/>
        </w:rPr>
        <w:sectPr w:rsidR="009C55B3" w:rsidSect="009C55B3">
          <w:type w:val="continuous"/>
          <w:pgSz w:w="12240" w:h="15840"/>
          <w:pgMar w:top="1440" w:right="1440" w:bottom="1440" w:left="1440" w:header="720" w:footer="720" w:gutter="0"/>
          <w:cols w:num="2" w:space="720"/>
          <w:docGrid w:linePitch="360"/>
        </w:sectPr>
      </w:pPr>
    </w:p>
    <w:p w14:paraId="66D3FC72" w14:textId="77777777" w:rsidR="003D5B79" w:rsidRPr="003D5B79" w:rsidRDefault="003D5B79" w:rsidP="003D5B79">
      <w:pPr>
        <w:tabs>
          <w:tab w:val="left" w:pos="1080"/>
        </w:tabs>
        <w:spacing w:after="0" w:line="240" w:lineRule="auto"/>
        <w:jc w:val="center"/>
        <w:rPr>
          <w:rFonts w:ascii="Times New Roman" w:hAnsi="Times New Roman" w:cs="Times New Roman"/>
          <w:b/>
          <w:sz w:val="24"/>
          <w:szCs w:val="24"/>
        </w:rPr>
      </w:pPr>
    </w:p>
    <w:p w14:paraId="6D887D0D" w14:textId="77777777" w:rsidR="003D5B79" w:rsidRPr="003D5B79" w:rsidRDefault="003D5B79" w:rsidP="003D5B79">
      <w:pPr>
        <w:tabs>
          <w:tab w:val="left" w:pos="1080"/>
        </w:tabs>
        <w:spacing w:after="0" w:line="240" w:lineRule="auto"/>
        <w:jc w:val="center"/>
        <w:rPr>
          <w:rFonts w:ascii="Times New Roman" w:hAnsi="Times New Roman" w:cs="Times New Roman"/>
          <w:b/>
          <w:sz w:val="24"/>
          <w:szCs w:val="24"/>
        </w:rPr>
      </w:pPr>
      <w:r w:rsidRPr="003D5B79">
        <w:rPr>
          <w:rFonts w:ascii="Times New Roman" w:hAnsi="Times New Roman" w:cs="Times New Roman"/>
          <w:b/>
          <w:sz w:val="24"/>
          <w:szCs w:val="24"/>
        </w:rPr>
        <w:t>Table 4</w:t>
      </w:r>
    </w:p>
    <w:p w14:paraId="28323B2F" w14:textId="77777777" w:rsidR="003D5B79" w:rsidRPr="003D5B79" w:rsidRDefault="003D5B79" w:rsidP="003D5B79">
      <w:pPr>
        <w:tabs>
          <w:tab w:val="left" w:pos="1080"/>
        </w:tabs>
        <w:spacing w:after="0" w:line="240" w:lineRule="auto"/>
        <w:jc w:val="center"/>
        <w:rPr>
          <w:rFonts w:ascii="Times New Roman" w:hAnsi="Times New Roman" w:cs="Times New Roman"/>
          <w:b/>
          <w:sz w:val="24"/>
          <w:szCs w:val="24"/>
        </w:rPr>
      </w:pPr>
      <w:r w:rsidRPr="003D5B79">
        <w:rPr>
          <w:rFonts w:ascii="Times New Roman" w:hAnsi="Times New Roman" w:cs="Times New Roman"/>
          <w:b/>
          <w:sz w:val="24"/>
          <w:szCs w:val="24"/>
        </w:rPr>
        <w:t>Result Value of Demand and Supply Disclosure LB3</w:t>
      </w:r>
    </w:p>
    <w:tbl>
      <w:tblPr>
        <w:tblW w:w="8256" w:type="dxa"/>
        <w:tblLook w:val="04A0" w:firstRow="1" w:lastRow="0" w:firstColumn="1" w:lastColumn="0" w:noHBand="0" w:noVBand="1"/>
      </w:tblPr>
      <w:tblGrid>
        <w:gridCol w:w="1080"/>
        <w:gridCol w:w="5016"/>
        <w:gridCol w:w="1080"/>
        <w:gridCol w:w="1080"/>
      </w:tblGrid>
      <w:tr w:rsidR="003D5B79" w:rsidRPr="003D5B79" w14:paraId="2E44940A" w14:textId="77777777" w:rsidTr="00B9610A">
        <w:trPr>
          <w:trHeight w:val="330"/>
        </w:trPr>
        <w:tc>
          <w:tcPr>
            <w:tcW w:w="1080" w:type="dxa"/>
            <w:tcBorders>
              <w:top w:val="single" w:sz="8" w:space="0" w:color="auto"/>
              <w:left w:val="nil"/>
              <w:bottom w:val="single" w:sz="8" w:space="0" w:color="auto"/>
              <w:right w:val="nil"/>
            </w:tcBorders>
            <w:shd w:val="clear" w:color="auto" w:fill="auto"/>
            <w:noWrap/>
            <w:vAlign w:val="center"/>
            <w:hideMark/>
          </w:tcPr>
          <w:p w14:paraId="2A153D70"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Code</w:t>
            </w:r>
          </w:p>
        </w:tc>
        <w:tc>
          <w:tcPr>
            <w:tcW w:w="5016" w:type="dxa"/>
            <w:tcBorders>
              <w:top w:val="single" w:sz="8" w:space="0" w:color="auto"/>
              <w:left w:val="nil"/>
              <w:bottom w:val="single" w:sz="8" w:space="0" w:color="auto"/>
              <w:right w:val="nil"/>
            </w:tcBorders>
            <w:shd w:val="clear" w:color="auto" w:fill="auto"/>
            <w:noWrap/>
            <w:vAlign w:val="center"/>
            <w:hideMark/>
          </w:tcPr>
          <w:p w14:paraId="0BE2B07B"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Description</w:t>
            </w:r>
          </w:p>
        </w:tc>
        <w:tc>
          <w:tcPr>
            <w:tcW w:w="1080" w:type="dxa"/>
            <w:tcBorders>
              <w:top w:val="single" w:sz="8" w:space="0" w:color="auto"/>
              <w:left w:val="nil"/>
              <w:bottom w:val="single" w:sz="8" w:space="0" w:color="auto"/>
              <w:right w:val="nil"/>
            </w:tcBorders>
            <w:shd w:val="clear" w:color="auto" w:fill="auto"/>
            <w:noWrap/>
            <w:vAlign w:val="center"/>
            <w:hideMark/>
          </w:tcPr>
          <w:p w14:paraId="12991A68" w14:textId="77777777" w:rsidR="003D5B79" w:rsidRPr="003D5B79" w:rsidRDefault="003D5B79" w:rsidP="003D5B79">
            <w:pPr>
              <w:spacing w:after="0" w:line="240" w:lineRule="auto"/>
              <w:rPr>
                <w:rFonts w:ascii="Times New Roman" w:eastAsia="Times New Roman" w:hAnsi="Times New Roman" w:cs="Times New Roman"/>
                <w:i/>
                <w:iCs/>
                <w:color w:val="000000"/>
                <w:sz w:val="24"/>
                <w:szCs w:val="24"/>
              </w:rPr>
            </w:pPr>
            <w:r w:rsidRPr="003D5B79">
              <w:rPr>
                <w:rFonts w:ascii="Times New Roman" w:eastAsia="Times New Roman" w:hAnsi="Times New Roman" w:cs="Times New Roman"/>
                <w:i/>
                <w:iCs/>
                <w:color w:val="000000"/>
                <w:sz w:val="24"/>
                <w:szCs w:val="24"/>
              </w:rPr>
              <w:t>Demand</w:t>
            </w:r>
          </w:p>
        </w:tc>
        <w:tc>
          <w:tcPr>
            <w:tcW w:w="1080" w:type="dxa"/>
            <w:tcBorders>
              <w:top w:val="single" w:sz="8" w:space="0" w:color="auto"/>
              <w:left w:val="nil"/>
              <w:bottom w:val="single" w:sz="8" w:space="0" w:color="auto"/>
              <w:right w:val="nil"/>
            </w:tcBorders>
            <w:shd w:val="clear" w:color="auto" w:fill="auto"/>
            <w:noWrap/>
            <w:vAlign w:val="center"/>
            <w:hideMark/>
          </w:tcPr>
          <w:p w14:paraId="1696B258" w14:textId="77777777" w:rsidR="003D5B79" w:rsidRPr="003D5B79" w:rsidRDefault="003D5B79" w:rsidP="003D5B79">
            <w:pPr>
              <w:spacing w:after="0" w:line="240" w:lineRule="auto"/>
              <w:rPr>
                <w:rFonts w:ascii="Times New Roman" w:eastAsia="Times New Roman" w:hAnsi="Times New Roman" w:cs="Times New Roman"/>
                <w:i/>
                <w:iCs/>
                <w:color w:val="000000"/>
                <w:sz w:val="24"/>
                <w:szCs w:val="24"/>
              </w:rPr>
            </w:pPr>
            <w:r w:rsidRPr="003D5B79">
              <w:rPr>
                <w:rFonts w:ascii="Times New Roman" w:eastAsia="Times New Roman" w:hAnsi="Times New Roman" w:cs="Times New Roman"/>
                <w:i/>
                <w:iCs/>
                <w:color w:val="000000"/>
                <w:sz w:val="24"/>
                <w:szCs w:val="24"/>
              </w:rPr>
              <w:t>Supply</w:t>
            </w:r>
          </w:p>
        </w:tc>
      </w:tr>
      <w:tr w:rsidR="003D5B79" w:rsidRPr="003D5B79" w14:paraId="03559F51" w14:textId="77777777" w:rsidTr="00B9610A">
        <w:trPr>
          <w:trHeight w:val="315"/>
        </w:trPr>
        <w:tc>
          <w:tcPr>
            <w:tcW w:w="1080" w:type="dxa"/>
            <w:tcBorders>
              <w:top w:val="nil"/>
              <w:left w:val="nil"/>
              <w:bottom w:val="nil"/>
              <w:right w:val="nil"/>
            </w:tcBorders>
            <w:shd w:val="clear" w:color="auto" w:fill="auto"/>
            <w:noWrap/>
            <w:vAlign w:val="center"/>
            <w:hideMark/>
          </w:tcPr>
          <w:p w14:paraId="17F014B5"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P7</w:t>
            </w:r>
          </w:p>
        </w:tc>
        <w:tc>
          <w:tcPr>
            <w:tcW w:w="5016" w:type="dxa"/>
            <w:tcBorders>
              <w:top w:val="nil"/>
              <w:left w:val="nil"/>
              <w:bottom w:val="nil"/>
              <w:right w:val="nil"/>
            </w:tcBorders>
            <w:shd w:val="clear" w:color="auto" w:fill="auto"/>
            <w:noWrap/>
            <w:hideMark/>
          </w:tcPr>
          <w:p w14:paraId="70572BC2"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Utilization of LB3</w:t>
            </w:r>
          </w:p>
        </w:tc>
        <w:tc>
          <w:tcPr>
            <w:tcW w:w="1080" w:type="dxa"/>
            <w:tcBorders>
              <w:top w:val="nil"/>
              <w:left w:val="nil"/>
              <w:bottom w:val="nil"/>
              <w:right w:val="nil"/>
            </w:tcBorders>
            <w:shd w:val="clear" w:color="auto" w:fill="auto"/>
            <w:noWrap/>
            <w:vAlign w:val="center"/>
            <w:hideMark/>
          </w:tcPr>
          <w:p w14:paraId="5B36A0AB"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89.8</w:t>
            </w:r>
          </w:p>
        </w:tc>
        <w:tc>
          <w:tcPr>
            <w:tcW w:w="1080" w:type="dxa"/>
            <w:tcBorders>
              <w:top w:val="nil"/>
              <w:left w:val="nil"/>
              <w:bottom w:val="nil"/>
              <w:right w:val="nil"/>
            </w:tcBorders>
            <w:shd w:val="clear" w:color="auto" w:fill="auto"/>
            <w:noWrap/>
            <w:vAlign w:val="center"/>
            <w:hideMark/>
          </w:tcPr>
          <w:p w14:paraId="59BEAF3D"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70.3</w:t>
            </w:r>
          </w:p>
        </w:tc>
      </w:tr>
      <w:tr w:rsidR="003D5B79" w:rsidRPr="003D5B79" w14:paraId="5C5B1D22" w14:textId="77777777" w:rsidTr="00B9610A">
        <w:trPr>
          <w:trHeight w:val="315"/>
        </w:trPr>
        <w:tc>
          <w:tcPr>
            <w:tcW w:w="1080" w:type="dxa"/>
            <w:tcBorders>
              <w:top w:val="nil"/>
              <w:left w:val="nil"/>
              <w:bottom w:val="nil"/>
              <w:right w:val="nil"/>
            </w:tcBorders>
            <w:shd w:val="clear" w:color="auto" w:fill="auto"/>
            <w:noWrap/>
            <w:vAlign w:val="center"/>
            <w:hideMark/>
          </w:tcPr>
          <w:p w14:paraId="06CD85F9"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P8</w:t>
            </w:r>
          </w:p>
        </w:tc>
        <w:tc>
          <w:tcPr>
            <w:tcW w:w="5016" w:type="dxa"/>
            <w:tcBorders>
              <w:top w:val="nil"/>
              <w:left w:val="nil"/>
              <w:bottom w:val="nil"/>
              <w:right w:val="nil"/>
            </w:tcBorders>
            <w:shd w:val="clear" w:color="auto" w:fill="auto"/>
            <w:noWrap/>
            <w:hideMark/>
          </w:tcPr>
          <w:p w14:paraId="159966FE"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recycle</w:t>
            </w:r>
          </w:p>
        </w:tc>
        <w:tc>
          <w:tcPr>
            <w:tcW w:w="1080" w:type="dxa"/>
            <w:tcBorders>
              <w:top w:val="nil"/>
              <w:left w:val="nil"/>
              <w:bottom w:val="nil"/>
              <w:right w:val="nil"/>
            </w:tcBorders>
            <w:shd w:val="clear" w:color="auto" w:fill="auto"/>
            <w:noWrap/>
            <w:vAlign w:val="center"/>
            <w:hideMark/>
          </w:tcPr>
          <w:p w14:paraId="3910E754"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89.8</w:t>
            </w:r>
          </w:p>
        </w:tc>
        <w:tc>
          <w:tcPr>
            <w:tcW w:w="1080" w:type="dxa"/>
            <w:tcBorders>
              <w:top w:val="nil"/>
              <w:left w:val="nil"/>
              <w:bottom w:val="nil"/>
              <w:right w:val="nil"/>
            </w:tcBorders>
            <w:shd w:val="clear" w:color="auto" w:fill="auto"/>
            <w:noWrap/>
            <w:vAlign w:val="center"/>
            <w:hideMark/>
          </w:tcPr>
          <w:p w14:paraId="58875F2D"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82.3</w:t>
            </w:r>
          </w:p>
        </w:tc>
      </w:tr>
      <w:tr w:rsidR="003D5B79" w:rsidRPr="003D5B79" w14:paraId="4AAE2C02" w14:textId="77777777" w:rsidTr="00B9610A">
        <w:trPr>
          <w:trHeight w:val="315"/>
        </w:trPr>
        <w:tc>
          <w:tcPr>
            <w:tcW w:w="1080" w:type="dxa"/>
            <w:tcBorders>
              <w:top w:val="nil"/>
              <w:left w:val="nil"/>
              <w:bottom w:val="nil"/>
              <w:right w:val="nil"/>
            </w:tcBorders>
            <w:shd w:val="clear" w:color="auto" w:fill="auto"/>
            <w:noWrap/>
            <w:vAlign w:val="center"/>
            <w:hideMark/>
          </w:tcPr>
          <w:p w14:paraId="2E798EC0"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P9</w:t>
            </w:r>
          </w:p>
        </w:tc>
        <w:tc>
          <w:tcPr>
            <w:tcW w:w="5016" w:type="dxa"/>
            <w:tcBorders>
              <w:top w:val="nil"/>
              <w:left w:val="nil"/>
              <w:bottom w:val="nil"/>
              <w:right w:val="nil"/>
            </w:tcBorders>
            <w:shd w:val="clear" w:color="auto" w:fill="auto"/>
            <w:noWrap/>
            <w:hideMark/>
          </w:tcPr>
          <w:p w14:paraId="086616B9"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Pengolahan Processing</w:t>
            </w:r>
          </w:p>
        </w:tc>
        <w:tc>
          <w:tcPr>
            <w:tcW w:w="1080" w:type="dxa"/>
            <w:tcBorders>
              <w:top w:val="nil"/>
              <w:left w:val="nil"/>
              <w:bottom w:val="nil"/>
              <w:right w:val="nil"/>
            </w:tcBorders>
            <w:shd w:val="clear" w:color="auto" w:fill="auto"/>
            <w:noWrap/>
            <w:vAlign w:val="center"/>
            <w:hideMark/>
          </w:tcPr>
          <w:p w14:paraId="4F8268CF"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89.8</w:t>
            </w:r>
          </w:p>
        </w:tc>
        <w:tc>
          <w:tcPr>
            <w:tcW w:w="1080" w:type="dxa"/>
            <w:tcBorders>
              <w:top w:val="nil"/>
              <w:left w:val="nil"/>
              <w:bottom w:val="nil"/>
              <w:right w:val="nil"/>
            </w:tcBorders>
            <w:shd w:val="clear" w:color="auto" w:fill="auto"/>
            <w:noWrap/>
            <w:vAlign w:val="center"/>
            <w:hideMark/>
          </w:tcPr>
          <w:p w14:paraId="58FBB07A"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69.8</w:t>
            </w:r>
          </w:p>
        </w:tc>
      </w:tr>
      <w:tr w:rsidR="003D5B79" w:rsidRPr="003D5B79" w14:paraId="2889EB8E" w14:textId="77777777" w:rsidTr="00B9610A">
        <w:trPr>
          <w:trHeight w:val="630"/>
        </w:trPr>
        <w:tc>
          <w:tcPr>
            <w:tcW w:w="1080" w:type="dxa"/>
            <w:tcBorders>
              <w:top w:val="nil"/>
              <w:left w:val="nil"/>
              <w:bottom w:val="nil"/>
              <w:right w:val="nil"/>
            </w:tcBorders>
            <w:shd w:val="clear" w:color="auto" w:fill="auto"/>
            <w:noWrap/>
            <w:vAlign w:val="center"/>
            <w:hideMark/>
          </w:tcPr>
          <w:p w14:paraId="16DB33F4"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P15</w:t>
            </w:r>
          </w:p>
        </w:tc>
        <w:tc>
          <w:tcPr>
            <w:tcW w:w="5016" w:type="dxa"/>
            <w:tcBorders>
              <w:top w:val="nil"/>
              <w:left w:val="nil"/>
              <w:bottom w:val="nil"/>
              <w:right w:val="nil"/>
            </w:tcBorders>
            <w:shd w:val="clear" w:color="auto" w:fill="auto"/>
            <w:hideMark/>
          </w:tcPr>
          <w:p w14:paraId="7264C857"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Management of environmental pollution due to LB3</w:t>
            </w:r>
          </w:p>
        </w:tc>
        <w:tc>
          <w:tcPr>
            <w:tcW w:w="1080" w:type="dxa"/>
            <w:tcBorders>
              <w:top w:val="nil"/>
              <w:left w:val="nil"/>
              <w:bottom w:val="nil"/>
              <w:right w:val="nil"/>
            </w:tcBorders>
            <w:shd w:val="clear" w:color="auto" w:fill="auto"/>
            <w:noWrap/>
            <w:vAlign w:val="center"/>
            <w:hideMark/>
          </w:tcPr>
          <w:p w14:paraId="1F66B45C"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89.8</w:t>
            </w:r>
          </w:p>
        </w:tc>
        <w:tc>
          <w:tcPr>
            <w:tcW w:w="1080" w:type="dxa"/>
            <w:tcBorders>
              <w:top w:val="nil"/>
              <w:left w:val="nil"/>
              <w:bottom w:val="nil"/>
              <w:right w:val="nil"/>
            </w:tcBorders>
            <w:shd w:val="clear" w:color="auto" w:fill="auto"/>
            <w:noWrap/>
            <w:vAlign w:val="center"/>
            <w:hideMark/>
          </w:tcPr>
          <w:p w14:paraId="4221DF8D"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5.45</w:t>
            </w:r>
          </w:p>
        </w:tc>
      </w:tr>
      <w:tr w:rsidR="003D5B79" w:rsidRPr="003D5B79" w14:paraId="1FE572EE" w14:textId="77777777" w:rsidTr="00B9610A">
        <w:trPr>
          <w:trHeight w:val="315"/>
        </w:trPr>
        <w:tc>
          <w:tcPr>
            <w:tcW w:w="1080" w:type="dxa"/>
            <w:tcBorders>
              <w:top w:val="nil"/>
              <w:left w:val="nil"/>
              <w:bottom w:val="nil"/>
              <w:right w:val="nil"/>
            </w:tcBorders>
            <w:shd w:val="clear" w:color="auto" w:fill="auto"/>
            <w:noWrap/>
            <w:vAlign w:val="center"/>
            <w:hideMark/>
          </w:tcPr>
          <w:p w14:paraId="4E1E7D6D"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P3</w:t>
            </w:r>
          </w:p>
        </w:tc>
        <w:tc>
          <w:tcPr>
            <w:tcW w:w="5016" w:type="dxa"/>
            <w:tcBorders>
              <w:top w:val="nil"/>
              <w:left w:val="nil"/>
              <w:bottom w:val="nil"/>
              <w:right w:val="nil"/>
            </w:tcBorders>
            <w:shd w:val="clear" w:color="auto" w:fill="auto"/>
            <w:noWrap/>
            <w:hideMark/>
          </w:tcPr>
          <w:p w14:paraId="02BEAC72"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reduction efforts</w:t>
            </w:r>
          </w:p>
        </w:tc>
        <w:tc>
          <w:tcPr>
            <w:tcW w:w="1080" w:type="dxa"/>
            <w:tcBorders>
              <w:top w:val="nil"/>
              <w:left w:val="nil"/>
              <w:bottom w:val="nil"/>
              <w:right w:val="nil"/>
            </w:tcBorders>
            <w:shd w:val="clear" w:color="auto" w:fill="auto"/>
            <w:noWrap/>
            <w:vAlign w:val="center"/>
            <w:hideMark/>
          </w:tcPr>
          <w:p w14:paraId="67EA4FD4"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89.39</w:t>
            </w:r>
          </w:p>
        </w:tc>
        <w:tc>
          <w:tcPr>
            <w:tcW w:w="1080" w:type="dxa"/>
            <w:tcBorders>
              <w:top w:val="nil"/>
              <w:left w:val="nil"/>
              <w:bottom w:val="nil"/>
              <w:right w:val="nil"/>
            </w:tcBorders>
            <w:shd w:val="clear" w:color="auto" w:fill="auto"/>
            <w:noWrap/>
            <w:vAlign w:val="center"/>
            <w:hideMark/>
          </w:tcPr>
          <w:p w14:paraId="23055D9F"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76.36</w:t>
            </w:r>
          </w:p>
        </w:tc>
      </w:tr>
      <w:tr w:rsidR="003D5B79" w:rsidRPr="003D5B79" w14:paraId="42FD0B29" w14:textId="77777777" w:rsidTr="00B9610A">
        <w:trPr>
          <w:trHeight w:val="630"/>
        </w:trPr>
        <w:tc>
          <w:tcPr>
            <w:tcW w:w="1080" w:type="dxa"/>
            <w:tcBorders>
              <w:top w:val="nil"/>
              <w:left w:val="nil"/>
              <w:bottom w:val="nil"/>
              <w:right w:val="nil"/>
            </w:tcBorders>
            <w:shd w:val="clear" w:color="auto" w:fill="auto"/>
            <w:noWrap/>
            <w:vAlign w:val="center"/>
            <w:hideMark/>
          </w:tcPr>
          <w:p w14:paraId="4076E9F4"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P16</w:t>
            </w:r>
          </w:p>
        </w:tc>
        <w:tc>
          <w:tcPr>
            <w:tcW w:w="5016" w:type="dxa"/>
            <w:tcBorders>
              <w:top w:val="nil"/>
              <w:left w:val="nil"/>
              <w:bottom w:val="nil"/>
              <w:right w:val="nil"/>
            </w:tcBorders>
            <w:shd w:val="clear" w:color="auto" w:fill="auto"/>
            <w:hideMark/>
          </w:tcPr>
          <w:p w14:paraId="2CFA1926"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Emergency response system in the management of LB3</w:t>
            </w:r>
          </w:p>
        </w:tc>
        <w:tc>
          <w:tcPr>
            <w:tcW w:w="1080" w:type="dxa"/>
            <w:tcBorders>
              <w:top w:val="nil"/>
              <w:left w:val="nil"/>
              <w:bottom w:val="nil"/>
              <w:right w:val="nil"/>
            </w:tcBorders>
            <w:shd w:val="clear" w:color="auto" w:fill="auto"/>
            <w:noWrap/>
            <w:vAlign w:val="center"/>
            <w:hideMark/>
          </w:tcPr>
          <w:p w14:paraId="11A382AD"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87.76</w:t>
            </w:r>
          </w:p>
        </w:tc>
        <w:tc>
          <w:tcPr>
            <w:tcW w:w="1080" w:type="dxa"/>
            <w:tcBorders>
              <w:top w:val="nil"/>
              <w:left w:val="nil"/>
              <w:bottom w:val="nil"/>
              <w:right w:val="nil"/>
            </w:tcBorders>
            <w:shd w:val="clear" w:color="auto" w:fill="auto"/>
            <w:noWrap/>
            <w:vAlign w:val="center"/>
            <w:hideMark/>
          </w:tcPr>
          <w:p w14:paraId="48D8DF58"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7.3</w:t>
            </w:r>
          </w:p>
        </w:tc>
      </w:tr>
      <w:tr w:rsidR="003D5B79" w:rsidRPr="003D5B79" w14:paraId="43A8E0EA" w14:textId="77777777" w:rsidTr="00B9610A">
        <w:trPr>
          <w:trHeight w:val="315"/>
        </w:trPr>
        <w:tc>
          <w:tcPr>
            <w:tcW w:w="1080" w:type="dxa"/>
            <w:tcBorders>
              <w:top w:val="nil"/>
              <w:left w:val="nil"/>
              <w:bottom w:val="nil"/>
              <w:right w:val="nil"/>
            </w:tcBorders>
            <w:shd w:val="clear" w:color="auto" w:fill="auto"/>
            <w:noWrap/>
            <w:vAlign w:val="center"/>
            <w:hideMark/>
          </w:tcPr>
          <w:p w14:paraId="00A1F5B8"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P20</w:t>
            </w:r>
          </w:p>
        </w:tc>
        <w:tc>
          <w:tcPr>
            <w:tcW w:w="5016" w:type="dxa"/>
            <w:tcBorders>
              <w:top w:val="nil"/>
              <w:left w:val="nil"/>
              <w:bottom w:val="nil"/>
              <w:right w:val="nil"/>
            </w:tcBorders>
            <w:shd w:val="clear" w:color="auto" w:fill="auto"/>
            <w:noWrap/>
            <w:hideMark/>
          </w:tcPr>
          <w:p w14:paraId="605C54CE"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Cause LB3</w:t>
            </w:r>
          </w:p>
        </w:tc>
        <w:tc>
          <w:tcPr>
            <w:tcW w:w="1080" w:type="dxa"/>
            <w:tcBorders>
              <w:top w:val="nil"/>
              <w:left w:val="nil"/>
              <w:bottom w:val="nil"/>
              <w:right w:val="nil"/>
            </w:tcBorders>
            <w:shd w:val="clear" w:color="auto" w:fill="auto"/>
            <w:noWrap/>
            <w:vAlign w:val="center"/>
            <w:hideMark/>
          </w:tcPr>
          <w:p w14:paraId="512E4F2F"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87.35</w:t>
            </w:r>
          </w:p>
        </w:tc>
        <w:tc>
          <w:tcPr>
            <w:tcW w:w="1080" w:type="dxa"/>
            <w:tcBorders>
              <w:top w:val="nil"/>
              <w:left w:val="nil"/>
              <w:bottom w:val="nil"/>
              <w:right w:val="nil"/>
            </w:tcBorders>
            <w:shd w:val="clear" w:color="auto" w:fill="auto"/>
            <w:noWrap/>
            <w:vAlign w:val="center"/>
            <w:hideMark/>
          </w:tcPr>
          <w:p w14:paraId="78A09609"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15.59</w:t>
            </w:r>
          </w:p>
        </w:tc>
      </w:tr>
      <w:tr w:rsidR="003D5B79" w:rsidRPr="003D5B79" w14:paraId="551C119B" w14:textId="77777777" w:rsidTr="00B9610A">
        <w:trPr>
          <w:trHeight w:val="315"/>
        </w:trPr>
        <w:tc>
          <w:tcPr>
            <w:tcW w:w="1080" w:type="dxa"/>
            <w:tcBorders>
              <w:top w:val="nil"/>
              <w:left w:val="nil"/>
              <w:bottom w:val="nil"/>
              <w:right w:val="nil"/>
            </w:tcBorders>
            <w:shd w:val="clear" w:color="auto" w:fill="auto"/>
            <w:noWrap/>
            <w:vAlign w:val="center"/>
            <w:hideMark/>
          </w:tcPr>
          <w:p w14:paraId="40C93E69"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P18</w:t>
            </w:r>
          </w:p>
        </w:tc>
        <w:tc>
          <w:tcPr>
            <w:tcW w:w="5016" w:type="dxa"/>
            <w:tcBorders>
              <w:top w:val="nil"/>
              <w:left w:val="nil"/>
              <w:bottom w:val="nil"/>
              <w:right w:val="nil"/>
            </w:tcBorders>
            <w:shd w:val="clear" w:color="auto" w:fill="auto"/>
            <w:noWrap/>
            <w:hideMark/>
          </w:tcPr>
          <w:p w14:paraId="036C0DFA"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Supervision</w:t>
            </w:r>
          </w:p>
        </w:tc>
        <w:tc>
          <w:tcPr>
            <w:tcW w:w="1080" w:type="dxa"/>
            <w:tcBorders>
              <w:top w:val="nil"/>
              <w:left w:val="nil"/>
              <w:bottom w:val="nil"/>
              <w:right w:val="nil"/>
            </w:tcBorders>
            <w:shd w:val="clear" w:color="auto" w:fill="auto"/>
            <w:noWrap/>
            <w:vAlign w:val="center"/>
            <w:hideMark/>
          </w:tcPr>
          <w:p w14:paraId="6360DC67"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86.12</w:t>
            </w:r>
          </w:p>
        </w:tc>
        <w:tc>
          <w:tcPr>
            <w:tcW w:w="1080" w:type="dxa"/>
            <w:tcBorders>
              <w:top w:val="nil"/>
              <w:left w:val="nil"/>
              <w:bottom w:val="nil"/>
              <w:right w:val="nil"/>
            </w:tcBorders>
            <w:shd w:val="clear" w:color="auto" w:fill="auto"/>
            <w:noWrap/>
            <w:vAlign w:val="center"/>
            <w:hideMark/>
          </w:tcPr>
          <w:p w14:paraId="15F4382F"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30.94</w:t>
            </w:r>
          </w:p>
        </w:tc>
      </w:tr>
      <w:tr w:rsidR="003D5B79" w:rsidRPr="003D5B79" w14:paraId="3F6521B7" w14:textId="77777777" w:rsidTr="00B9610A">
        <w:trPr>
          <w:trHeight w:val="315"/>
        </w:trPr>
        <w:tc>
          <w:tcPr>
            <w:tcW w:w="1080" w:type="dxa"/>
            <w:tcBorders>
              <w:top w:val="nil"/>
              <w:left w:val="nil"/>
              <w:bottom w:val="nil"/>
              <w:right w:val="nil"/>
            </w:tcBorders>
            <w:shd w:val="clear" w:color="auto" w:fill="auto"/>
            <w:noWrap/>
            <w:vAlign w:val="center"/>
            <w:hideMark/>
          </w:tcPr>
          <w:p w14:paraId="30DC396E"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P19</w:t>
            </w:r>
          </w:p>
        </w:tc>
        <w:tc>
          <w:tcPr>
            <w:tcW w:w="5016" w:type="dxa"/>
            <w:tcBorders>
              <w:top w:val="nil"/>
              <w:left w:val="nil"/>
              <w:bottom w:val="nil"/>
              <w:right w:val="nil"/>
            </w:tcBorders>
            <w:shd w:val="clear" w:color="auto" w:fill="auto"/>
            <w:noWrap/>
            <w:hideMark/>
          </w:tcPr>
          <w:p w14:paraId="0B940DCD"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Total spill volume LB3</w:t>
            </w:r>
          </w:p>
        </w:tc>
        <w:tc>
          <w:tcPr>
            <w:tcW w:w="1080" w:type="dxa"/>
            <w:tcBorders>
              <w:top w:val="nil"/>
              <w:left w:val="nil"/>
              <w:bottom w:val="nil"/>
              <w:right w:val="nil"/>
            </w:tcBorders>
            <w:shd w:val="clear" w:color="auto" w:fill="auto"/>
            <w:noWrap/>
            <w:vAlign w:val="center"/>
            <w:hideMark/>
          </w:tcPr>
          <w:p w14:paraId="49E226F9"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86.12</w:t>
            </w:r>
          </w:p>
        </w:tc>
        <w:tc>
          <w:tcPr>
            <w:tcW w:w="1080" w:type="dxa"/>
            <w:tcBorders>
              <w:top w:val="nil"/>
              <w:left w:val="nil"/>
              <w:bottom w:val="nil"/>
              <w:right w:val="nil"/>
            </w:tcBorders>
            <w:shd w:val="clear" w:color="auto" w:fill="auto"/>
            <w:noWrap/>
            <w:vAlign w:val="center"/>
            <w:hideMark/>
          </w:tcPr>
          <w:p w14:paraId="03FDEC76"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0.12</w:t>
            </w:r>
          </w:p>
        </w:tc>
      </w:tr>
      <w:tr w:rsidR="003D5B79" w:rsidRPr="003D5B79" w14:paraId="020B7ABB" w14:textId="77777777" w:rsidTr="00B9610A">
        <w:trPr>
          <w:trHeight w:val="315"/>
        </w:trPr>
        <w:tc>
          <w:tcPr>
            <w:tcW w:w="1080" w:type="dxa"/>
            <w:tcBorders>
              <w:top w:val="nil"/>
              <w:left w:val="nil"/>
              <w:bottom w:val="nil"/>
              <w:right w:val="nil"/>
            </w:tcBorders>
            <w:shd w:val="clear" w:color="auto" w:fill="auto"/>
            <w:noWrap/>
            <w:vAlign w:val="center"/>
            <w:hideMark/>
          </w:tcPr>
          <w:p w14:paraId="25CB41D3"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P21</w:t>
            </w:r>
          </w:p>
        </w:tc>
        <w:tc>
          <w:tcPr>
            <w:tcW w:w="5016" w:type="dxa"/>
            <w:tcBorders>
              <w:top w:val="nil"/>
              <w:left w:val="nil"/>
              <w:bottom w:val="nil"/>
              <w:right w:val="nil"/>
            </w:tcBorders>
            <w:shd w:val="clear" w:color="auto" w:fill="auto"/>
            <w:noWrap/>
            <w:hideMark/>
          </w:tcPr>
          <w:p w14:paraId="01A8F50D"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Perawatan care</w:t>
            </w:r>
          </w:p>
        </w:tc>
        <w:tc>
          <w:tcPr>
            <w:tcW w:w="1080" w:type="dxa"/>
            <w:tcBorders>
              <w:top w:val="nil"/>
              <w:left w:val="nil"/>
              <w:bottom w:val="nil"/>
              <w:right w:val="nil"/>
            </w:tcBorders>
            <w:shd w:val="clear" w:color="auto" w:fill="auto"/>
            <w:noWrap/>
            <w:vAlign w:val="center"/>
            <w:hideMark/>
          </w:tcPr>
          <w:p w14:paraId="49CDAC71"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85.71</w:t>
            </w:r>
          </w:p>
        </w:tc>
        <w:tc>
          <w:tcPr>
            <w:tcW w:w="1080" w:type="dxa"/>
            <w:tcBorders>
              <w:top w:val="nil"/>
              <w:left w:val="nil"/>
              <w:bottom w:val="nil"/>
              <w:right w:val="nil"/>
            </w:tcBorders>
            <w:shd w:val="clear" w:color="auto" w:fill="auto"/>
            <w:noWrap/>
            <w:vAlign w:val="center"/>
            <w:hideMark/>
          </w:tcPr>
          <w:p w14:paraId="725D5825"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26.61</w:t>
            </w:r>
          </w:p>
        </w:tc>
      </w:tr>
      <w:tr w:rsidR="003D5B79" w:rsidRPr="003D5B79" w14:paraId="2CBFE354" w14:textId="77777777" w:rsidTr="00B9610A">
        <w:trPr>
          <w:trHeight w:val="315"/>
        </w:trPr>
        <w:tc>
          <w:tcPr>
            <w:tcW w:w="1080" w:type="dxa"/>
            <w:tcBorders>
              <w:top w:val="nil"/>
              <w:left w:val="nil"/>
              <w:bottom w:val="nil"/>
              <w:right w:val="nil"/>
            </w:tcBorders>
            <w:shd w:val="clear" w:color="auto" w:fill="auto"/>
            <w:noWrap/>
            <w:vAlign w:val="center"/>
            <w:hideMark/>
          </w:tcPr>
          <w:p w14:paraId="0D701202"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P13</w:t>
            </w:r>
          </w:p>
        </w:tc>
        <w:tc>
          <w:tcPr>
            <w:tcW w:w="5016" w:type="dxa"/>
            <w:tcBorders>
              <w:top w:val="nil"/>
              <w:left w:val="nil"/>
              <w:bottom w:val="nil"/>
              <w:right w:val="nil"/>
            </w:tcBorders>
            <w:shd w:val="clear" w:color="auto" w:fill="auto"/>
            <w:noWrap/>
            <w:hideMark/>
          </w:tcPr>
          <w:p w14:paraId="1F6F8171"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utilization permit</w:t>
            </w:r>
          </w:p>
        </w:tc>
        <w:tc>
          <w:tcPr>
            <w:tcW w:w="1080" w:type="dxa"/>
            <w:tcBorders>
              <w:top w:val="nil"/>
              <w:left w:val="nil"/>
              <w:bottom w:val="nil"/>
              <w:right w:val="nil"/>
            </w:tcBorders>
            <w:shd w:val="clear" w:color="auto" w:fill="auto"/>
            <w:noWrap/>
            <w:vAlign w:val="center"/>
            <w:hideMark/>
          </w:tcPr>
          <w:p w14:paraId="13C584B3"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85.31</w:t>
            </w:r>
          </w:p>
        </w:tc>
        <w:tc>
          <w:tcPr>
            <w:tcW w:w="1080" w:type="dxa"/>
            <w:tcBorders>
              <w:top w:val="nil"/>
              <w:left w:val="nil"/>
              <w:bottom w:val="nil"/>
              <w:right w:val="nil"/>
            </w:tcBorders>
            <w:shd w:val="clear" w:color="auto" w:fill="auto"/>
            <w:noWrap/>
            <w:vAlign w:val="center"/>
            <w:hideMark/>
          </w:tcPr>
          <w:p w14:paraId="1B8086CB"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13.99</w:t>
            </w:r>
          </w:p>
        </w:tc>
      </w:tr>
      <w:tr w:rsidR="003D5B79" w:rsidRPr="003D5B79" w14:paraId="0937E82E" w14:textId="77777777" w:rsidTr="00B9610A">
        <w:trPr>
          <w:trHeight w:val="315"/>
        </w:trPr>
        <w:tc>
          <w:tcPr>
            <w:tcW w:w="1080" w:type="dxa"/>
            <w:tcBorders>
              <w:top w:val="nil"/>
              <w:left w:val="nil"/>
              <w:bottom w:val="nil"/>
              <w:right w:val="nil"/>
            </w:tcBorders>
            <w:shd w:val="clear" w:color="auto" w:fill="auto"/>
            <w:noWrap/>
            <w:vAlign w:val="center"/>
            <w:hideMark/>
          </w:tcPr>
          <w:p w14:paraId="5880CF3A"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lastRenderedPageBreak/>
              <w:t>P4</w:t>
            </w:r>
          </w:p>
        </w:tc>
        <w:tc>
          <w:tcPr>
            <w:tcW w:w="5016" w:type="dxa"/>
            <w:tcBorders>
              <w:top w:val="nil"/>
              <w:left w:val="nil"/>
              <w:bottom w:val="nil"/>
              <w:right w:val="nil"/>
            </w:tcBorders>
            <w:shd w:val="clear" w:color="auto" w:fill="auto"/>
            <w:noWrap/>
            <w:hideMark/>
          </w:tcPr>
          <w:p w14:paraId="609AC95F"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Penyimpanan Storage</w:t>
            </w:r>
          </w:p>
        </w:tc>
        <w:tc>
          <w:tcPr>
            <w:tcW w:w="1080" w:type="dxa"/>
            <w:tcBorders>
              <w:top w:val="nil"/>
              <w:left w:val="nil"/>
              <w:bottom w:val="nil"/>
              <w:right w:val="nil"/>
            </w:tcBorders>
            <w:shd w:val="clear" w:color="auto" w:fill="auto"/>
            <w:noWrap/>
            <w:vAlign w:val="center"/>
            <w:hideMark/>
          </w:tcPr>
          <w:p w14:paraId="2D2C3188"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84.9</w:t>
            </w:r>
          </w:p>
        </w:tc>
        <w:tc>
          <w:tcPr>
            <w:tcW w:w="1080" w:type="dxa"/>
            <w:tcBorders>
              <w:top w:val="nil"/>
              <w:left w:val="nil"/>
              <w:bottom w:val="nil"/>
              <w:right w:val="nil"/>
            </w:tcBorders>
            <w:shd w:val="clear" w:color="auto" w:fill="auto"/>
            <w:noWrap/>
            <w:vAlign w:val="center"/>
            <w:hideMark/>
          </w:tcPr>
          <w:p w14:paraId="1374F717"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39.73</w:t>
            </w:r>
          </w:p>
        </w:tc>
      </w:tr>
      <w:tr w:rsidR="003D5B79" w:rsidRPr="003D5B79" w14:paraId="0C24E2C6" w14:textId="77777777" w:rsidTr="00B9610A">
        <w:trPr>
          <w:trHeight w:val="315"/>
        </w:trPr>
        <w:tc>
          <w:tcPr>
            <w:tcW w:w="1080" w:type="dxa"/>
            <w:tcBorders>
              <w:top w:val="nil"/>
              <w:left w:val="nil"/>
              <w:bottom w:val="nil"/>
              <w:right w:val="nil"/>
            </w:tcBorders>
            <w:shd w:val="clear" w:color="auto" w:fill="auto"/>
            <w:noWrap/>
            <w:vAlign w:val="center"/>
            <w:hideMark/>
          </w:tcPr>
          <w:p w14:paraId="40D2D061"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P5</w:t>
            </w:r>
          </w:p>
        </w:tc>
        <w:tc>
          <w:tcPr>
            <w:tcW w:w="5016" w:type="dxa"/>
            <w:tcBorders>
              <w:top w:val="nil"/>
              <w:left w:val="nil"/>
              <w:bottom w:val="nil"/>
              <w:right w:val="nil"/>
            </w:tcBorders>
            <w:shd w:val="clear" w:color="auto" w:fill="auto"/>
            <w:noWrap/>
            <w:hideMark/>
          </w:tcPr>
          <w:p w14:paraId="7290DE65"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Collection</w:t>
            </w:r>
          </w:p>
        </w:tc>
        <w:tc>
          <w:tcPr>
            <w:tcW w:w="1080" w:type="dxa"/>
            <w:tcBorders>
              <w:top w:val="nil"/>
              <w:left w:val="nil"/>
              <w:bottom w:val="nil"/>
              <w:right w:val="nil"/>
            </w:tcBorders>
            <w:shd w:val="clear" w:color="auto" w:fill="auto"/>
            <w:noWrap/>
            <w:vAlign w:val="center"/>
            <w:hideMark/>
          </w:tcPr>
          <w:p w14:paraId="3AB0BBA2"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84.9</w:t>
            </w:r>
          </w:p>
        </w:tc>
        <w:tc>
          <w:tcPr>
            <w:tcW w:w="1080" w:type="dxa"/>
            <w:tcBorders>
              <w:top w:val="nil"/>
              <w:left w:val="nil"/>
              <w:bottom w:val="nil"/>
              <w:right w:val="nil"/>
            </w:tcBorders>
            <w:shd w:val="clear" w:color="auto" w:fill="auto"/>
            <w:noWrap/>
            <w:vAlign w:val="center"/>
            <w:hideMark/>
          </w:tcPr>
          <w:p w14:paraId="291B01E8"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40.47</w:t>
            </w:r>
          </w:p>
        </w:tc>
      </w:tr>
      <w:tr w:rsidR="003D5B79" w:rsidRPr="003D5B79" w14:paraId="6842441C" w14:textId="77777777" w:rsidTr="00B9610A">
        <w:trPr>
          <w:trHeight w:val="315"/>
        </w:trPr>
        <w:tc>
          <w:tcPr>
            <w:tcW w:w="1080" w:type="dxa"/>
            <w:tcBorders>
              <w:top w:val="nil"/>
              <w:left w:val="nil"/>
              <w:bottom w:val="nil"/>
              <w:right w:val="nil"/>
            </w:tcBorders>
            <w:shd w:val="clear" w:color="auto" w:fill="auto"/>
            <w:noWrap/>
            <w:vAlign w:val="center"/>
            <w:hideMark/>
          </w:tcPr>
          <w:p w14:paraId="7E1C6FF6"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w:t>
            </w:r>
          </w:p>
        </w:tc>
        <w:tc>
          <w:tcPr>
            <w:tcW w:w="5016" w:type="dxa"/>
            <w:tcBorders>
              <w:top w:val="nil"/>
              <w:left w:val="nil"/>
              <w:bottom w:val="nil"/>
              <w:right w:val="nil"/>
            </w:tcBorders>
            <w:shd w:val="clear" w:color="auto" w:fill="auto"/>
            <w:noWrap/>
            <w:hideMark/>
          </w:tcPr>
          <w:p w14:paraId="24002CC0"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Type LB3</w:t>
            </w:r>
          </w:p>
        </w:tc>
        <w:tc>
          <w:tcPr>
            <w:tcW w:w="1080" w:type="dxa"/>
            <w:tcBorders>
              <w:top w:val="nil"/>
              <w:left w:val="nil"/>
              <w:bottom w:val="nil"/>
              <w:right w:val="nil"/>
            </w:tcBorders>
            <w:shd w:val="clear" w:color="auto" w:fill="auto"/>
            <w:noWrap/>
            <w:vAlign w:val="center"/>
            <w:hideMark/>
          </w:tcPr>
          <w:p w14:paraId="35C1894F"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84.49</w:t>
            </w:r>
          </w:p>
        </w:tc>
        <w:tc>
          <w:tcPr>
            <w:tcW w:w="1080" w:type="dxa"/>
            <w:tcBorders>
              <w:top w:val="nil"/>
              <w:left w:val="nil"/>
              <w:bottom w:val="nil"/>
              <w:right w:val="nil"/>
            </w:tcBorders>
            <w:shd w:val="clear" w:color="auto" w:fill="auto"/>
            <w:noWrap/>
            <w:vAlign w:val="center"/>
            <w:hideMark/>
          </w:tcPr>
          <w:p w14:paraId="5CBD6115"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37</w:t>
            </w:r>
          </w:p>
        </w:tc>
      </w:tr>
      <w:tr w:rsidR="003D5B79" w:rsidRPr="003D5B79" w14:paraId="716A784B" w14:textId="77777777" w:rsidTr="00B9610A">
        <w:trPr>
          <w:trHeight w:val="315"/>
        </w:trPr>
        <w:tc>
          <w:tcPr>
            <w:tcW w:w="1080" w:type="dxa"/>
            <w:tcBorders>
              <w:top w:val="nil"/>
              <w:left w:val="nil"/>
              <w:bottom w:val="nil"/>
              <w:right w:val="nil"/>
            </w:tcBorders>
            <w:shd w:val="clear" w:color="auto" w:fill="auto"/>
            <w:noWrap/>
            <w:vAlign w:val="center"/>
            <w:hideMark/>
          </w:tcPr>
          <w:p w14:paraId="513BCC13"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P2</w:t>
            </w:r>
          </w:p>
        </w:tc>
        <w:tc>
          <w:tcPr>
            <w:tcW w:w="5016" w:type="dxa"/>
            <w:tcBorders>
              <w:top w:val="nil"/>
              <w:left w:val="nil"/>
              <w:bottom w:val="nil"/>
              <w:right w:val="nil"/>
            </w:tcBorders>
            <w:shd w:val="clear" w:color="auto" w:fill="auto"/>
            <w:noWrap/>
            <w:hideMark/>
          </w:tcPr>
          <w:p w14:paraId="7E10CFF0"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Total weight of waste by type</w:t>
            </w:r>
          </w:p>
        </w:tc>
        <w:tc>
          <w:tcPr>
            <w:tcW w:w="1080" w:type="dxa"/>
            <w:tcBorders>
              <w:top w:val="nil"/>
              <w:left w:val="nil"/>
              <w:bottom w:val="nil"/>
              <w:right w:val="nil"/>
            </w:tcBorders>
            <w:shd w:val="clear" w:color="auto" w:fill="auto"/>
            <w:noWrap/>
            <w:vAlign w:val="center"/>
            <w:hideMark/>
          </w:tcPr>
          <w:p w14:paraId="66061EA0"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84.08</w:t>
            </w:r>
          </w:p>
        </w:tc>
        <w:tc>
          <w:tcPr>
            <w:tcW w:w="1080" w:type="dxa"/>
            <w:tcBorders>
              <w:top w:val="nil"/>
              <w:left w:val="nil"/>
              <w:bottom w:val="nil"/>
              <w:right w:val="nil"/>
            </w:tcBorders>
            <w:shd w:val="clear" w:color="auto" w:fill="auto"/>
            <w:noWrap/>
            <w:vAlign w:val="center"/>
            <w:hideMark/>
          </w:tcPr>
          <w:p w14:paraId="13D1C475"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6.93</w:t>
            </w:r>
          </w:p>
        </w:tc>
      </w:tr>
      <w:tr w:rsidR="003D5B79" w:rsidRPr="003D5B79" w14:paraId="465F4731" w14:textId="77777777" w:rsidTr="00B9610A">
        <w:trPr>
          <w:trHeight w:val="315"/>
        </w:trPr>
        <w:tc>
          <w:tcPr>
            <w:tcW w:w="1080" w:type="dxa"/>
            <w:tcBorders>
              <w:top w:val="nil"/>
              <w:left w:val="nil"/>
              <w:bottom w:val="nil"/>
              <w:right w:val="nil"/>
            </w:tcBorders>
            <w:shd w:val="clear" w:color="auto" w:fill="auto"/>
            <w:noWrap/>
            <w:vAlign w:val="center"/>
            <w:hideMark/>
          </w:tcPr>
          <w:p w14:paraId="1C95D381"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P17</w:t>
            </w:r>
          </w:p>
        </w:tc>
        <w:tc>
          <w:tcPr>
            <w:tcW w:w="5016" w:type="dxa"/>
            <w:tcBorders>
              <w:top w:val="nil"/>
              <w:left w:val="nil"/>
              <w:bottom w:val="nil"/>
              <w:right w:val="nil"/>
            </w:tcBorders>
            <w:shd w:val="clear" w:color="auto" w:fill="auto"/>
            <w:noWrap/>
            <w:hideMark/>
          </w:tcPr>
          <w:p w14:paraId="3ADFB1E3"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coaching</w:t>
            </w:r>
          </w:p>
        </w:tc>
        <w:tc>
          <w:tcPr>
            <w:tcW w:w="1080" w:type="dxa"/>
            <w:tcBorders>
              <w:top w:val="nil"/>
              <w:left w:val="nil"/>
              <w:bottom w:val="nil"/>
              <w:right w:val="nil"/>
            </w:tcBorders>
            <w:shd w:val="clear" w:color="auto" w:fill="auto"/>
            <w:noWrap/>
            <w:vAlign w:val="center"/>
            <w:hideMark/>
          </w:tcPr>
          <w:p w14:paraId="32B829E2"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83.27</w:t>
            </w:r>
          </w:p>
        </w:tc>
        <w:tc>
          <w:tcPr>
            <w:tcW w:w="1080" w:type="dxa"/>
            <w:tcBorders>
              <w:top w:val="nil"/>
              <w:left w:val="nil"/>
              <w:bottom w:val="nil"/>
              <w:right w:val="nil"/>
            </w:tcBorders>
            <w:shd w:val="clear" w:color="auto" w:fill="auto"/>
            <w:noWrap/>
            <w:vAlign w:val="center"/>
            <w:hideMark/>
          </w:tcPr>
          <w:p w14:paraId="5E2B8377"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9.9</w:t>
            </w:r>
          </w:p>
        </w:tc>
      </w:tr>
      <w:tr w:rsidR="003D5B79" w:rsidRPr="003D5B79" w14:paraId="6B3EF76A" w14:textId="77777777" w:rsidTr="00B9610A">
        <w:trPr>
          <w:trHeight w:val="315"/>
        </w:trPr>
        <w:tc>
          <w:tcPr>
            <w:tcW w:w="1080" w:type="dxa"/>
            <w:tcBorders>
              <w:top w:val="nil"/>
              <w:left w:val="nil"/>
              <w:bottom w:val="nil"/>
              <w:right w:val="nil"/>
            </w:tcBorders>
            <w:shd w:val="clear" w:color="auto" w:fill="auto"/>
            <w:noWrap/>
            <w:vAlign w:val="center"/>
            <w:hideMark/>
          </w:tcPr>
          <w:p w14:paraId="503B1045"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P11</w:t>
            </w:r>
          </w:p>
        </w:tc>
        <w:tc>
          <w:tcPr>
            <w:tcW w:w="5016" w:type="dxa"/>
            <w:tcBorders>
              <w:top w:val="nil"/>
              <w:left w:val="nil"/>
              <w:bottom w:val="nil"/>
              <w:right w:val="nil"/>
            </w:tcBorders>
            <w:shd w:val="clear" w:color="auto" w:fill="auto"/>
            <w:noWrap/>
            <w:hideMark/>
          </w:tcPr>
          <w:p w14:paraId="04EC0F5F"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dispensing disposal method</w:t>
            </w:r>
          </w:p>
        </w:tc>
        <w:tc>
          <w:tcPr>
            <w:tcW w:w="1080" w:type="dxa"/>
            <w:tcBorders>
              <w:top w:val="nil"/>
              <w:left w:val="nil"/>
              <w:bottom w:val="nil"/>
              <w:right w:val="nil"/>
            </w:tcBorders>
            <w:shd w:val="clear" w:color="auto" w:fill="auto"/>
            <w:noWrap/>
            <w:vAlign w:val="center"/>
            <w:hideMark/>
          </w:tcPr>
          <w:p w14:paraId="6F165CFE"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81.63</w:t>
            </w:r>
          </w:p>
        </w:tc>
        <w:tc>
          <w:tcPr>
            <w:tcW w:w="1080" w:type="dxa"/>
            <w:tcBorders>
              <w:top w:val="nil"/>
              <w:left w:val="nil"/>
              <w:bottom w:val="nil"/>
              <w:right w:val="nil"/>
            </w:tcBorders>
            <w:shd w:val="clear" w:color="auto" w:fill="auto"/>
            <w:noWrap/>
            <w:vAlign w:val="center"/>
            <w:hideMark/>
          </w:tcPr>
          <w:p w14:paraId="47FA5FEE"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18.81</w:t>
            </w:r>
          </w:p>
        </w:tc>
      </w:tr>
      <w:tr w:rsidR="003D5B79" w:rsidRPr="003D5B79" w14:paraId="05517B89" w14:textId="77777777" w:rsidTr="00B9610A">
        <w:trPr>
          <w:trHeight w:val="315"/>
        </w:trPr>
        <w:tc>
          <w:tcPr>
            <w:tcW w:w="1080" w:type="dxa"/>
            <w:tcBorders>
              <w:top w:val="nil"/>
              <w:left w:val="nil"/>
              <w:bottom w:val="nil"/>
              <w:right w:val="nil"/>
            </w:tcBorders>
            <w:shd w:val="clear" w:color="auto" w:fill="auto"/>
            <w:noWrap/>
            <w:vAlign w:val="center"/>
            <w:hideMark/>
          </w:tcPr>
          <w:p w14:paraId="69A6820F"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P10</w:t>
            </w:r>
          </w:p>
        </w:tc>
        <w:tc>
          <w:tcPr>
            <w:tcW w:w="5016" w:type="dxa"/>
            <w:tcBorders>
              <w:top w:val="nil"/>
              <w:left w:val="nil"/>
              <w:bottom w:val="nil"/>
              <w:right w:val="nil"/>
            </w:tcBorders>
            <w:shd w:val="clear" w:color="auto" w:fill="auto"/>
            <w:noWrap/>
            <w:hideMark/>
          </w:tcPr>
          <w:p w14:paraId="33D870A9"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Hoarding</w:t>
            </w:r>
          </w:p>
        </w:tc>
        <w:tc>
          <w:tcPr>
            <w:tcW w:w="1080" w:type="dxa"/>
            <w:tcBorders>
              <w:top w:val="nil"/>
              <w:left w:val="nil"/>
              <w:bottom w:val="nil"/>
              <w:right w:val="nil"/>
            </w:tcBorders>
            <w:shd w:val="clear" w:color="auto" w:fill="auto"/>
            <w:noWrap/>
            <w:vAlign w:val="center"/>
            <w:hideMark/>
          </w:tcPr>
          <w:p w14:paraId="1166DCDD"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80.41</w:t>
            </w:r>
          </w:p>
        </w:tc>
        <w:tc>
          <w:tcPr>
            <w:tcW w:w="1080" w:type="dxa"/>
            <w:tcBorders>
              <w:top w:val="nil"/>
              <w:left w:val="nil"/>
              <w:bottom w:val="nil"/>
              <w:right w:val="nil"/>
            </w:tcBorders>
            <w:shd w:val="clear" w:color="auto" w:fill="auto"/>
            <w:noWrap/>
            <w:vAlign w:val="center"/>
            <w:hideMark/>
          </w:tcPr>
          <w:p w14:paraId="3233B91E"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7.55</w:t>
            </w:r>
          </w:p>
        </w:tc>
      </w:tr>
      <w:tr w:rsidR="003D5B79" w:rsidRPr="003D5B79" w14:paraId="485A5695" w14:textId="77777777" w:rsidTr="00B9610A">
        <w:trPr>
          <w:trHeight w:val="315"/>
        </w:trPr>
        <w:tc>
          <w:tcPr>
            <w:tcW w:w="1080" w:type="dxa"/>
            <w:tcBorders>
              <w:top w:val="nil"/>
              <w:left w:val="nil"/>
              <w:bottom w:val="nil"/>
              <w:right w:val="nil"/>
            </w:tcBorders>
            <w:shd w:val="clear" w:color="auto" w:fill="auto"/>
            <w:noWrap/>
            <w:vAlign w:val="center"/>
            <w:hideMark/>
          </w:tcPr>
          <w:p w14:paraId="21FCDCC3"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P12</w:t>
            </w:r>
          </w:p>
        </w:tc>
        <w:tc>
          <w:tcPr>
            <w:tcW w:w="5016" w:type="dxa"/>
            <w:tcBorders>
              <w:top w:val="nil"/>
              <w:left w:val="nil"/>
              <w:bottom w:val="nil"/>
              <w:right w:val="nil"/>
            </w:tcBorders>
            <w:shd w:val="clear" w:color="auto" w:fill="auto"/>
            <w:noWrap/>
            <w:hideMark/>
          </w:tcPr>
          <w:p w14:paraId="7CADDBD5"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Total weight of waste by disposal method</w:t>
            </w:r>
          </w:p>
        </w:tc>
        <w:tc>
          <w:tcPr>
            <w:tcW w:w="1080" w:type="dxa"/>
            <w:tcBorders>
              <w:top w:val="nil"/>
              <w:left w:val="nil"/>
              <w:bottom w:val="nil"/>
              <w:right w:val="nil"/>
            </w:tcBorders>
            <w:shd w:val="clear" w:color="auto" w:fill="auto"/>
            <w:noWrap/>
            <w:vAlign w:val="center"/>
            <w:hideMark/>
          </w:tcPr>
          <w:p w14:paraId="34D78705"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80.41</w:t>
            </w:r>
          </w:p>
        </w:tc>
        <w:tc>
          <w:tcPr>
            <w:tcW w:w="1080" w:type="dxa"/>
            <w:tcBorders>
              <w:top w:val="nil"/>
              <w:left w:val="nil"/>
              <w:bottom w:val="nil"/>
              <w:right w:val="nil"/>
            </w:tcBorders>
            <w:shd w:val="clear" w:color="auto" w:fill="auto"/>
            <w:noWrap/>
            <w:vAlign w:val="center"/>
            <w:hideMark/>
          </w:tcPr>
          <w:p w14:paraId="4B63A268"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6.31</w:t>
            </w:r>
          </w:p>
        </w:tc>
      </w:tr>
      <w:tr w:rsidR="003D5B79" w:rsidRPr="003D5B79" w14:paraId="7D301804" w14:textId="77777777" w:rsidTr="00B9610A">
        <w:trPr>
          <w:trHeight w:val="315"/>
        </w:trPr>
        <w:tc>
          <w:tcPr>
            <w:tcW w:w="1080" w:type="dxa"/>
            <w:tcBorders>
              <w:top w:val="nil"/>
              <w:left w:val="nil"/>
              <w:bottom w:val="nil"/>
              <w:right w:val="nil"/>
            </w:tcBorders>
            <w:shd w:val="clear" w:color="auto" w:fill="auto"/>
            <w:noWrap/>
            <w:vAlign w:val="center"/>
            <w:hideMark/>
          </w:tcPr>
          <w:p w14:paraId="4CB8740F"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P6</w:t>
            </w:r>
          </w:p>
        </w:tc>
        <w:tc>
          <w:tcPr>
            <w:tcW w:w="5016" w:type="dxa"/>
            <w:tcBorders>
              <w:top w:val="nil"/>
              <w:left w:val="nil"/>
              <w:bottom w:val="nil"/>
              <w:right w:val="nil"/>
            </w:tcBorders>
            <w:shd w:val="clear" w:color="auto" w:fill="auto"/>
            <w:noWrap/>
            <w:hideMark/>
          </w:tcPr>
          <w:p w14:paraId="5B494CCC"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transport information</w:t>
            </w:r>
          </w:p>
        </w:tc>
        <w:tc>
          <w:tcPr>
            <w:tcW w:w="1080" w:type="dxa"/>
            <w:tcBorders>
              <w:top w:val="nil"/>
              <w:left w:val="nil"/>
              <w:bottom w:val="nil"/>
              <w:right w:val="nil"/>
            </w:tcBorders>
            <w:shd w:val="clear" w:color="auto" w:fill="auto"/>
            <w:noWrap/>
            <w:vAlign w:val="center"/>
            <w:hideMark/>
          </w:tcPr>
          <w:p w14:paraId="261416C9"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80</w:t>
            </w:r>
          </w:p>
        </w:tc>
        <w:tc>
          <w:tcPr>
            <w:tcW w:w="1080" w:type="dxa"/>
            <w:tcBorders>
              <w:top w:val="nil"/>
              <w:left w:val="nil"/>
              <w:bottom w:val="nil"/>
              <w:right w:val="nil"/>
            </w:tcBorders>
            <w:shd w:val="clear" w:color="auto" w:fill="auto"/>
            <w:noWrap/>
            <w:vAlign w:val="center"/>
            <w:hideMark/>
          </w:tcPr>
          <w:p w14:paraId="6BBAED57"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6.81</w:t>
            </w:r>
          </w:p>
        </w:tc>
      </w:tr>
      <w:tr w:rsidR="003D5B79" w:rsidRPr="003D5B79" w14:paraId="2495B7B0" w14:textId="77777777" w:rsidTr="00B9610A">
        <w:trPr>
          <w:trHeight w:val="330"/>
        </w:trPr>
        <w:tc>
          <w:tcPr>
            <w:tcW w:w="1080" w:type="dxa"/>
            <w:tcBorders>
              <w:top w:val="nil"/>
              <w:left w:val="nil"/>
              <w:bottom w:val="single" w:sz="8" w:space="0" w:color="auto"/>
              <w:right w:val="nil"/>
            </w:tcBorders>
            <w:shd w:val="clear" w:color="auto" w:fill="auto"/>
            <w:noWrap/>
            <w:vAlign w:val="center"/>
            <w:hideMark/>
          </w:tcPr>
          <w:p w14:paraId="39164392"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P14</w:t>
            </w:r>
          </w:p>
        </w:tc>
        <w:tc>
          <w:tcPr>
            <w:tcW w:w="5016" w:type="dxa"/>
            <w:tcBorders>
              <w:top w:val="nil"/>
              <w:left w:val="nil"/>
              <w:bottom w:val="single" w:sz="8" w:space="0" w:color="auto"/>
              <w:right w:val="nil"/>
            </w:tcBorders>
            <w:shd w:val="clear" w:color="auto" w:fill="auto"/>
            <w:noWrap/>
            <w:hideMark/>
          </w:tcPr>
          <w:p w14:paraId="262B0418"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Percentage of waste for international shipments.</w:t>
            </w:r>
          </w:p>
        </w:tc>
        <w:tc>
          <w:tcPr>
            <w:tcW w:w="1080" w:type="dxa"/>
            <w:tcBorders>
              <w:top w:val="nil"/>
              <w:left w:val="nil"/>
              <w:bottom w:val="single" w:sz="8" w:space="0" w:color="auto"/>
              <w:right w:val="nil"/>
            </w:tcBorders>
            <w:shd w:val="clear" w:color="auto" w:fill="auto"/>
            <w:noWrap/>
            <w:vAlign w:val="center"/>
            <w:hideMark/>
          </w:tcPr>
          <w:p w14:paraId="5B48CE34"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79.18</w:t>
            </w:r>
          </w:p>
        </w:tc>
        <w:tc>
          <w:tcPr>
            <w:tcW w:w="1080" w:type="dxa"/>
            <w:tcBorders>
              <w:top w:val="nil"/>
              <w:left w:val="nil"/>
              <w:bottom w:val="single" w:sz="8" w:space="0" w:color="auto"/>
              <w:right w:val="nil"/>
            </w:tcBorders>
            <w:shd w:val="clear" w:color="auto" w:fill="auto"/>
            <w:noWrap/>
            <w:vAlign w:val="center"/>
            <w:hideMark/>
          </w:tcPr>
          <w:p w14:paraId="131B97A8"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0.12</w:t>
            </w:r>
          </w:p>
        </w:tc>
      </w:tr>
    </w:tbl>
    <w:p w14:paraId="1EB4A27F" w14:textId="77777777" w:rsidR="003D5B79" w:rsidRPr="003D5B79" w:rsidRDefault="003D5B79" w:rsidP="003D5B79">
      <w:pPr>
        <w:tabs>
          <w:tab w:val="left" w:pos="1080"/>
        </w:tabs>
        <w:spacing w:after="0" w:line="240" w:lineRule="auto"/>
        <w:jc w:val="both"/>
        <w:rPr>
          <w:rFonts w:ascii="Times New Roman" w:hAnsi="Times New Roman" w:cs="Times New Roman"/>
          <w:sz w:val="24"/>
          <w:szCs w:val="24"/>
        </w:rPr>
      </w:pPr>
      <w:r w:rsidRPr="003D5B79">
        <w:rPr>
          <w:rFonts w:ascii="Times New Roman" w:hAnsi="Times New Roman" w:cs="Times New Roman"/>
          <w:sz w:val="24"/>
          <w:szCs w:val="24"/>
        </w:rPr>
        <w:t>Source: Processed Data 2021</w:t>
      </w:r>
    </w:p>
    <w:p w14:paraId="12CAA786" w14:textId="77777777" w:rsidR="009C55B3" w:rsidRDefault="003D5B79" w:rsidP="003D5B79">
      <w:pPr>
        <w:tabs>
          <w:tab w:val="left" w:pos="0"/>
        </w:tabs>
        <w:spacing w:after="0" w:line="240" w:lineRule="auto"/>
        <w:jc w:val="both"/>
        <w:rPr>
          <w:rFonts w:ascii="Times New Roman" w:eastAsia="Times New Roman" w:hAnsi="Times New Roman" w:cs="Times New Roman"/>
          <w:bCs/>
          <w:sz w:val="24"/>
          <w:szCs w:val="24"/>
          <w:lang w:val="sv-SE"/>
        </w:rPr>
        <w:sectPr w:rsidR="009C55B3" w:rsidSect="009C55B3">
          <w:type w:val="continuous"/>
          <w:pgSz w:w="12240" w:h="15840"/>
          <w:pgMar w:top="1440" w:right="1440" w:bottom="1440" w:left="1440" w:header="720" w:footer="720" w:gutter="0"/>
          <w:cols w:space="720"/>
          <w:docGrid w:linePitch="360"/>
        </w:sectPr>
      </w:pPr>
      <w:r w:rsidRPr="003D5B79">
        <w:rPr>
          <w:rFonts w:ascii="Times New Roman" w:eastAsia="Times New Roman" w:hAnsi="Times New Roman" w:cs="Times New Roman"/>
          <w:bCs/>
          <w:sz w:val="24"/>
          <w:szCs w:val="24"/>
          <w:lang w:val="sv-SE"/>
        </w:rPr>
        <w:tab/>
      </w:r>
    </w:p>
    <w:p w14:paraId="03897ACD" w14:textId="77777777" w:rsidR="003D5B79" w:rsidRPr="003D5B79" w:rsidRDefault="003D5B79" w:rsidP="003D5B79">
      <w:pPr>
        <w:tabs>
          <w:tab w:val="left" w:pos="0"/>
        </w:tabs>
        <w:spacing w:after="0" w:line="240" w:lineRule="auto"/>
        <w:jc w:val="both"/>
        <w:rPr>
          <w:rFonts w:ascii="Times New Roman" w:eastAsia="Times New Roman" w:hAnsi="Times New Roman" w:cs="Times New Roman"/>
          <w:bCs/>
          <w:sz w:val="24"/>
          <w:szCs w:val="24"/>
          <w:lang w:val="sv-SE"/>
        </w:rPr>
      </w:pPr>
      <w:r w:rsidRPr="003D5B79">
        <w:rPr>
          <w:rFonts w:ascii="Times New Roman" w:eastAsia="Times New Roman" w:hAnsi="Times New Roman" w:cs="Times New Roman"/>
          <w:bCs/>
          <w:sz w:val="24"/>
          <w:szCs w:val="24"/>
          <w:lang w:val="sv-SE"/>
        </w:rPr>
        <w:lastRenderedPageBreak/>
        <w:t xml:space="preserve">Table 4 shows the order of the most significant demand values in the disclosure of LB3 using LB3 as a substitute for raw materials, using LB3 as a substitute for energy sources, as raw material, using LB3 by the development of science and technology. The following important disclosure item is the LB3 recycling disclosure item, which is disclosed by the </w:t>
      </w:r>
      <w:r w:rsidRPr="003D5B79">
        <w:rPr>
          <w:rFonts w:ascii="Times New Roman" w:eastAsia="Times New Roman" w:hAnsi="Times New Roman" w:cs="Times New Roman"/>
          <w:bCs/>
          <w:sz w:val="24"/>
          <w:szCs w:val="24"/>
          <w:lang w:val="sv-SE"/>
        </w:rPr>
        <w:lastRenderedPageBreak/>
        <w:t>company how the company carries out the process to turn a used material into a new material by, for example, making solid waste into bricks. The company also explains that this recycling is harmless and has been licensed and has added value. recycling is creating something new or a different product</w:t>
      </w:r>
    </w:p>
    <w:p w14:paraId="4C38CA03" w14:textId="77777777" w:rsidR="003D5B79" w:rsidRPr="003D5B79" w:rsidRDefault="003D5B79" w:rsidP="003D5B79">
      <w:pPr>
        <w:tabs>
          <w:tab w:val="left" w:pos="0"/>
        </w:tabs>
        <w:spacing w:after="0" w:line="240" w:lineRule="auto"/>
        <w:jc w:val="both"/>
        <w:rPr>
          <w:rFonts w:ascii="Times New Roman" w:eastAsia="Times New Roman" w:hAnsi="Times New Roman" w:cs="Times New Roman"/>
          <w:bCs/>
          <w:sz w:val="24"/>
          <w:szCs w:val="24"/>
          <w:lang w:val="sv-SE"/>
        </w:rPr>
      </w:pPr>
    </w:p>
    <w:p w14:paraId="39AAB021" w14:textId="77777777" w:rsidR="009C55B3" w:rsidRDefault="009C55B3" w:rsidP="003D5B79">
      <w:pPr>
        <w:tabs>
          <w:tab w:val="left" w:pos="1080"/>
        </w:tabs>
        <w:spacing w:after="0" w:line="240" w:lineRule="auto"/>
        <w:rPr>
          <w:rFonts w:ascii="Times New Roman" w:hAnsi="Times New Roman" w:cs="Times New Roman"/>
          <w:b/>
          <w:sz w:val="24"/>
          <w:szCs w:val="24"/>
        </w:rPr>
        <w:sectPr w:rsidR="009C55B3" w:rsidSect="009C55B3">
          <w:type w:val="continuous"/>
          <w:pgSz w:w="12240" w:h="15840"/>
          <w:pgMar w:top="1440" w:right="1440" w:bottom="1440" w:left="1440" w:header="720" w:footer="720" w:gutter="0"/>
          <w:cols w:num="2" w:space="720"/>
          <w:docGrid w:linePitch="360"/>
        </w:sectPr>
      </w:pPr>
    </w:p>
    <w:p w14:paraId="6433B010" w14:textId="77777777" w:rsidR="003D5B79" w:rsidRPr="003D5B79" w:rsidRDefault="003D5B79" w:rsidP="003D5B79">
      <w:pPr>
        <w:tabs>
          <w:tab w:val="left" w:pos="1080"/>
        </w:tabs>
        <w:spacing w:after="0" w:line="240" w:lineRule="auto"/>
        <w:rPr>
          <w:rFonts w:ascii="Times New Roman" w:hAnsi="Times New Roman" w:cs="Times New Roman"/>
          <w:b/>
          <w:sz w:val="24"/>
          <w:szCs w:val="24"/>
        </w:rPr>
      </w:pPr>
      <w:r w:rsidRPr="003D5B79">
        <w:rPr>
          <w:rFonts w:ascii="Times New Roman" w:hAnsi="Times New Roman" w:cs="Times New Roman"/>
          <w:b/>
          <w:sz w:val="24"/>
          <w:szCs w:val="24"/>
        </w:rPr>
        <w:lastRenderedPageBreak/>
        <w:t>LB3 Disclosure Results Based on the Order of Highest Supply</w:t>
      </w:r>
    </w:p>
    <w:p w14:paraId="2DF639FE" w14:textId="77777777" w:rsidR="003D5B79" w:rsidRPr="003D5B79" w:rsidRDefault="003D5B79" w:rsidP="003D5B79">
      <w:pPr>
        <w:tabs>
          <w:tab w:val="left" w:pos="1080"/>
        </w:tabs>
        <w:spacing w:after="0" w:line="240" w:lineRule="auto"/>
        <w:rPr>
          <w:rFonts w:ascii="Times New Roman" w:hAnsi="Times New Roman" w:cs="Times New Roman"/>
          <w:b/>
          <w:sz w:val="24"/>
          <w:szCs w:val="24"/>
        </w:rPr>
      </w:pPr>
    </w:p>
    <w:p w14:paraId="5A1B997E" w14:textId="77777777" w:rsidR="003D5B79" w:rsidRPr="003D5B79" w:rsidRDefault="003D5B79" w:rsidP="003D5B79">
      <w:pPr>
        <w:tabs>
          <w:tab w:val="left" w:pos="0"/>
        </w:tabs>
        <w:spacing w:after="0" w:line="240" w:lineRule="auto"/>
        <w:jc w:val="both"/>
        <w:rPr>
          <w:rFonts w:ascii="Times New Roman" w:eastAsia="Times New Roman" w:hAnsi="Times New Roman" w:cs="Times New Roman"/>
          <w:bCs/>
          <w:sz w:val="24"/>
          <w:szCs w:val="24"/>
          <w:lang w:val="sv-SE"/>
        </w:rPr>
      </w:pPr>
      <w:r w:rsidRPr="003D5B79">
        <w:rPr>
          <w:rFonts w:ascii="Times New Roman" w:eastAsia="Times New Roman" w:hAnsi="Times New Roman" w:cs="Times New Roman"/>
          <w:bCs/>
          <w:sz w:val="24"/>
          <w:szCs w:val="24"/>
          <w:lang w:val="sv-SE"/>
        </w:rPr>
        <w:tab/>
        <w:t xml:space="preserve">Differences in expectations (supply) of companies on disclosure items LB3 in the annual report of manufacturing and mineral </w:t>
      </w:r>
      <w:r w:rsidRPr="003D5B79">
        <w:rPr>
          <w:rFonts w:ascii="Times New Roman" w:eastAsia="Times New Roman" w:hAnsi="Times New Roman" w:cs="Times New Roman"/>
          <w:bCs/>
          <w:sz w:val="24"/>
          <w:szCs w:val="24"/>
          <w:lang w:val="sv-SE"/>
        </w:rPr>
        <w:lastRenderedPageBreak/>
        <w:t xml:space="preserve">and coal companies listed on the IDX with the realization (collection) of manufacturing and mineral and coal companies listed on the IDX. Stakeholders' demand for the following LB3 disclosure items: </w:t>
      </w:r>
    </w:p>
    <w:p w14:paraId="6FDC56E7" w14:textId="77777777" w:rsidR="009C55B3" w:rsidRDefault="009C55B3" w:rsidP="003D5B79">
      <w:pPr>
        <w:tabs>
          <w:tab w:val="left" w:pos="0"/>
        </w:tabs>
        <w:spacing w:after="0" w:line="240" w:lineRule="auto"/>
        <w:jc w:val="center"/>
        <w:rPr>
          <w:rFonts w:ascii="Times New Roman" w:eastAsia="Times New Roman" w:hAnsi="Times New Roman" w:cs="Times New Roman"/>
          <w:b/>
          <w:bCs/>
          <w:sz w:val="24"/>
          <w:szCs w:val="24"/>
          <w:lang w:val="sv-SE"/>
        </w:rPr>
        <w:sectPr w:rsidR="009C55B3" w:rsidSect="009C55B3">
          <w:type w:val="continuous"/>
          <w:pgSz w:w="12240" w:h="15840"/>
          <w:pgMar w:top="1440" w:right="1440" w:bottom="1440" w:left="1440" w:header="720" w:footer="720" w:gutter="0"/>
          <w:cols w:num="2" w:space="720"/>
          <w:docGrid w:linePitch="360"/>
        </w:sectPr>
      </w:pPr>
    </w:p>
    <w:p w14:paraId="72FEDDD7" w14:textId="77777777" w:rsidR="003D5B79" w:rsidRPr="003D5B79" w:rsidRDefault="003D5B79" w:rsidP="003D5B79">
      <w:pPr>
        <w:tabs>
          <w:tab w:val="left" w:pos="0"/>
        </w:tabs>
        <w:spacing w:after="0" w:line="240" w:lineRule="auto"/>
        <w:jc w:val="center"/>
        <w:rPr>
          <w:rFonts w:ascii="Times New Roman" w:eastAsia="Times New Roman" w:hAnsi="Times New Roman" w:cs="Times New Roman"/>
          <w:b/>
          <w:bCs/>
          <w:sz w:val="24"/>
          <w:szCs w:val="24"/>
          <w:lang w:val="sv-SE"/>
        </w:rPr>
      </w:pPr>
      <w:r w:rsidRPr="003D5B79">
        <w:rPr>
          <w:rFonts w:ascii="Times New Roman" w:eastAsia="Times New Roman" w:hAnsi="Times New Roman" w:cs="Times New Roman"/>
          <w:b/>
          <w:bCs/>
          <w:sz w:val="24"/>
          <w:szCs w:val="24"/>
          <w:lang w:val="sv-SE"/>
        </w:rPr>
        <w:lastRenderedPageBreak/>
        <w:t>Table 5</w:t>
      </w:r>
    </w:p>
    <w:p w14:paraId="3691801C" w14:textId="77777777" w:rsidR="003D5B79" w:rsidRPr="003D5B79" w:rsidRDefault="003D5B79" w:rsidP="003D5B79">
      <w:pPr>
        <w:tabs>
          <w:tab w:val="left" w:pos="1080"/>
        </w:tabs>
        <w:spacing w:after="0" w:line="240" w:lineRule="auto"/>
        <w:jc w:val="center"/>
        <w:rPr>
          <w:rFonts w:ascii="Times New Roman" w:hAnsi="Times New Roman" w:cs="Times New Roman"/>
          <w:b/>
          <w:sz w:val="24"/>
          <w:szCs w:val="24"/>
        </w:rPr>
      </w:pPr>
      <w:r w:rsidRPr="003D5B79">
        <w:rPr>
          <w:rFonts w:ascii="Times New Roman" w:hAnsi="Times New Roman" w:cs="Times New Roman"/>
          <w:b/>
          <w:sz w:val="24"/>
          <w:szCs w:val="24"/>
        </w:rPr>
        <w:t>LB3 Disclosure Results Based on the Order of Highest Supply</w:t>
      </w:r>
    </w:p>
    <w:tbl>
      <w:tblPr>
        <w:tblW w:w="7650" w:type="dxa"/>
        <w:tblLook w:val="04A0" w:firstRow="1" w:lastRow="0" w:firstColumn="1" w:lastColumn="0" w:noHBand="0" w:noVBand="1"/>
      </w:tblPr>
      <w:tblGrid>
        <w:gridCol w:w="1080"/>
        <w:gridCol w:w="4080"/>
        <w:gridCol w:w="1080"/>
        <w:gridCol w:w="1410"/>
      </w:tblGrid>
      <w:tr w:rsidR="003D5B79" w:rsidRPr="003D5B79" w14:paraId="2FF55802" w14:textId="77777777" w:rsidTr="00520690">
        <w:trPr>
          <w:trHeight w:val="315"/>
        </w:trPr>
        <w:tc>
          <w:tcPr>
            <w:tcW w:w="1080" w:type="dxa"/>
            <w:tcBorders>
              <w:top w:val="single" w:sz="4" w:space="0" w:color="auto"/>
              <w:left w:val="nil"/>
              <w:bottom w:val="single" w:sz="4" w:space="0" w:color="auto"/>
              <w:right w:val="nil"/>
            </w:tcBorders>
            <w:shd w:val="clear" w:color="auto" w:fill="auto"/>
            <w:noWrap/>
            <w:vAlign w:val="bottom"/>
            <w:hideMark/>
          </w:tcPr>
          <w:p w14:paraId="06EC8785"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Code</w:t>
            </w:r>
          </w:p>
        </w:tc>
        <w:tc>
          <w:tcPr>
            <w:tcW w:w="4080" w:type="dxa"/>
            <w:tcBorders>
              <w:top w:val="single" w:sz="4" w:space="0" w:color="auto"/>
              <w:left w:val="nil"/>
              <w:bottom w:val="single" w:sz="4" w:space="0" w:color="auto"/>
              <w:right w:val="nil"/>
            </w:tcBorders>
            <w:shd w:val="clear" w:color="auto" w:fill="auto"/>
            <w:noWrap/>
            <w:vAlign w:val="bottom"/>
            <w:hideMark/>
          </w:tcPr>
          <w:p w14:paraId="3B17A886"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Description</w:t>
            </w:r>
          </w:p>
        </w:tc>
        <w:tc>
          <w:tcPr>
            <w:tcW w:w="1080" w:type="dxa"/>
            <w:tcBorders>
              <w:top w:val="single" w:sz="4" w:space="0" w:color="auto"/>
              <w:left w:val="nil"/>
              <w:bottom w:val="single" w:sz="4" w:space="0" w:color="auto"/>
              <w:right w:val="nil"/>
            </w:tcBorders>
            <w:shd w:val="clear" w:color="auto" w:fill="auto"/>
            <w:noWrap/>
            <w:vAlign w:val="bottom"/>
            <w:hideMark/>
          </w:tcPr>
          <w:p w14:paraId="15A8E0CB" w14:textId="77777777" w:rsidR="003D5B79" w:rsidRPr="003D5B79" w:rsidRDefault="003D5B79" w:rsidP="003D5B79">
            <w:pPr>
              <w:spacing w:after="0" w:line="240" w:lineRule="auto"/>
              <w:rPr>
                <w:rFonts w:ascii="Times New Roman" w:eastAsia="Times New Roman" w:hAnsi="Times New Roman" w:cs="Times New Roman"/>
                <w:i/>
                <w:color w:val="000000"/>
                <w:sz w:val="24"/>
                <w:szCs w:val="24"/>
              </w:rPr>
            </w:pPr>
            <w:r w:rsidRPr="003D5B79">
              <w:rPr>
                <w:rFonts w:ascii="Times New Roman" w:eastAsia="Times New Roman" w:hAnsi="Times New Roman" w:cs="Times New Roman"/>
                <w:i/>
                <w:color w:val="000000"/>
                <w:sz w:val="24"/>
                <w:szCs w:val="24"/>
              </w:rPr>
              <w:t>Demand</w:t>
            </w:r>
          </w:p>
        </w:tc>
        <w:tc>
          <w:tcPr>
            <w:tcW w:w="1410" w:type="dxa"/>
            <w:tcBorders>
              <w:top w:val="single" w:sz="4" w:space="0" w:color="auto"/>
              <w:left w:val="nil"/>
              <w:bottom w:val="single" w:sz="4" w:space="0" w:color="auto"/>
              <w:right w:val="nil"/>
            </w:tcBorders>
            <w:shd w:val="clear" w:color="auto" w:fill="auto"/>
            <w:noWrap/>
            <w:vAlign w:val="bottom"/>
            <w:hideMark/>
          </w:tcPr>
          <w:p w14:paraId="0AC4837F" w14:textId="77777777" w:rsidR="003D5B79" w:rsidRPr="003D5B79" w:rsidRDefault="003D5B79" w:rsidP="003D5B79">
            <w:pPr>
              <w:spacing w:after="0" w:line="240" w:lineRule="auto"/>
              <w:rPr>
                <w:rFonts w:ascii="Times New Roman" w:eastAsia="Times New Roman" w:hAnsi="Times New Roman" w:cs="Times New Roman"/>
                <w:i/>
                <w:color w:val="000000"/>
                <w:sz w:val="24"/>
                <w:szCs w:val="24"/>
              </w:rPr>
            </w:pPr>
            <w:r w:rsidRPr="003D5B79">
              <w:rPr>
                <w:rFonts w:ascii="Times New Roman" w:eastAsia="Times New Roman" w:hAnsi="Times New Roman" w:cs="Times New Roman"/>
                <w:i/>
                <w:color w:val="000000"/>
                <w:sz w:val="24"/>
                <w:szCs w:val="24"/>
              </w:rPr>
              <w:t>Supply</w:t>
            </w:r>
          </w:p>
        </w:tc>
      </w:tr>
      <w:tr w:rsidR="003D5B79" w:rsidRPr="003D5B79" w14:paraId="3AE3F782" w14:textId="77777777" w:rsidTr="00520690">
        <w:trPr>
          <w:trHeight w:val="315"/>
        </w:trPr>
        <w:tc>
          <w:tcPr>
            <w:tcW w:w="1080" w:type="dxa"/>
            <w:tcBorders>
              <w:top w:val="nil"/>
              <w:left w:val="nil"/>
              <w:bottom w:val="nil"/>
              <w:right w:val="nil"/>
            </w:tcBorders>
            <w:shd w:val="clear" w:color="auto" w:fill="auto"/>
            <w:noWrap/>
            <w:vAlign w:val="bottom"/>
            <w:hideMark/>
          </w:tcPr>
          <w:p w14:paraId="723E1965"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P8</w:t>
            </w:r>
          </w:p>
        </w:tc>
        <w:tc>
          <w:tcPr>
            <w:tcW w:w="4080" w:type="dxa"/>
            <w:tcBorders>
              <w:top w:val="nil"/>
              <w:left w:val="nil"/>
              <w:bottom w:val="nil"/>
              <w:right w:val="nil"/>
            </w:tcBorders>
            <w:shd w:val="clear" w:color="auto" w:fill="auto"/>
            <w:noWrap/>
            <w:hideMark/>
          </w:tcPr>
          <w:p w14:paraId="53611B45"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recycle</w:t>
            </w:r>
          </w:p>
        </w:tc>
        <w:tc>
          <w:tcPr>
            <w:tcW w:w="1080" w:type="dxa"/>
            <w:tcBorders>
              <w:top w:val="nil"/>
              <w:left w:val="nil"/>
              <w:bottom w:val="nil"/>
              <w:right w:val="nil"/>
            </w:tcBorders>
            <w:shd w:val="clear" w:color="auto" w:fill="auto"/>
            <w:noWrap/>
            <w:vAlign w:val="bottom"/>
            <w:hideMark/>
          </w:tcPr>
          <w:p w14:paraId="4F600F57"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89.8</w:t>
            </w:r>
          </w:p>
        </w:tc>
        <w:tc>
          <w:tcPr>
            <w:tcW w:w="1410" w:type="dxa"/>
            <w:tcBorders>
              <w:top w:val="nil"/>
              <w:left w:val="nil"/>
              <w:bottom w:val="nil"/>
              <w:right w:val="nil"/>
            </w:tcBorders>
            <w:shd w:val="clear" w:color="auto" w:fill="auto"/>
            <w:noWrap/>
            <w:vAlign w:val="bottom"/>
            <w:hideMark/>
          </w:tcPr>
          <w:p w14:paraId="33395E50"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82.3</w:t>
            </w:r>
          </w:p>
        </w:tc>
      </w:tr>
      <w:tr w:rsidR="003D5B79" w:rsidRPr="003D5B79" w14:paraId="7F65E9AB" w14:textId="77777777" w:rsidTr="00520690">
        <w:trPr>
          <w:trHeight w:val="315"/>
        </w:trPr>
        <w:tc>
          <w:tcPr>
            <w:tcW w:w="1080" w:type="dxa"/>
            <w:tcBorders>
              <w:top w:val="nil"/>
              <w:left w:val="nil"/>
              <w:bottom w:val="nil"/>
              <w:right w:val="nil"/>
            </w:tcBorders>
            <w:shd w:val="clear" w:color="auto" w:fill="auto"/>
            <w:noWrap/>
            <w:vAlign w:val="bottom"/>
            <w:hideMark/>
          </w:tcPr>
          <w:p w14:paraId="569B04E6"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P3</w:t>
            </w:r>
          </w:p>
        </w:tc>
        <w:tc>
          <w:tcPr>
            <w:tcW w:w="4080" w:type="dxa"/>
            <w:tcBorders>
              <w:top w:val="nil"/>
              <w:left w:val="nil"/>
              <w:bottom w:val="nil"/>
              <w:right w:val="nil"/>
            </w:tcBorders>
            <w:shd w:val="clear" w:color="auto" w:fill="auto"/>
            <w:noWrap/>
            <w:hideMark/>
          </w:tcPr>
          <w:p w14:paraId="1417E11F"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reduction efforts</w:t>
            </w:r>
          </w:p>
        </w:tc>
        <w:tc>
          <w:tcPr>
            <w:tcW w:w="1080" w:type="dxa"/>
            <w:tcBorders>
              <w:top w:val="nil"/>
              <w:left w:val="nil"/>
              <w:bottom w:val="nil"/>
              <w:right w:val="nil"/>
            </w:tcBorders>
            <w:shd w:val="clear" w:color="auto" w:fill="auto"/>
            <w:noWrap/>
            <w:vAlign w:val="bottom"/>
            <w:hideMark/>
          </w:tcPr>
          <w:p w14:paraId="73241583"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89.39</w:t>
            </w:r>
          </w:p>
        </w:tc>
        <w:tc>
          <w:tcPr>
            <w:tcW w:w="1410" w:type="dxa"/>
            <w:tcBorders>
              <w:top w:val="nil"/>
              <w:left w:val="nil"/>
              <w:bottom w:val="nil"/>
              <w:right w:val="nil"/>
            </w:tcBorders>
            <w:shd w:val="clear" w:color="auto" w:fill="auto"/>
            <w:noWrap/>
            <w:vAlign w:val="bottom"/>
            <w:hideMark/>
          </w:tcPr>
          <w:p w14:paraId="4A5A25B8"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76.36</w:t>
            </w:r>
          </w:p>
        </w:tc>
      </w:tr>
      <w:tr w:rsidR="003D5B79" w:rsidRPr="003D5B79" w14:paraId="7FEB2573" w14:textId="77777777" w:rsidTr="00520690">
        <w:trPr>
          <w:trHeight w:val="315"/>
        </w:trPr>
        <w:tc>
          <w:tcPr>
            <w:tcW w:w="1080" w:type="dxa"/>
            <w:tcBorders>
              <w:top w:val="nil"/>
              <w:left w:val="nil"/>
              <w:bottom w:val="nil"/>
              <w:right w:val="nil"/>
            </w:tcBorders>
            <w:shd w:val="clear" w:color="auto" w:fill="auto"/>
            <w:noWrap/>
            <w:vAlign w:val="bottom"/>
            <w:hideMark/>
          </w:tcPr>
          <w:p w14:paraId="03C23F8F"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P7</w:t>
            </w:r>
          </w:p>
        </w:tc>
        <w:tc>
          <w:tcPr>
            <w:tcW w:w="4080" w:type="dxa"/>
            <w:tcBorders>
              <w:top w:val="nil"/>
              <w:left w:val="nil"/>
              <w:bottom w:val="nil"/>
              <w:right w:val="nil"/>
            </w:tcBorders>
            <w:shd w:val="clear" w:color="auto" w:fill="auto"/>
            <w:noWrap/>
            <w:hideMark/>
          </w:tcPr>
          <w:p w14:paraId="4E0CFCEE"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Utilization of LB3</w:t>
            </w:r>
          </w:p>
        </w:tc>
        <w:tc>
          <w:tcPr>
            <w:tcW w:w="1080" w:type="dxa"/>
            <w:tcBorders>
              <w:top w:val="nil"/>
              <w:left w:val="nil"/>
              <w:bottom w:val="nil"/>
              <w:right w:val="nil"/>
            </w:tcBorders>
            <w:shd w:val="clear" w:color="auto" w:fill="auto"/>
            <w:noWrap/>
            <w:vAlign w:val="bottom"/>
            <w:hideMark/>
          </w:tcPr>
          <w:p w14:paraId="63502833"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89.8</w:t>
            </w:r>
          </w:p>
        </w:tc>
        <w:tc>
          <w:tcPr>
            <w:tcW w:w="1410" w:type="dxa"/>
            <w:tcBorders>
              <w:top w:val="nil"/>
              <w:left w:val="nil"/>
              <w:bottom w:val="nil"/>
              <w:right w:val="nil"/>
            </w:tcBorders>
            <w:shd w:val="clear" w:color="auto" w:fill="auto"/>
            <w:noWrap/>
            <w:vAlign w:val="bottom"/>
            <w:hideMark/>
          </w:tcPr>
          <w:p w14:paraId="15232264"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70.3</w:t>
            </w:r>
          </w:p>
        </w:tc>
      </w:tr>
      <w:tr w:rsidR="003D5B79" w:rsidRPr="003D5B79" w14:paraId="2A247B70" w14:textId="77777777" w:rsidTr="00520690">
        <w:trPr>
          <w:trHeight w:val="315"/>
        </w:trPr>
        <w:tc>
          <w:tcPr>
            <w:tcW w:w="1080" w:type="dxa"/>
            <w:tcBorders>
              <w:top w:val="nil"/>
              <w:left w:val="nil"/>
              <w:bottom w:val="nil"/>
              <w:right w:val="nil"/>
            </w:tcBorders>
            <w:shd w:val="clear" w:color="auto" w:fill="auto"/>
            <w:noWrap/>
            <w:vAlign w:val="bottom"/>
            <w:hideMark/>
          </w:tcPr>
          <w:p w14:paraId="7B08A5C9"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P9</w:t>
            </w:r>
          </w:p>
        </w:tc>
        <w:tc>
          <w:tcPr>
            <w:tcW w:w="4080" w:type="dxa"/>
            <w:tcBorders>
              <w:top w:val="nil"/>
              <w:left w:val="nil"/>
              <w:bottom w:val="nil"/>
              <w:right w:val="nil"/>
            </w:tcBorders>
            <w:shd w:val="clear" w:color="auto" w:fill="auto"/>
            <w:noWrap/>
            <w:hideMark/>
          </w:tcPr>
          <w:p w14:paraId="15CCF759"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Pengolahan Processing</w:t>
            </w:r>
          </w:p>
        </w:tc>
        <w:tc>
          <w:tcPr>
            <w:tcW w:w="1080" w:type="dxa"/>
            <w:tcBorders>
              <w:top w:val="nil"/>
              <w:left w:val="nil"/>
              <w:bottom w:val="nil"/>
              <w:right w:val="nil"/>
            </w:tcBorders>
            <w:shd w:val="clear" w:color="auto" w:fill="auto"/>
            <w:noWrap/>
            <w:vAlign w:val="bottom"/>
            <w:hideMark/>
          </w:tcPr>
          <w:p w14:paraId="7339D763"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89.8</w:t>
            </w:r>
          </w:p>
        </w:tc>
        <w:tc>
          <w:tcPr>
            <w:tcW w:w="1410" w:type="dxa"/>
            <w:tcBorders>
              <w:top w:val="nil"/>
              <w:left w:val="nil"/>
              <w:bottom w:val="nil"/>
              <w:right w:val="nil"/>
            </w:tcBorders>
            <w:shd w:val="clear" w:color="auto" w:fill="auto"/>
            <w:noWrap/>
            <w:vAlign w:val="bottom"/>
            <w:hideMark/>
          </w:tcPr>
          <w:p w14:paraId="0D08EACD"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69.8</w:t>
            </w:r>
          </w:p>
        </w:tc>
      </w:tr>
      <w:tr w:rsidR="003D5B79" w:rsidRPr="003D5B79" w14:paraId="77E53E33" w14:textId="77777777" w:rsidTr="00520690">
        <w:trPr>
          <w:trHeight w:val="315"/>
        </w:trPr>
        <w:tc>
          <w:tcPr>
            <w:tcW w:w="1080" w:type="dxa"/>
            <w:tcBorders>
              <w:top w:val="nil"/>
              <w:left w:val="nil"/>
              <w:bottom w:val="nil"/>
              <w:right w:val="nil"/>
            </w:tcBorders>
            <w:shd w:val="clear" w:color="auto" w:fill="auto"/>
            <w:noWrap/>
            <w:vAlign w:val="bottom"/>
            <w:hideMark/>
          </w:tcPr>
          <w:p w14:paraId="54A03DAB"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P5</w:t>
            </w:r>
          </w:p>
        </w:tc>
        <w:tc>
          <w:tcPr>
            <w:tcW w:w="4080" w:type="dxa"/>
            <w:tcBorders>
              <w:top w:val="nil"/>
              <w:left w:val="nil"/>
              <w:bottom w:val="nil"/>
              <w:right w:val="nil"/>
            </w:tcBorders>
            <w:shd w:val="clear" w:color="auto" w:fill="auto"/>
            <w:noWrap/>
            <w:hideMark/>
          </w:tcPr>
          <w:p w14:paraId="226ABBFD"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Collection</w:t>
            </w:r>
          </w:p>
        </w:tc>
        <w:tc>
          <w:tcPr>
            <w:tcW w:w="1080" w:type="dxa"/>
            <w:tcBorders>
              <w:top w:val="nil"/>
              <w:left w:val="nil"/>
              <w:bottom w:val="nil"/>
              <w:right w:val="nil"/>
            </w:tcBorders>
            <w:shd w:val="clear" w:color="auto" w:fill="auto"/>
            <w:noWrap/>
            <w:vAlign w:val="bottom"/>
            <w:hideMark/>
          </w:tcPr>
          <w:p w14:paraId="73BA9DD7"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84.9</w:t>
            </w:r>
          </w:p>
        </w:tc>
        <w:tc>
          <w:tcPr>
            <w:tcW w:w="1410" w:type="dxa"/>
            <w:tcBorders>
              <w:top w:val="nil"/>
              <w:left w:val="nil"/>
              <w:bottom w:val="nil"/>
              <w:right w:val="nil"/>
            </w:tcBorders>
            <w:shd w:val="clear" w:color="auto" w:fill="auto"/>
            <w:noWrap/>
            <w:vAlign w:val="bottom"/>
            <w:hideMark/>
          </w:tcPr>
          <w:p w14:paraId="59464581"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40.47</w:t>
            </w:r>
          </w:p>
        </w:tc>
      </w:tr>
      <w:tr w:rsidR="003D5B79" w:rsidRPr="003D5B79" w14:paraId="16538500" w14:textId="77777777" w:rsidTr="00520690">
        <w:trPr>
          <w:trHeight w:val="315"/>
        </w:trPr>
        <w:tc>
          <w:tcPr>
            <w:tcW w:w="1080" w:type="dxa"/>
            <w:tcBorders>
              <w:top w:val="nil"/>
              <w:left w:val="nil"/>
              <w:bottom w:val="nil"/>
              <w:right w:val="nil"/>
            </w:tcBorders>
            <w:shd w:val="clear" w:color="auto" w:fill="auto"/>
            <w:noWrap/>
            <w:vAlign w:val="bottom"/>
            <w:hideMark/>
          </w:tcPr>
          <w:p w14:paraId="309030A6"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P4</w:t>
            </w:r>
          </w:p>
        </w:tc>
        <w:tc>
          <w:tcPr>
            <w:tcW w:w="4080" w:type="dxa"/>
            <w:tcBorders>
              <w:top w:val="nil"/>
              <w:left w:val="nil"/>
              <w:bottom w:val="nil"/>
              <w:right w:val="nil"/>
            </w:tcBorders>
            <w:shd w:val="clear" w:color="auto" w:fill="auto"/>
            <w:noWrap/>
            <w:hideMark/>
          </w:tcPr>
          <w:p w14:paraId="26A72F8A"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Penyimpanan Storage</w:t>
            </w:r>
          </w:p>
        </w:tc>
        <w:tc>
          <w:tcPr>
            <w:tcW w:w="1080" w:type="dxa"/>
            <w:tcBorders>
              <w:top w:val="nil"/>
              <w:left w:val="nil"/>
              <w:bottom w:val="nil"/>
              <w:right w:val="nil"/>
            </w:tcBorders>
            <w:shd w:val="clear" w:color="auto" w:fill="auto"/>
            <w:noWrap/>
            <w:vAlign w:val="bottom"/>
            <w:hideMark/>
          </w:tcPr>
          <w:p w14:paraId="76D795CC"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84.9</w:t>
            </w:r>
          </w:p>
        </w:tc>
        <w:tc>
          <w:tcPr>
            <w:tcW w:w="1410" w:type="dxa"/>
            <w:tcBorders>
              <w:top w:val="nil"/>
              <w:left w:val="nil"/>
              <w:bottom w:val="nil"/>
              <w:right w:val="nil"/>
            </w:tcBorders>
            <w:shd w:val="clear" w:color="auto" w:fill="auto"/>
            <w:noWrap/>
            <w:vAlign w:val="bottom"/>
            <w:hideMark/>
          </w:tcPr>
          <w:p w14:paraId="479ABD0D"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39.73</w:t>
            </w:r>
          </w:p>
        </w:tc>
      </w:tr>
      <w:tr w:rsidR="003D5B79" w:rsidRPr="003D5B79" w14:paraId="0D1F620C" w14:textId="77777777" w:rsidTr="00520690">
        <w:trPr>
          <w:trHeight w:val="315"/>
        </w:trPr>
        <w:tc>
          <w:tcPr>
            <w:tcW w:w="1080" w:type="dxa"/>
            <w:tcBorders>
              <w:top w:val="nil"/>
              <w:left w:val="nil"/>
              <w:bottom w:val="nil"/>
              <w:right w:val="nil"/>
            </w:tcBorders>
            <w:shd w:val="clear" w:color="auto" w:fill="auto"/>
            <w:noWrap/>
            <w:vAlign w:val="bottom"/>
            <w:hideMark/>
          </w:tcPr>
          <w:p w14:paraId="1D220C58"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w:t>
            </w:r>
          </w:p>
        </w:tc>
        <w:tc>
          <w:tcPr>
            <w:tcW w:w="4080" w:type="dxa"/>
            <w:tcBorders>
              <w:top w:val="nil"/>
              <w:left w:val="nil"/>
              <w:bottom w:val="nil"/>
              <w:right w:val="nil"/>
            </w:tcBorders>
            <w:shd w:val="clear" w:color="auto" w:fill="auto"/>
            <w:noWrap/>
            <w:hideMark/>
          </w:tcPr>
          <w:p w14:paraId="3E40606A"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Type LB3</w:t>
            </w:r>
          </w:p>
        </w:tc>
        <w:tc>
          <w:tcPr>
            <w:tcW w:w="1080" w:type="dxa"/>
            <w:tcBorders>
              <w:top w:val="nil"/>
              <w:left w:val="nil"/>
              <w:bottom w:val="nil"/>
              <w:right w:val="nil"/>
            </w:tcBorders>
            <w:shd w:val="clear" w:color="auto" w:fill="auto"/>
            <w:noWrap/>
            <w:vAlign w:val="bottom"/>
            <w:hideMark/>
          </w:tcPr>
          <w:p w14:paraId="46BF912F"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84.49</w:t>
            </w:r>
          </w:p>
        </w:tc>
        <w:tc>
          <w:tcPr>
            <w:tcW w:w="1410" w:type="dxa"/>
            <w:tcBorders>
              <w:top w:val="nil"/>
              <w:left w:val="nil"/>
              <w:bottom w:val="nil"/>
              <w:right w:val="nil"/>
            </w:tcBorders>
            <w:shd w:val="clear" w:color="auto" w:fill="auto"/>
            <w:noWrap/>
            <w:vAlign w:val="bottom"/>
            <w:hideMark/>
          </w:tcPr>
          <w:p w14:paraId="3E318746"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37</w:t>
            </w:r>
          </w:p>
        </w:tc>
      </w:tr>
      <w:tr w:rsidR="003D5B79" w:rsidRPr="003D5B79" w14:paraId="0647D22B" w14:textId="77777777" w:rsidTr="00520690">
        <w:trPr>
          <w:trHeight w:val="315"/>
        </w:trPr>
        <w:tc>
          <w:tcPr>
            <w:tcW w:w="1080" w:type="dxa"/>
            <w:tcBorders>
              <w:top w:val="nil"/>
              <w:left w:val="nil"/>
              <w:bottom w:val="nil"/>
              <w:right w:val="nil"/>
            </w:tcBorders>
            <w:shd w:val="clear" w:color="auto" w:fill="auto"/>
            <w:noWrap/>
            <w:vAlign w:val="bottom"/>
            <w:hideMark/>
          </w:tcPr>
          <w:p w14:paraId="08012321"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P18</w:t>
            </w:r>
          </w:p>
        </w:tc>
        <w:tc>
          <w:tcPr>
            <w:tcW w:w="4080" w:type="dxa"/>
            <w:tcBorders>
              <w:top w:val="nil"/>
              <w:left w:val="nil"/>
              <w:bottom w:val="nil"/>
              <w:right w:val="nil"/>
            </w:tcBorders>
            <w:shd w:val="clear" w:color="auto" w:fill="auto"/>
            <w:noWrap/>
            <w:hideMark/>
          </w:tcPr>
          <w:p w14:paraId="2EAD6861"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Supervision</w:t>
            </w:r>
          </w:p>
        </w:tc>
        <w:tc>
          <w:tcPr>
            <w:tcW w:w="1080" w:type="dxa"/>
            <w:tcBorders>
              <w:top w:val="nil"/>
              <w:left w:val="nil"/>
              <w:bottom w:val="nil"/>
              <w:right w:val="nil"/>
            </w:tcBorders>
            <w:shd w:val="clear" w:color="auto" w:fill="auto"/>
            <w:noWrap/>
            <w:vAlign w:val="bottom"/>
            <w:hideMark/>
          </w:tcPr>
          <w:p w14:paraId="4D8A1E57"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86.12</w:t>
            </w:r>
          </w:p>
        </w:tc>
        <w:tc>
          <w:tcPr>
            <w:tcW w:w="1410" w:type="dxa"/>
            <w:tcBorders>
              <w:top w:val="nil"/>
              <w:left w:val="nil"/>
              <w:bottom w:val="nil"/>
              <w:right w:val="nil"/>
            </w:tcBorders>
            <w:shd w:val="clear" w:color="auto" w:fill="auto"/>
            <w:noWrap/>
            <w:vAlign w:val="bottom"/>
            <w:hideMark/>
          </w:tcPr>
          <w:p w14:paraId="46BAC5EC"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30.94</w:t>
            </w:r>
          </w:p>
        </w:tc>
      </w:tr>
      <w:tr w:rsidR="003D5B79" w:rsidRPr="003D5B79" w14:paraId="3F280D1F" w14:textId="77777777" w:rsidTr="00520690">
        <w:trPr>
          <w:trHeight w:val="315"/>
        </w:trPr>
        <w:tc>
          <w:tcPr>
            <w:tcW w:w="1080" w:type="dxa"/>
            <w:tcBorders>
              <w:top w:val="nil"/>
              <w:left w:val="nil"/>
              <w:bottom w:val="nil"/>
              <w:right w:val="nil"/>
            </w:tcBorders>
            <w:shd w:val="clear" w:color="auto" w:fill="auto"/>
            <w:noWrap/>
            <w:vAlign w:val="bottom"/>
            <w:hideMark/>
          </w:tcPr>
          <w:p w14:paraId="0C567086"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P21</w:t>
            </w:r>
          </w:p>
        </w:tc>
        <w:tc>
          <w:tcPr>
            <w:tcW w:w="4080" w:type="dxa"/>
            <w:tcBorders>
              <w:top w:val="nil"/>
              <w:left w:val="nil"/>
              <w:bottom w:val="nil"/>
              <w:right w:val="nil"/>
            </w:tcBorders>
            <w:shd w:val="clear" w:color="auto" w:fill="auto"/>
            <w:noWrap/>
            <w:hideMark/>
          </w:tcPr>
          <w:p w14:paraId="6B27814B"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Perawatan care</w:t>
            </w:r>
          </w:p>
        </w:tc>
        <w:tc>
          <w:tcPr>
            <w:tcW w:w="1080" w:type="dxa"/>
            <w:tcBorders>
              <w:top w:val="nil"/>
              <w:left w:val="nil"/>
              <w:bottom w:val="nil"/>
              <w:right w:val="nil"/>
            </w:tcBorders>
            <w:shd w:val="clear" w:color="auto" w:fill="auto"/>
            <w:noWrap/>
            <w:vAlign w:val="bottom"/>
            <w:hideMark/>
          </w:tcPr>
          <w:p w14:paraId="6598186C"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85.71</w:t>
            </w:r>
          </w:p>
        </w:tc>
        <w:tc>
          <w:tcPr>
            <w:tcW w:w="1410" w:type="dxa"/>
            <w:tcBorders>
              <w:top w:val="nil"/>
              <w:left w:val="nil"/>
              <w:bottom w:val="nil"/>
              <w:right w:val="nil"/>
            </w:tcBorders>
            <w:shd w:val="clear" w:color="auto" w:fill="auto"/>
            <w:noWrap/>
            <w:vAlign w:val="bottom"/>
            <w:hideMark/>
          </w:tcPr>
          <w:p w14:paraId="16EDE2F2"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26.61</w:t>
            </w:r>
          </w:p>
        </w:tc>
      </w:tr>
      <w:tr w:rsidR="003D5B79" w:rsidRPr="003D5B79" w14:paraId="596C98EA" w14:textId="77777777" w:rsidTr="00520690">
        <w:trPr>
          <w:trHeight w:val="315"/>
        </w:trPr>
        <w:tc>
          <w:tcPr>
            <w:tcW w:w="1080" w:type="dxa"/>
            <w:tcBorders>
              <w:top w:val="nil"/>
              <w:left w:val="nil"/>
              <w:bottom w:val="nil"/>
              <w:right w:val="nil"/>
            </w:tcBorders>
            <w:shd w:val="clear" w:color="auto" w:fill="auto"/>
            <w:noWrap/>
            <w:vAlign w:val="bottom"/>
            <w:hideMark/>
          </w:tcPr>
          <w:p w14:paraId="7E8C225E"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P11</w:t>
            </w:r>
          </w:p>
        </w:tc>
        <w:tc>
          <w:tcPr>
            <w:tcW w:w="4080" w:type="dxa"/>
            <w:tcBorders>
              <w:top w:val="nil"/>
              <w:left w:val="nil"/>
              <w:bottom w:val="nil"/>
              <w:right w:val="nil"/>
            </w:tcBorders>
            <w:shd w:val="clear" w:color="auto" w:fill="auto"/>
            <w:noWrap/>
            <w:hideMark/>
          </w:tcPr>
          <w:p w14:paraId="610F749F"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dispensing disposal method</w:t>
            </w:r>
          </w:p>
        </w:tc>
        <w:tc>
          <w:tcPr>
            <w:tcW w:w="1080" w:type="dxa"/>
            <w:tcBorders>
              <w:top w:val="nil"/>
              <w:left w:val="nil"/>
              <w:bottom w:val="nil"/>
              <w:right w:val="nil"/>
            </w:tcBorders>
            <w:shd w:val="clear" w:color="auto" w:fill="auto"/>
            <w:noWrap/>
            <w:vAlign w:val="bottom"/>
            <w:hideMark/>
          </w:tcPr>
          <w:p w14:paraId="28F9D6FF"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81.63</w:t>
            </w:r>
          </w:p>
        </w:tc>
        <w:tc>
          <w:tcPr>
            <w:tcW w:w="1410" w:type="dxa"/>
            <w:tcBorders>
              <w:top w:val="nil"/>
              <w:left w:val="nil"/>
              <w:bottom w:val="nil"/>
              <w:right w:val="nil"/>
            </w:tcBorders>
            <w:shd w:val="clear" w:color="auto" w:fill="auto"/>
            <w:noWrap/>
            <w:vAlign w:val="bottom"/>
            <w:hideMark/>
          </w:tcPr>
          <w:p w14:paraId="13B9C94F"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18.81</w:t>
            </w:r>
          </w:p>
        </w:tc>
      </w:tr>
      <w:tr w:rsidR="003D5B79" w:rsidRPr="003D5B79" w14:paraId="61858780" w14:textId="77777777" w:rsidTr="00520690">
        <w:trPr>
          <w:trHeight w:val="315"/>
        </w:trPr>
        <w:tc>
          <w:tcPr>
            <w:tcW w:w="1080" w:type="dxa"/>
            <w:tcBorders>
              <w:top w:val="nil"/>
              <w:left w:val="nil"/>
              <w:bottom w:val="nil"/>
              <w:right w:val="nil"/>
            </w:tcBorders>
            <w:shd w:val="clear" w:color="auto" w:fill="auto"/>
            <w:noWrap/>
            <w:vAlign w:val="bottom"/>
            <w:hideMark/>
          </w:tcPr>
          <w:p w14:paraId="36333235"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P20</w:t>
            </w:r>
          </w:p>
        </w:tc>
        <w:tc>
          <w:tcPr>
            <w:tcW w:w="4080" w:type="dxa"/>
            <w:tcBorders>
              <w:top w:val="nil"/>
              <w:left w:val="nil"/>
              <w:bottom w:val="nil"/>
              <w:right w:val="nil"/>
            </w:tcBorders>
            <w:shd w:val="clear" w:color="auto" w:fill="auto"/>
            <w:noWrap/>
            <w:hideMark/>
          </w:tcPr>
          <w:p w14:paraId="6519F5FD"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Cause LB3</w:t>
            </w:r>
          </w:p>
        </w:tc>
        <w:tc>
          <w:tcPr>
            <w:tcW w:w="1080" w:type="dxa"/>
            <w:tcBorders>
              <w:top w:val="nil"/>
              <w:left w:val="nil"/>
              <w:bottom w:val="nil"/>
              <w:right w:val="nil"/>
            </w:tcBorders>
            <w:shd w:val="clear" w:color="auto" w:fill="auto"/>
            <w:noWrap/>
            <w:vAlign w:val="bottom"/>
            <w:hideMark/>
          </w:tcPr>
          <w:p w14:paraId="2FFEE9D7"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87.35</w:t>
            </w:r>
          </w:p>
        </w:tc>
        <w:tc>
          <w:tcPr>
            <w:tcW w:w="1410" w:type="dxa"/>
            <w:tcBorders>
              <w:top w:val="nil"/>
              <w:left w:val="nil"/>
              <w:bottom w:val="nil"/>
              <w:right w:val="nil"/>
            </w:tcBorders>
            <w:shd w:val="clear" w:color="auto" w:fill="auto"/>
            <w:noWrap/>
            <w:vAlign w:val="bottom"/>
            <w:hideMark/>
          </w:tcPr>
          <w:p w14:paraId="615DAB67"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15.59</w:t>
            </w:r>
          </w:p>
        </w:tc>
      </w:tr>
      <w:tr w:rsidR="003D5B79" w:rsidRPr="003D5B79" w14:paraId="2BDCEE18" w14:textId="77777777" w:rsidTr="00520690">
        <w:trPr>
          <w:trHeight w:val="330"/>
        </w:trPr>
        <w:tc>
          <w:tcPr>
            <w:tcW w:w="1080" w:type="dxa"/>
            <w:tcBorders>
              <w:top w:val="nil"/>
              <w:left w:val="nil"/>
              <w:bottom w:val="nil"/>
              <w:right w:val="nil"/>
            </w:tcBorders>
            <w:shd w:val="clear" w:color="auto" w:fill="auto"/>
            <w:noWrap/>
            <w:vAlign w:val="bottom"/>
            <w:hideMark/>
          </w:tcPr>
          <w:p w14:paraId="5AAC27B8"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P13</w:t>
            </w:r>
          </w:p>
        </w:tc>
        <w:tc>
          <w:tcPr>
            <w:tcW w:w="4080" w:type="dxa"/>
            <w:tcBorders>
              <w:top w:val="nil"/>
              <w:left w:val="nil"/>
              <w:bottom w:val="nil"/>
              <w:right w:val="nil"/>
            </w:tcBorders>
            <w:shd w:val="clear" w:color="auto" w:fill="auto"/>
            <w:noWrap/>
            <w:hideMark/>
          </w:tcPr>
          <w:p w14:paraId="197C9F1A"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utilization permit</w:t>
            </w:r>
          </w:p>
        </w:tc>
        <w:tc>
          <w:tcPr>
            <w:tcW w:w="1080" w:type="dxa"/>
            <w:tcBorders>
              <w:top w:val="nil"/>
              <w:left w:val="nil"/>
              <w:bottom w:val="nil"/>
              <w:right w:val="nil"/>
            </w:tcBorders>
            <w:shd w:val="clear" w:color="auto" w:fill="auto"/>
            <w:noWrap/>
            <w:vAlign w:val="bottom"/>
            <w:hideMark/>
          </w:tcPr>
          <w:p w14:paraId="5CF07971"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85.31</w:t>
            </w:r>
          </w:p>
        </w:tc>
        <w:tc>
          <w:tcPr>
            <w:tcW w:w="1410" w:type="dxa"/>
            <w:tcBorders>
              <w:top w:val="nil"/>
              <w:left w:val="nil"/>
              <w:bottom w:val="nil"/>
              <w:right w:val="nil"/>
            </w:tcBorders>
            <w:shd w:val="clear" w:color="auto" w:fill="auto"/>
            <w:noWrap/>
            <w:vAlign w:val="bottom"/>
            <w:hideMark/>
          </w:tcPr>
          <w:p w14:paraId="106FCB74"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13.99</w:t>
            </w:r>
          </w:p>
        </w:tc>
      </w:tr>
      <w:tr w:rsidR="003D5B79" w:rsidRPr="003D5B79" w14:paraId="6E25AF77" w14:textId="77777777" w:rsidTr="00520690">
        <w:trPr>
          <w:trHeight w:val="315"/>
        </w:trPr>
        <w:tc>
          <w:tcPr>
            <w:tcW w:w="1080" w:type="dxa"/>
            <w:tcBorders>
              <w:top w:val="nil"/>
              <w:left w:val="nil"/>
              <w:bottom w:val="nil"/>
              <w:right w:val="nil"/>
            </w:tcBorders>
            <w:shd w:val="clear" w:color="auto" w:fill="auto"/>
            <w:noWrap/>
            <w:vAlign w:val="bottom"/>
            <w:hideMark/>
          </w:tcPr>
          <w:p w14:paraId="55A6D719"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P17</w:t>
            </w:r>
          </w:p>
        </w:tc>
        <w:tc>
          <w:tcPr>
            <w:tcW w:w="4080" w:type="dxa"/>
            <w:tcBorders>
              <w:top w:val="nil"/>
              <w:left w:val="nil"/>
              <w:bottom w:val="nil"/>
              <w:right w:val="nil"/>
            </w:tcBorders>
            <w:shd w:val="clear" w:color="auto" w:fill="auto"/>
            <w:noWrap/>
            <w:hideMark/>
          </w:tcPr>
          <w:p w14:paraId="7C96C5C0"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coaching</w:t>
            </w:r>
          </w:p>
        </w:tc>
        <w:tc>
          <w:tcPr>
            <w:tcW w:w="1080" w:type="dxa"/>
            <w:tcBorders>
              <w:top w:val="nil"/>
              <w:left w:val="nil"/>
              <w:bottom w:val="nil"/>
              <w:right w:val="nil"/>
            </w:tcBorders>
            <w:shd w:val="clear" w:color="auto" w:fill="auto"/>
            <w:noWrap/>
            <w:vAlign w:val="bottom"/>
            <w:hideMark/>
          </w:tcPr>
          <w:p w14:paraId="3F2D57A1"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83.27</w:t>
            </w:r>
          </w:p>
        </w:tc>
        <w:tc>
          <w:tcPr>
            <w:tcW w:w="1410" w:type="dxa"/>
            <w:tcBorders>
              <w:top w:val="nil"/>
              <w:left w:val="nil"/>
              <w:bottom w:val="nil"/>
              <w:right w:val="nil"/>
            </w:tcBorders>
            <w:shd w:val="clear" w:color="auto" w:fill="auto"/>
            <w:noWrap/>
            <w:vAlign w:val="bottom"/>
            <w:hideMark/>
          </w:tcPr>
          <w:p w14:paraId="49877F26"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9.9</w:t>
            </w:r>
          </w:p>
        </w:tc>
      </w:tr>
      <w:tr w:rsidR="003D5B79" w:rsidRPr="003D5B79" w14:paraId="3B56FFEF" w14:textId="77777777" w:rsidTr="00520690">
        <w:trPr>
          <w:trHeight w:val="300"/>
        </w:trPr>
        <w:tc>
          <w:tcPr>
            <w:tcW w:w="1080" w:type="dxa"/>
            <w:tcBorders>
              <w:top w:val="nil"/>
              <w:left w:val="nil"/>
              <w:bottom w:val="nil"/>
              <w:right w:val="nil"/>
            </w:tcBorders>
            <w:shd w:val="clear" w:color="auto" w:fill="auto"/>
            <w:noWrap/>
            <w:vAlign w:val="bottom"/>
            <w:hideMark/>
          </w:tcPr>
          <w:p w14:paraId="36C96031"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lastRenderedPageBreak/>
              <w:t>P10</w:t>
            </w:r>
          </w:p>
        </w:tc>
        <w:tc>
          <w:tcPr>
            <w:tcW w:w="4080" w:type="dxa"/>
            <w:tcBorders>
              <w:top w:val="nil"/>
              <w:left w:val="nil"/>
              <w:bottom w:val="nil"/>
              <w:right w:val="nil"/>
            </w:tcBorders>
            <w:shd w:val="clear" w:color="auto" w:fill="auto"/>
            <w:noWrap/>
            <w:hideMark/>
          </w:tcPr>
          <w:p w14:paraId="667C0A4B"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Hoarding</w:t>
            </w:r>
          </w:p>
        </w:tc>
        <w:tc>
          <w:tcPr>
            <w:tcW w:w="1080" w:type="dxa"/>
            <w:tcBorders>
              <w:top w:val="nil"/>
              <w:left w:val="nil"/>
              <w:bottom w:val="nil"/>
              <w:right w:val="nil"/>
            </w:tcBorders>
            <w:shd w:val="clear" w:color="auto" w:fill="auto"/>
            <w:noWrap/>
            <w:vAlign w:val="bottom"/>
            <w:hideMark/>
          </w:tcPr>
          <w:p w14:paraId="3FA3DEED"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80.41</w:t>
            </w:r>
          </w:p>
        </w:tc>
        <w:tc>
          <w:tcPr>
            <w:tcW w:w="1410" w:type="dxa"/>
            <w:tcBorders>
              <w:top w:val="nil"/>
              <w:left w:val="nil"/>
              <w:bottom w:val="nil"/>
              <w:right w:val="nil"/>
            </w:tcBorders>
            <w:shd w:val="clear" w:color="auto" w:fill="auto"/>
            <w:noWrap/>
            <w:vAlign w:val="bottom"/>
            <w:hideMark/>
          </w:tcPr>
          <w:p w14:paraId="0CABF15C"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7.55</w:t>
            </w:r>
          </w:p>
        </w:tc>
      </w:tr>
      <w:tr w:rsidR="003D5B79" w:rsidRPr="003D5B79" w14:paraId="3B684461" w14:textId="77777777" w:rsidTr="00520690">
        <w:trPr>
          <w:trHeight w:val="330"/>
        </w:trPr>
        <w:tc>
          <w:tcPr>
            <w:tcW w:w="1080" w:type="dxa"/>
            <w:tcBorders>
              <w:top w:val="nil"/>
              <w:left w:val="nil"/>
              <w:bottom w:val="nil"/>
              <w:right w:val="nil"/>
            </w:tcBorders>
            <w:shd w:val="clear" w:color="auto" w:fill="auto"/>
            <w:noWrap/>
            <w:vAlign w:val="bottom"/>
            <w:hideMark/>
          </w:tcPr>
          <w:p w14:paraId="13A53F6E"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P16</w:t>
            </w:r>
          </w:p>
        </w:tc>
        <w:tc>
          <w:tcPr>
            <w:tcW w:w="4080" w:type="dxa"/>
            <w:tcBorders>
              <w:top w:val="nil"/>
              <w:left w:val="nil"/>
              <w:bottom w:val="nil"/>
              <w:right w:val="nil"/>
            </w:tcBorders>
            <w:shd w:val="clear" w:color="auto" w:fill="auto"/>
            <w:hideMark/>
          </w:tcPr>
          <w:p w14:paraId="457F1D00"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Emergency response system in the management of LB3</w:t>
            </w:r>
          </w:p>
        </w:tc>
        <w:tc>
          <w:tcPr>
            <w:tcW w:w="1080" w:type="dxa"/>
            <w:tcBorders>
              <w:top w:val="nil"/>
              <w:left w:val="nil"/>
              <w:bottom w:val="nil"/>
              <w:right w:val="nil"/>
            </w:tcBorders>
            <w:shd w:val="clear" w:color="auto" w:fill="auto"/>
            <w:noWrap/>
            <w:vAlign w:val="bottom"/>
            <w:hideMark/>
          </w:tcPr>
          <w:p w14:paraId="38887220"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87.76</w:t>
            </w:r>
          </w:p>
        </w:tc>
        <w:tc>
          <w:tcPr>
            <w:tcW w:w="1410" w:type="dxa"/>
            <w:tcBorders>
              <w:top w:val="nil"/>
              <w:left w:val="nil"/>
              <w:bottom w:val="nil"/>
              <w:right w:val="nil"/>
            </w:tcBorders>
            <w:shd w:val="clear" w:color="auto" w:fill="auto"/>
            <w:noWrap/>
            <w:vAlign w:val="bottom"/>
            <w:hideMark/>
          </w:tcPr>
          <w:p w14:paraId="658F0965"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7.3</w:t>
            </w:r>
          </w:p>
        </w:tc>
      </w:tr>
      <w:tr w:rsidR="003D5B79" w:rsidRPr="003D5B79" w14:paraId="3E9E6E5B" w14:textId="77777777" w:rsidTr="00520690">
        <w:trPr>
          <w:trHeight w:val="270"/>
        </w:trPr>
        <w:tc>
          <w:tcPr>
            <w:tcW w:w="1080" w:type="dxa"/>
            <w:tcBorders>
              <w:top w:val="nil"/>
              <w:left w:val="nil"/>
              <w:bottom w:val="nil"/>
              <w:right w:val="nil"/>
            </w:tcBorders>
            <w:shd w:val="clear" w:color="auto" w:fill="auto"/>
            <w:noWrap/>
            <w:vAlign w:val="bottom"/>
            <w:hideMark/>
          </w:tcPr>
          <w:p w14:paraId="2A140B2A"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P2</w:t>
            </w:r>
          </w:p>
        </w:tc>
        <w:tc>
          <w:tcPr>
            <w:tcW w:w="4080" w:type="dxa"/>
            <w:tcBorders>
              <w:top w:val="nil"/>
              <w:left w:val="nil"/>
              <w:bottom w:val="nil"/>
              <w:right w:val="nil"/>
            </w:tcBorders>
            <w:shd w:val="clear" w:color="auto" w:fill="auto"/>
            <w:noWrap/>
            <w:hideMark/>
          </w:tcPr>
          <w:p w14:paraId="5DFD2080"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Total weight of waste by type</w:t>
            </w:r>
          </w:p>
        </w:tc>
        <w:tc>
          <w:tcPr>
            <w:tcW w:w="1080" w:type="dxa"/>
            <w:tcBorders>
              <w:top w:val="nil"/>
              <w:left w:val="nil"/>
              <w:bottom w:val="nil"/>
              <w:right w:val="nil"/>
            </w:tcBorders>
            <w:shd w:val="clear" w:color="auto" w:fill="auto"/>
            <w:noWrap/>
            <w:vAlign w:val="bottom"/>
            <w:hideMark/>
          </w:tcPr>
          <w:p w14:paraId="52D4AAF6"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84.08</w:t>
            </w:r>
          </w:p>
        </w:tc>
        <w:tc>
          <w:tcPr>
            <w:tcW w:w="1410" w:type="dxa"/>
            <w:tcBorders>
              <w:top w:val="nil"/>
              <w:left w:val="nil"/>
              <w:bottom w:val="nil"/>
              <w:right w:val="nil"/>
            </w:tcBorders>
            <w:shd w:val="clear" w:color="auto" w:fill="auto"/>
            <w:noWrap/>
            <w:vAlign w:val="bottom"/>
            <w:hideMark/>
          </w:tcPr>
          <w:p w14:paraId="43AF7EC0"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6.93</w:t>
            </w:r>
          </w:p>
        </w:tc>
      </w:tr>
      <w:tr w:rsidR="003D5B79" w:rsidRPr="003D5B79" w14:paraId="22F979DA" w14:textId="77777777" w:rsidTr="00520690">
        <w:trPr>
          <w:trHeight w:val="315"/>
        </w:trPr>
        <w:tc>
          <w:tcPr>
            <w:tcW w:w="1080" w:type="dxa"/>
            <w:tcBorders>
              <w:top w:val="nil"/>
              <w:left w:val="nil"/>
              <w:bottom w:val="nil"/>
              <w:right w:val="nil"/>
            </w:tcBorders>
            <w:shd w:val="clear" w:color="auto" w:fill="auto"/>
            <w:noWrap/>
            <w:vAlign w:val="bottom"/>
            <w:hideMark/>
          </w:tcPr>
          <w:p w14:paraId="5EFC7465"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P6</w:t>
            </w:r>
          </w:p>
        </w:tc>
        <w:tc>
          <w:tcPr>
            <w:tcW w:w="4080" w:type="dxa"/>
            <w:tcBorders>
              <w:top w:val="nil"/>
              <w:left w:val="nil"/>
              <w:bottom w:val="nil"/>
              <w:right w:val="nil"/>
            </w:tcBorders>
            <w:shd w:val="clear" w:color="auto" w:fill="auto"/>
            <w:noWrap/>
            <w:hideMark/>
          </w:tcPr>
          <w:p w14:paraId="160A30A5"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transport information</w:t>
            </w:r>
          </w:p>
        </w:tc>
        <w:tc>
          <w:tcPr>
            <w:tcW w:w="1080" w:type="dxa"/>
            <w:tcBorders>
              <w:top w:val="nil"/>
              <w:left w:val="nil"/>
              <w:bottom w:val="nil"/>
              <w:right w:val="nil"/>
            </w:tcBorders>
            <w:shd w:val="clear" w:color="auto" w:fill="auto"/>
            <w:noWrap/>
            <w:vAlign w:val="bottom"/>
            <w:hideMark/>
          </w:tcPr>
          <w:p w14:paraId="1FF8D746"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80</w:t>
            </w:r>
          </w:p>
        </w:tc>
        <w:tc>
          <w:tcPr>
            <w:tcW w:w="1410" w:type="dxa"/>
            <w:tcBorders>
              <w:top w:val="nil"/>
              <w:left w:val="nil"/>
              <w:bottom w:val="nil"/>
              <w:right w:val="nil"/>
            </w:tcBorders>
            <w:shd w:val="clear" w:color="auto" w:fill="auto"/>
            <w:noWrap/>
            <w:vAlign w:val="bottom"/>
            <w:hideMark/>
          </w:tcPr>
          <w:p w14:paraId="28676E26"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6.81</w:t>
            </w:r>
          </w:p>
        </w:tc>
      </w:tr>
      <w:tr w:rsidR="003D5B79" w:rsidRPr="003D5B79" w14:paraId="1328F87E" w14:textId="77777777" w:rsidTr="00520690">
        <w:trPr>
          <w:trHeight w:val="630"/>
        </w:trPr>
        <w:tc>
          <w:tcPr>
            <w:tcW w:w="1080" w:type="dxa"/>
            <w:tcBorders>
              <w:top w:val="nil"/>
              <w:left w:val="nil"/>
              <w:bottom w:val="nil"/>
              <w:right w:val="nil"/>
            </w:tcBorders>
            <w:shd w:val="clear" w:color="auto" w:fill="auto"/>
            <w:noWrap/>
            <w:vAlign w:val="bottom"/>
            <w:hideMark/>
          </w:tcPr>
          <w:p w14:paraId="57C47610"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P12</w:t>
            </w:r>
          </w:p>
        </w:tc>
        <w:tc>
          <w:tcPr>
            <w:tcW w:w="4080" w:type="dxa"/>
            <w:tcBorders>
              <w:top w:val="nil"/>
              <w:left w:val="nil"/>
              <w:bottom w:val="nil"/>
              <w:right w:val="nil"/>
            </w:tcBorders>
            <w:shd w:val="clear" w:color="auto" w:fill="auto"/>
            <w:hideMark/>
          </w:tcPr>
          <w:p w14:paraId="26F223CC"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Total weight of waste by disposal method</w:t>
            </w:r>
          </w:p>
        </w:tc>
        <w:tc>
          <w:tcPr>
            <w:tcW w:w="1080" w:type="dxa"/>
            <w:tcBorders>
              <w:top w:val="nil"/>
              <w:left w:val="nil"/>
              <w:bottom w:val="nil"/>
              <w:right w:val="nil"/>
            </w:tcBorders>
            <w:shd w:val="clear" w:color="auto" w:fill="auto"/>
            <w:noWrap/>
            <w:vAlign w:val="bottom"/>
            <w:hideMark/>
          </w:tcPr>
          <w:p w14:paraId="325416BC"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80.41</w:t>
            </w:r>
          </w:p>
        </w:tc>
        <w:tc>
          <w:tcPr>
            <w:tcW w:w="1410" w:type="dxa"/>
            <w:tcBorders>
              <w:top w:val="nil"/>
              <w:left w:val="nil"/>
              <w:bottom w:val="nil"/>
              <w:right w:val="nil"/>
            </w:tcBorders>
            <w:shd w:val="clear" w:color="auto" w:fill="auto"/>
            <w:noWrap/>
            <w:vAlign w:val="bottom"/>
            <w:hideMark/>
          </w:tcPr>
          <w:p w14:paraId="5EF90B07"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6.31</w:t>
            </w:r>
          </w:p>
        </w:tc>
      </w:tr>
      <w:tr w:rsidR="003D5B79" w:rsidRPr="003D5B79" w14:paraId="0B27CDBF" w14:textId="77777777" w:rsidTr="00520690">
        <w:trPr>
          <w:trHeight w:val="630"/>
        </w:trPr>
        <w:tc>
          <w:tcPr>
            <w:tcW w:w="1080" w:type="dxa"/>
            <w:tcBorders>
              <w:top w:val="nil"/>
              <w:left w:val="nil"/>
              <w:bottom w:val="nil"/>
              <w:right w:val="nil"/>
            </w:tcBorders>
            <w:shd w:val="clear" w:color="auto" w:fill="auto"/>
            <w:noWrap/>
            <w:vAlign w:val="bottom"/>
            <w:hideMark/>
          </w:tcPr>
          <w:p w14:paraId="25D1B14C"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P15</w:t>
            </w:r>
          </w:p>
        </w:tc>
        <w:tc>
          <w:tcPr>
            <w:tcW w:w="4080" w:type="dxa"/>
            <w:tcBorders>
              <w:top w:val="nil"/>
              <w:left w:val="nil"/>
              <w:bottom w:val="nil"/>
              <w:right w:val="nil"/>
            </w:tcBorders>
            <w:shd w:val="clear" w:color="auto" w:fill="auto"/>
            <w:hideMark/>
          </w:tcPr>
          <w:p w14:paraId="788B7AEF"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Control of environmental pollution due to LB3</w:t>
            </w:r>
          </w:p>
        </w:tc>
        <w:tc>
          <w:tcPr>
            <w:tcW w:w="1080" w:type="dxa"/>
            <w:tcBorders>
              <w:top w:val="nil"/>
              <w:left w:val="nil"/>
              <w:bottom w:val="nil"/>
              <w:right w:val="nil"/>
            </w:tcBorders>
            <w:shd w:val="clear" w:color="auto" w:fill="auto"/>
            <w:noWrap/>
            <w:vAlign w:val="bottom"/>
            <w:hideMark/>
          </w:tcPr>
          <w:p w14:paraId="19F82A39"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89.8</w:t>
            </w:r>
          </w:p>
        </w:tc>
        <w:tc>
          <w:tcPr>
            <w:tcW w:w="1410" w:type="dxa"/>
            <w:tcBorders>
              <w:top w:val="nil"/>
              <w:left w:val="nil"/>
              <w:bottom w:val="nil"/>
              <w:right w:val="nil"/>
            </w:tcBorders>
            <w:shd w:val="clear" w:color="auto" w:fill="auto"/>
            <w:noWrap/>
            <w:vAlign w:val="bottom"/>
            <w:hideMark/>
          </w:tcPr>
          <w:p w14:paraId="607888DF"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5.45</w:t>
            </w:r>
          </w:p>
        </w:tc>
      </w:tr>
      <w:tr w:rsidR="003D5B79" w:rsidRPr="003D5B79" w14:paraId="518FCEC0" w14:textId="77777777" w:rsidTr="00520690">
        <w:trPr>
          <w:trHeight w:val="630"/>
        </w:trPr>
        <w:tc>
          <w:tcPr>
            <w:tcW w:w="1080" w:type="dxa"/>
            <w:tcBorders>
              <w:top w:val="nil"/>
              <w:left w:val="nil"/>
              <w:bottom w:val="nil"/>
              <w:right w:val="nil"/>
            </w:tcBorders>
            <w:shd w:val="clear" w:color="auto" w:fill="auto"/>
            <w:noWrap/>
            <w:vAlign w:val="bottom"/>
            <w:hideMark/>
          </w:tcPr>
          <w:p w14:paraId="110CE019"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P14</w:t>
            </w:r>
          </w:p>
        </w:tc>
        <w:tc>
          <w:tcPr>
            <w:tcW w:w="4080" w:type="dxa"/>
            <w:tcBorders>
              <w:top w:val="nil"/>
              <w:left w:val="nil"/>
              <w:bottom w:val="nil"/>
              <w:right w:val="nil"/>
            </w:tcBorders>
            <w:shd w:val="clear" w:color="auto" w:fill="auto"/>
            <w:hideMark/>
          </w:tcPr>
          <w:p w14:paraId="35FDCC0A"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Percentage of waste transported for international shipments</w:t>
            </w:r>
          </w:p>
        </w:tc>
        <w:tc>
          <w:tcPr>
            <w:tcW w:w="1080" w:type="dxa"/>
            <w:tcBorders>
              <w:top w:val="nil"/>
              <w:left w:val="nil"/>
              <w:bottom w:val="nil"/>
              <w:right w:val="nil"/>
            </w:tcBorders>
            <w:shd w:val="clear" w:color="auto" w:fill="auto"/>
            <w:noWrap/>
            <w:vAlign w:val="bottom"/>
            <w:hideMark/>
          </w:tcPr>
          <w:p w14:paraId="648974DF"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79.18</w:t>
            </w:r>
          </w:p>
        </w:tc>
        <w:tc>
          <w:tcPr>
            <w:tcW w:w="1410" w:type="dxa"/>
            <w:tcBorders>
              <w:top w:val="nil"/>
              <w:left w:val="nil"/>
              <w:bottom w:val="nil"/>
              <w:right w:val="nil"/>
            </w:tcBorders>
            <w:shd w:val="clear" w:color="auto" w:fill="auto"/>
            <w:noWrap/>
            <w:vAlign w:val="bottom"/>
            <w:hideMark/>
          </w:tcPr>
          <w:p w14:paraId="085575AB"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0.12</w:t>
            </w:r>
          </w:p>
        </w:tc>
      </w:tr>
      <w:tr w:rsidR="003D5B79" w:rsidRPr="003D5B79" w14:paraId="4979BFF2" w14:textId="77777777" w:rsidTr="00520690">
        <w:trPr>
          <w:trHeight w:val="315"/>
        </w:trPr>
        <w:tc>
          <w:tcPr>
            <w:tcW w:w="1080" w:type="dxa"/>
            <w:tcBorders>
              <w:top w:val="nil"/>
              <w:left w:val="nil"/>
              <w:bottom w:val="single" w:sz="4" w:space="0" w:color="auto"/>
              <w:right w:val="nil"/>
            </w:tcBorders>
            <w:shd w:val="clear" w:color="auto" w:fill="auto"/>
            <w:noWrap/>
            <w:vAlign w:val="bottom"/>
            <w:hideMark/>
          </w:tcPr>
          <w:p w14:paraId="14FB8D58" w14:textId="77777777"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P19</w:t>
            </w:r>
          </w:p>
        </w:tc>
        <w:tc>
          <w:tcPr>
            <w:tcW w:w="4080" w:type="dxa"/>
            <w:tcBorders>
              <w:top w:val="nil"/>
              <w:left w:val="nil"/>
              <w:bottom w:val="single" w:sz="4" w:space="0" w:color="auto"/>
              <w:right w:val="nil"/>
            </w:tcBorders>
            <w:shd w:val="clear" w:color="auto" w:fill="auto"/>
            <w:noWrap/>
            <w:hideMark/>
          </w:tcPr>
          <w:p w14:paraId="116A2A89" w14:textId="77777777"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Total spill volume LB3</w:t>
            </w:r>
          </w:p>
        </w:tc>
        <w:tc>
          <w:tcPr>
            <w:tcW w:w="1080" w:type="dxa"/>
            <w:tcBorders>
              <w:top w:val="nil"/>
              <w:left w:val="nil"/>
              <w:bottom w:val="single" w:sz="4" w:space="0" w:color="auto"/>
              <w:right w:val="nil"/>
            </w:tcBorders>
            <w:shd w:val="clear" w:color="auto" w:fill="auto"/>
            <w:noWrap/>
            <w:vAlign w:val="bottom"/>
            <w:hideMark/>
          </w:tcPr>
          <w:p w14:paraId="30EE7AC6"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86.12</w:t>
            </w:r>
          </w:p>
        </w:tc>
        <w:tc>
          <w:tcPr>
            <w:tcW w:w="1410" w:type="dxa"/>
            <w:tcBorders>
              <w:top w:val="nil"/>
              <w:left w:val="nil"/>
              <w:bottom w:val="single" w:sz="4" w:space="0" w:color="auto"/>
              <w:right w:val="nil"/>
            </w:tcBorders>
            <w:shd w:val="clear" w:color="auto" w:fill="auto"/>
            <w:noWrap/>
            <w:vAlign w:val="bottom"/>
            <w:hideMark/>
          </w:tcPr>
          <w:p w14:paraId="47E8CFD3" w14:textId="77777777"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0.12</w:t>
            </w:r>
          </w:p>
        </w:tc>
      </w:tr>
    </w:tbl>
    <w:p w14:paraId="5EC58F23" w14:textId="77777777" w:rsidR="003D5B79" w:rsidRPr="003D5B79" w:rsidRDefault="003D5B79" w:rsidP="003D5B79">
      <w:pPr>
        <w:spacing w:after="0" w:line="240" w:lineRule="auto"/>
        <w:ind w:firstLine="562"/>
        <w:rPr>
          <w:rFonts w:ascii="Times New Roman" w:eastAsia="Times New Roman" w:hAnsi="Times New Roman" w:cs="Times New Roman"/>
          <w:bCs/>
          <w:sz w:val="24"/>
          <w:szCs w:val="24"/>
          <w:lang w:val="sv-SE"/>
        </w:rPr>
      </w:pPr>
      <w:r w:rsidRPr="003D5B79">
        <w:rPr>
          <w:rFonts w:ascii="Times New Roman" w:hAnsi="Times New Roman" w:cs="Times New Roman"/>
          <w:sz w:val="24"/>
          <w:szCs w:val="24"/>
        </w:rPr>
        <w:t>Source: Processed Data 2021</w:t>
      </w:r>
    </w:p>
    <w:p w14:paraId="5C1124F4" w14:textId="77777777" w:rsidR="003D5B79" w:rsidRPr="003D5B79" w:rsidRDefault="003D5B79" w:rsidP="003D5B79">
      <w:pPr>
        <w:spacing w:after="0" w:line="240" w:lineRule="auto"/>
        <w:ind w:firstLine="562"/>
        <w:rPr>
          <w:rFonts w:ascii="Times New Roman" w:eastAsia="Times New Roman" w:hAnsi="Times New Roman" w:cs="Times New Roman"/>
          <w:bCs/>
          <w:sz w:val="24"/>
          <w:szCs w:val="24"/>
          <w:lang w:val="sv-SE"/>
        </w:rPr>
      </w:pPr>
    </w:p>
    <w:p w14:paraId="18C38C6B" w14:textId="77777777" w:rsidR="009C55B3" w:rsidRDefault="003D5B79" w:rsidP="003D5B79">
      <w:pPr>
        <w:tabs>
          <w:tab w:val="left" w:pos="360"/>
          <w:tab w:val="left" w:pos="450"/>
        </w:tabs>
        <w:spacing w:after="0" w:line="240" w:lineRule="auto"/>
        <w:jc w:val="both"/>
        <w:rPr>
          <w:rFonts w:ascii="Times New Roman" w:eastAsia="Times New Roman" w:hAnsi="Times New Roman" w:cs="Times New Roman"/>
          <w:bCs/>
          <w:sz w:val="24"/>
          <w:szCs w:val="24"/>
          <w:lang w:val="sv-SE"/>
        </w:rPr>
        <w:sectPr w:rsidR="009C55B3" w:rsidSect="009C55B3">
          <w:type w:val="continuous"/>
          <w:pgSz w:w="12240" w:h="15840"/>
          <w:pgMar w:top="1440" w:right="1440" w:bottom="1440" w:left="1440" w:header="720" w:footer="720" w:gutter="0"/>
          <w:cols w:space="720"/>
          <w:docGrid w:linePitch="360"/>
        </w:sectPr>
      </w:pPr>
      <w:r w:rsidRPr="003D5B79">
        <w:rPr>
          <w:rFonts w:ascii="Times New Roman" w:eastAsia="Times New Roman" w:hAnsi="Times New Roman" w:cs="Times New Roman"/>
          <w:bCs/>
          <w:sz w:val="24"/>
          <w:szCs w:val="24"/>
          <w:lang w:val="sv-SE"/>
        </w:rPr>
        <w:tab/>
      </w:r>
    </w:p>
    <w:p w14:paraId="20EEAE4E" w14:textId="77777777" w:rsidR="003D5B79" w:rsidRPr="003D5B79" w:rsidRDefault="003D5B79" w:rsidP="003D5B79">
      <w:pPr>
        <w:tabs>
          <w:tab w:val="left" w:pos="360"/>
          <w:tab w:val="left" w:pos="450"/>
        </w:tabs>
        <w:spacing w:after="0" w:line="240" w:lineRule="auto"/>
        <w:jc w:val="both"/>
        <w:rPr>
          <w:rFonts w:ascii="Times New Roman" w:eastAsia="Times New Roman" w:hAnsi="Times New Roman" w:cs="Times New Roman"/>
          <w:color w:val="000000"/>
          <w:sz w:val="24"/>
          <w:szCs w:val="24"/>
        </w:rPr>
      </w:pPr>
      <w:r w:rsidRPr="003D5B79">
        <w:rPr>
          <w:rFonts w:ascii="Times New Roman" w:eastAsia="Times New Roman" w:hAnsi="Times New Roman" w:cs="Times New Roman"/>
          <w:bCs/>
          <w:sz w:val="24"/>
          <w:szCs w:val="24"/>
          <w:lang w:val="sv-SE"/>
        </w:rPr>
        <w:lastRenderedPageBreak/>
        <w:t>Table 5 shows the order of supply values ​​from the largest to the smallest is the disclosure of LB3 recycling LB3 into a new form. According to company practice, this disclosure has the most significant value, meaning that the company has a lot of exposure—Furthermore, the company's efforts to reduce LB3 mention the steps to minimize LB3. The following supply is how the company utilizes LB3. How does the company process LB3, what collection activities does the company do, how to store LB3. The company produces types of LB3, How to carry out supervision, maintenance of LB3 equipment, which LB3 disposal method is used. The company revealed the cause of LB3, how it had carried out the permit for the use of LB3 in the context of managing LB3. How companies stockpile LB3, emergency response system in LB3 management, the total weight of waste by type, LB3 transportation information, percentage of LB3 transported for international shipments, Total volume of LB3 spills</w:t>
      </w:r>
      <w:r w:rsidRPr="003D5B79">
        <w:rPr>
          <w:rFonts w:ascii="Times New Roman" w:eastAsia="Times New Roman" w:hAnsi="Times New Roman" w:cs="Times New Roman"/>
          <w:color w:val="000000"/>
          <w:sz w:val="24"/>
          <w:szCs w:val="24"/>
        </w:rPr>
        <w:t>.</w:t>
      </w:r>
    </w:p>
    <w:p w14:paraId="7FA19A1C" w14:textId="77777777" w:rsidR="003D5B79" w:rsidRPr="003D5B79" w:rsidRDefault="003D5B79" w:rsidP="003D5B79">
      <w:pPr>
        <w:spacing w:after="0" w:line="240" w:lineRule="auto"/>
        <w:ind w:firstLine="720"/>
        <w:jc w:val="both"/>
        <w:rPr>
          <w:rFonts w:ascii="Times New Roman" w:eastAsia="Times New Roman" w:hAnsi="Times New Roman" w:cs="Times New Roman"/>
          <w:sz w:val="24"/>
          <w:szCs w:val="24"/>
          <w:lang w:val="fi-FI"/>
        </w:rPr>
      </w:pPr>
      <w:r w:rsidRPr="003D5B79">
        <w:rPr>
          <w:rFonts w:ascii="Times New Roman" w:eastAsia="Times New Roman" w:hAnsi="Times New Roman" w:cs="Times New Roman"/>
          <w:sz w:val="24"/>
          <w:szCs w:val="24"/>
          <w:lang w:val="fi-FI"/>
        </w:rPr>
        <w:t xml:space="preserve">There is a difference in demand and supply for the disclosure of LB3. The difference in stakeholder demand for disclosure items LB3 in the annual report of manufacturing and mineral and coal companies listed on the IDX is high. In </w:t>
      </w:r>
      <w:r w:rsidRPr="003D5B79">
        <w:rPr>
          <w:rFonts w:ascii="Times New Roman" w:eastAsia="Times New Roman" w:hAnsi="Times New Roman" w:cs="Times New Roman"/>
          <w:sz w:val="24"/>
          <w:szCs w:val="24"/>
          <w:lang w:val="fi-FI"/>
        </w:rPr>
        <w:lastRenderedPageBreak/>
        <w:t>contrast, the supply of manufacturing and mineral and coal companies listed on the IDX is still low. This study uses normative stakeholder legitimacy theory. Companies need to gain legitimacy from normative stakeholders who have direct interests and have a reciprocal relationship between them. To gain legitimacy, companies need to take actions aimed at normative stakeholders. One way to achieve this legitimacy is to carry out environmental management activities for LB3, then report them in the company's annual report to know about them.</w:t>
      </w:r>
    </w:p>
    <w:p w14:paraId="75A211B7" w14:textId="77777777" w:rsidR="003D5B79" w:rsidRPr="003D5B79" w:rsidRDefault="003D5B79" w:rsidP="003D5B79">
      <w:pPr>
        <w:spacing w:after="0" w:line="240" w:lineRule="auto"/>
        <w:ind w:firstLine="720"/>
        <w:jc w:val="both"/>
        <w:rPr>
          <w:rFonts w:ascii="Times New Roman" w:eastAsia="Times New Roman" w:hAnsi="Times New Roman" w:cs="Times New Roman"/>
          <w:sz w:val="24"/>
          <w:szCs w:val="24"/>
          <w:lang w:val="fi-FI"/>
        </w:rPr>
      </w:pPr>
      <w:r w:rsidRPr="003D5B79">
        <w:rPr>
          <w:rFonts w:ascii="Times New Roman" w:eastAsia="Times New Roman" w:hAnsi="Times New Roman" w:cs="Times New Roman"/>
          <w:sz w:val="24"/>
          <w:szCs w:val="24"/>
          <w:lang w:val="fi-FI"/>
        </w:rPr>
        <w:t>Information about the management of LB3 needs to be disclosed in the company's annual report, which is still voluntary. The researcher has formulated the LB3 disclosure as many as 21 LB3 disclosure items. Normative stakeholders believe that the most critical exposure is utilization, while according to company realization, the most important is LB3 recycling.</w:t>
      </w:r>
    </w:p>
    <w:p w14:paraId="658E88E6" w14:textId="77777777" w:rsidR="003D5B79" w:rsidRPr="003D5B79" w:rsidRDefault="003D5B79" w:rsidP="003D5B79">
      <w:pPr>
        <w:spacing w:after="0" w:line="240" w:lineRule="auto"/>
        <w:ind w:firstLine="720"/>
        <w:jc w:val="both"/>
        <w:rPr>
          <w:rFonts w:ascii="Times New Roman" w:eastAsia="Times New Roman" w:hAnsi="Times New Roman" w:cs="Times New Roman"/>
          <w:sz w:val="24"/>
          <w:szCs w:val="24"/>
          <w:lang w:val="fi-FI"/>
        </w:rPr>
      </w:pPr>
      <w:r w:rsidRPr="003D5B79">
        <w:rPr>
          <w:rFonts w:ascii="Times New Roman" w:eastAsia="Times New Roman" w:hAnsi="Times New Roman" w:cs="Times New Roman"/>
          <w:sz w:val="24"/>
          <w:szCs w:val="24"/>
          <w:lang w:val="fi-FI"/>
        </w:rPr>
        <w:t xml:space="preserve">The results of the information gap, namely stakeholder demand with company realization, show that LB3 disclosure is still low in Indonesia. The results of the supply of LB3 disclosures are on average 27,2567%, far from the results desired by stakeholders, which is 85,2490%. So the result is that there are differences in demand and supply for LB3 </w:t>
      </w:r>
      <w:r w:rsidRPr="003D5B79">
        <w:rPr>
          <w:rFonts w:ascii="Times New Roman" w:eastAsia="Times New Roman" w:hAnsi="Times New Roman" w:cs="Times New Roman"/>
          <w:sz w:val="24"/>
          <w:szCs w:val="24"/>
          <w:lang w:val="fi-FI"/>
        </w:rPr>
        <w:lastRenderedPageBreak/>
        <w:t>disclosures. The difference between the two is what causes which items to be most important to be disclosed. That happens because the expectation (demand) is high while the realization (supply) is not in line with the expectation (market), which is still low.</w:t>
      </w:r>
    </w:p>
    <w:p w14:paraId="2826BD4B" w14:textId="77777777" w:rsidR="003D5B79" w:rsidRPr="003D5B79" w:rsidRDefault="003D5B79" w:rsidP="003D5B79">
      <w:pPr>
        <w:spacing w:after="0" w:line="240" w:lineRule="auto"/>
        <w:ind w:firstLine="720"/>
        <w:jc w:val="both"/>
        <w:rPr>
          <w:rFonts w:ascii="Times New Roman" w:eastAsia="Times New Roman" w:hAnsi="Times New Roman" w:cs="Times New Roman"/>
          <w:sz w:val="24"/>
          <w:szCs w:val="24"/>
          <w:lang w:val="fi-FI"/>
        </w:rPr>
      </w:pPr>
      <w:r w:rsidRPr="003D5B79">
        <w:rPr>
          <w:rFonts w:ascii="Times New Roman" w:eastAsia="Times New Roman" w:hAnsi="Times New Roman" w:cs="Times New Roman"/>
          <w:sz w:val="24"/>
          <w:szCs w:val="24"/>
          <w:lang w:val="fi-FI"/>
        </w:rPr>
        <w:t>Factors that are considered very important, but the company has not carried out according to the wishes of the stakeholders, is the disclosure item for the LB3 type. There are financing, prevention of environmental pollution due to LB3, emergency response system in LB3 management, supervision, the volume of LB3 spills, LB3 causes, LB3 storage, LB3 collection, LB3 treatment. Then the company needs to disclose the item. While four things, namely efforts to reduce LB3, LB3 utilization, LB3 recycling, and LB3 management, are considered very important and very satisfying in their implementation, these four disclosure items need to be maintained for continued disclosure by the company in the annual report. Then the item of disclosure of information on LB3 transportation, LB3 stockpiling, LB3 disposal method. The total weight of LB3 based on disposal method, percentage of LB3 transported for international shipping, LB3 coaching, the disclosure item according to demand is less critical, and the implementation of the disclosure is also less satisfying. Although it is less critical, the company still has to disclose this item in its annual report.</w:t>
      </w:r>
    </w:p>
    <w:p w14:paraId="7138A2A3" w14:textId="77777777" w:rsidR="003D5B79" w:rsidRPr="00B9610A" w:rsidRDefault="003D5B79" w:rsidP="00B9610A">
      <w:pPr>
        <w:spacing w:after="0" w:line="240" w:lineRule="auto"/>
        <w:ind w:firstLine="720"/>
        <w:jc w:val="both"/>
        <w:rPr>
          <w:rFonts w:ascii="Times New Roman" w:eastAsia="Times New Roman" w:hAnsi="Times New Roman" w:cs="Times New Roman"/>
          <w:sz w:val="24"/>
          <w:szCs w:val="24"/>
        </w:rPr>
      </w:pPr>
      <w:r w:rsidRPr="003D5B79">
        <w:rPr>
          <w:rFonts w:ascii="Times New Roman" w:eastAsia="Times New Roman" w:hAnsi="Times New Roman" w:cs="Times New Roman"/>
          <w:sz w:val="24"/>
          <w:szCs w:val="24"/>
          <w:lang w:val="fi-FI"/>
        </w:rPr>
        <w:t xml:space="preserve">Stakeholder legitimacy is significant for the company considering stakeholder legitimacy has an essential role in supporting the company's goals. LB3 disclosure to normative stakeholders is one of the company's indirect responsibilities to the environment to gain company legitimacy. Therefore, companies must disclose LB3 by the demands of normative stakeholders. The company's efforts are needed to make </w:t>
      </w:r>
      <w:r w:rsidRPr="003D5B79">
        <w:rPr>
          <w:rFonts w:ascii="Times New Roman" w:eastAsia="Times New Roman" w:hAnsi="Times New Roman" w:cs="Times New Roman"/>
          <w:sz w:val="24"/>
          <w:szCs w:val="24"/>
          <w:lang w:val="fi-FI"/>
        </w:rPr>
        <w:lastRenderedPageBreak/>
        <w:t>comprehensive LB3 disclosures to obtain legitimacy. This research is consistent with previous research conducted by Amelia &amp; Suhardjanto (2011); Suhardjanto &amp; Choiriyah (2010). The result is that there are differences in demand and supply of environmental disclosures between stakeholder demand and company supply, where demand is high, and supply is low.</w:t>
      </w:r>
      <w:r w:rsidR="00B9610A">
        <w:rPr>
          <w:rFonts w:ascii="Times New Roman" w:eastAsia="Times New Roman" w:hAnsi="Times New Roman" w:cs="Times New Roman"/>
          <w:sz w:val="24"/>
          <w:szCs w:val="24"/>
        </w:rPr>
        <w:t xml:space="preserve"> </w:t>
      </w:r>
    </w:p>
    <w:p w14:paraId="24C4307E" w14:textId="77777777" w:rsidR="003D5B79" w:rsidRPr="009C55B3" w:rsidRDefault="003D5B79" w:rsidP="003D5B79">
      <w:pPr>
        <w:spacing w:after="0" w:line="240" w:lineRule="auto"/>
        <w:ind w:firstLine="567"/>
        <w:jc w:val="both"/>
        <w:rPr>
          <w:rFonts w:ascii="Times New Roman" w:hAnsi="Times New Roman" w:cs="Times New Roman"/>
          <w:b/>
          <w:sz w:val="24"/>
          <w:szCs w:val="24"/>
        </w:rPr>
      </w:pPr>
    </w:p>
    <w:p w14:paraId="15850D32" w14:textId="77777777" w:rsidR="009C55B3" w:rsidRPr="00B9610A" w:rsidRDefault="009C55B3" w:rsidP="009C55B3">
      <w:pPr>
        <w:pStyle w:val="ListParagraph"/>
        <w:numPr>
          <w:ilvl w:val="0"/>
          <w:numId w:val="6"/>
        </w:numPr>
        <w:spacing w:after="0" w:line="240" w:lineRule="auto"/>
        <w:jc w:val="center"/>
        <w:rPr>
          <w:rFonts w:ascii="Times New Roman" w:hAnsi="Times New Roman"/>
          <w:b/>
          <w:color w:val="000000"/>
          <w:sz w:val="20"/>
          <w:szCs w:val="20"/>
          <w:lang w:val="id-ID"/>
        </w:rPr>
      </w:pPr>
      <w:r w:rsidRPr="00B9610A">
        <w:rPr>
          <w:rFonts w:ascii="Times New Roman" w:hAnsi="Times New Roman"/>
          <w:b/>
          <w:sz w:val="20"/>
          <w:szCs w:val="20"/>
        </w:rPr>
        <w:t>CONCLUSION</w:t>
      </w:r>
    </w:p>
    <w:p w14:paraId="2C57EC37" w14:textId="77777777" w:rsidR="003D5B79" w:rsidRPr="003D5B79" w:rsidRDefault="003D5B79" w:rsidP="003D5B79">
      <w:pPr>
        <w:autoSpaceDE w:val="0"/>
        <w:autoSpaceDN w:val="0"/>
        <w:adjustRightInd w:val="0"/>
        <w:spacing w:after="0" w:line="240" w:lineRule="auto"/>
        <w:jc w:val="both"/>
        <w:rPr>
          <w:rFonts w:ascii="Times New Roman" w:hAnsi="Times New Roman" w:cs="Times New Roman"/>
          <w:sz w:val="24"/>
          <w:szCs w:val="24"/>
        </w:rPr>
      </w:pPr>
      <w:r w:rsidRPr="003D5B79">
        <w:rPr>
          <w:rFonts w:ascii="Times New Roman" w:hAnsi="Times New Roman" w:cs="Times New Roman"/>
          <w:sz w:val="24"/>
          <w:szCs w:val="24"/>
        </w:rPr>
        <w:tab/>
        <w:t>This study aims to determine the information gap of LB3 disclosure in Indonesia. The results obtained show a difference between the demand and supply of LB3 disclosures in Indonesia. The level of demand for LB3 disclosure is high. However, in reality, companies in Indonesia disclosing LB3 are still very low. The results of the information gap show that LB3 exposure is still every day in Indonesia. Companies in Indonesia are less aware of LB3 management to care for business actors to carry out environmental conservation efforts and maintain ecological balance. Thus, the information gap from LB3 disclosure can be seen from the high demand (demand) and low supply.</w:t>
      </w:r>
    </w:p>
    <w:p w14:paraId="440DC489" w14:textId="77777777" w:rsidR="003D5B79" w:rsidRPr="003D5B79" w:rsidRDefault="003D5B79" w:rsidP="003D5B79">
      <w:pPr>
        <w:autoSpaceDE w:val="0"/>
        <w:autoSpaceDN w:val="0"/>
        <w:adjustRightInd w:val="0"/>
        <w:spacing w:after="0" w:line="240" w:lineRule="auto"/>
        <w:jc w:val="both"/>
        <w:rPr>
          <w:rFonts w:ascii="Times New Roman" w:hAnsi="Times New Roman" w:cs="Times New Roman"/>
          <w:sz w:val="24"/>
          <w:szCs w:val="24"/>
        </w:rPr>
      </w:pPr>
      <w:r w:rsidRPr="003D5B79">
        <w:rPr>
          <w:rFonts w:ascii="Times New Roman" w:hAnsi="Times New Roman" w:cs="Times New Roman"/>
          <w:sz w:val="24"/>
          <w:szCs w:val="24"/>
        </w:rPr>
        <w:t>Suggestion The level of LB3 disclosure in Indonesia, which is still very low, requires mandatory regulations. Should be balanced The company's rapid growth d with its awareness to keep managing LB3 in its business. The government should regularly monitor the implementation of LB3 management and disclose what has been done with LB3 management so that stakeholders know about it.</w:t>
      </w:r>
    </w:p>
    <w:p w14:paraId="5F398B58" w14:textId="77777777" w:rsidR="003D5B79" w:rsidRPr="003D5B79" w:rsidRDefault="003D5B79" w:rsidP="003D5B79">
      <w:pPr>
        <w:autoSpaceDE w:val="0"/>
        <w:autoSpaceDN w:val="0"/>
        <w:adjustRightInd w:val="0"/>
        <w:spacing w:after="0" w:line="240" w:lineRule="auto"/>
        <w:jc w:val="both"/>
        <w:rPr>
          <w:rFonts w:ascii="Times New Roman" w:hAnsi="Times New Roman" w:cs="Times New Roman"/>
          <w:sz w:val="24"/>
          <w:szCs w:val="24"/>
        </w:rPr>
      </w:pPr>
      <w:r w:rsidRPr="003D5B79">
        <w:rPr>
          <w:rFonts w:ascii="Times New Roman" w:hAnsi="Times New Roman" w:cs="Times New Roman"/>
          <w:sz w:val="24"/>
          <w:szCs w:val="24"/>
        </w:rPr>
        <w:t>For further research, so that it does not only involve normative stakeholders, it is necessary to involve other stakeholders researchers have never carried out. Future research can compare LB3 disclosures in other developing countries..</w:t>
      </w:r>
    </w:p>
    <w:p w14:paraId="3DA38510" w14:textId="77777777" w:rsidR="003D5B79" w:rsidRPr="003D5B79" w:rsidRDefault="003D5B79" w:rsidP="003D5B79">
      <w:pPr>
        <w:autoSpaceDE w:val="0"/>
        <w:autoSpaceDN w:val="0"/>
        <w:adjustRightInd w:val="0"/>
        <w:spacing w:after="0" w:line="240" w:lineRule="auto"/>
        <w:jc w:val="both"/>
        <w:rPr>
          <w:rFonts w:ascii="Times New Roman" w:hAnsi="Times New Roman" w:cs="Times New Roman"/>
          <w:sz w:val="24"/>
          <w:szCs w:val="24"/>
        </w:rPr>
      </w:pPr>
    </w:p>
    <w:p w14:paraId="45348556" w14:textId="77777777" w:rsidR="003D5B79" w:rsidRPr="003D5B79" w:rsidRDefault="003D5B79" w:rsidP="003D5B79">
      <w:pPr>
        <w:autoSpaceDE w:val="0"/>
        <w:autoSpaceDN w:val="0"/>
        <w:adjustRightInd w:val="0"/>
        <w:spacing w:after="0" w:line="240" w:lineRule="auto"/>
        <w:jc w:val="center"/>
        <w:rPr>
          <w:rFonts w:ascii="Times New Roman" w:eastAsia="TimesNewRomanPSMT" w:hAnsi="Times New Roman" w:cs="Times New Roman"/>
          <w:b/>
          <w:sz w:val="24"/>
          <w:szCs w:val="24"/>
        </w:rPr>
      </w:pPr>
      <w:r w:rsidRPr="003D5B79">
        <w:rPr>
          <w:rFonts w:ascii="Times New Roman" w:eastAsia="TimesNewRomanPSMT" w:hAnsi="Times New Roman" w:cs="Times New Roman"/>
          <w:b/>
          <w:sz w:val="24"/>
          <w:szCs w:val="24"/>
        </w:rPr>
        <w:t>References</w:t>
      </w:r>
    </w:p>
    <w:p w14:paraId="0AEC1BDF" w14:textId="77777777" w:rsidR="003D5B79" w:rsidRPr="003D5B79" w:rsidRDefault="003D5B79" w:rsidP="003D5B79">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3D5B79">
        <w:rPr>
          <w:rFonts w:ascii="Times New Roman" w:eastAsia="TimesNewRomanPSMT" w:hAnsi="Times New Roman" w:cs="Times New Roman"/>
          <w:b/>
          <w:sz w:val="24"/>
          <w:szCs w:val="24"/>
        </w:rPr>
        <w:fldChar w:fldCharType="begin" w:fldLock="1"/>
      </w:r>
      <w:r w:rsidRPr="003D5B79">
        <w:rPr>
          <w:rFonts w:ascii="Times New Roman" w:eastAsia="TimesNewRomanPSMT" w:hAnsi="Times New Roman" w:cs="Times New Roman"/>
          <w:b/>
          <w:sz w:val="24"/>
          <w:szCs w:val="24"/>
        </w:rPr>
        <w:instrText xml:space="preserve">ADDIN Mendeley Bibliography CSL_BIBLIOGRAPHY </w:instrText>
      </w:r>
      <w:r w:rsidRPr="003D5B79">
        <w:rPr>
          <w:rFonts w:ascii="Times New Roman" w:eastAsia="TimesNewRomanPSMT" w:hAnsi="Times New Roman" w:cs="Times New Roman"/>
          <w:b/>
          <w:sz w:val="24"/>
          <w:szCs w:val="24"/>
        </w:rPr>
        <w:fldChar w:fldCharType="separate"/>
      </w:r>
      <w:r w:rsidRPr="003D5B79">
        <w:rPr>
          <w:rFonts w:ascii="Times New Roman" w:hAnsi="Times New Roman" w:cs="Times New Roman"/>
          <w:noProof/>
          <w:sz w:val="24"/>
          <w:szCs w:val="24"/>
        </w:rPr>
        <w:t xml:space="preserve">Amelia, W., &amp; Suhardjanto, D. (2011). </w:t>
      </w:r>
      <w:r w:rsidRPr="003D5B79">
        <w:rPr>
          <w:rFonts w:ascii="Times New Roman" w:hAnsi="Times New Roman" w:cs="Times New Roman"/>
          <w:i/>
          <w:iCs/>
          <w:noProof/>
          <w:sz w:val="24"/>
          <w:szCs w:val="24"/>
        </w:rPr>
        <w:lastRenderedPageBreak/>
        <w:t>Permintaan Elite Based Stakeholders Dan Praktik Pengungkapan Lingkungan Hidup di Indonesia</w:t>
      </w:r>
      <w:r w:rsidRPr="003D5B79">
        <w:rPr>
          <w:rFonts w:ascii="Times New Roman" w:hAnsi="Times New Roman" w:cs="Times New Roman"/>
          <w:noProof/>
          <w:sz w:val="24"/>
          <w:szCs w:val="24"/>
        </w:rPr>
        <w:t>. Universitas Sebelas Maret Surakarta.</w:t>
      </w:r>
    </w:p>
    <w:p w14:paraId="1EF5F582" w14:textId="77777777" w:rsidR="003D5B79" w:rsidRPr="003D5B79" w:rsidRDefault="003D5B79" w:rsidP="003D5B79">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3D5B79">
        <w:rPr>
          <w:rFonts w:ascii="Times New Roman" w:hAnsi="Times New Roman" w:cs="Times New Roman"/>
          <w:noProof/>
          <w:sz w:val="24"/>
          <w:szCs w:val="24"/>
        </w:rPr>
        <w:t xml:space="preserve">Anggraini, R. (2006). Pengungkapan Informasi Sosial dan Faktor – faktor yang Mempengaruhi Pengungkapan Informasi Sosial dan Laporan Keuangan Tahunan (Study Empiris pada Perusahaan – perusahaan yang Terdaftar di Bursa Efek Jakarta. </w:t>
      </w:r>
      <w:r w:rsidRPr="003D5B79">
        <w:rPr>
          <w:rFonts w:ascii="Times New Roman" w:hAnsi="Times New Roman" w:cs="Times New Roman"/>
          <w:i/>
          <w:iCs/>
          <w:noProof/>
          <w:sz w:val="24"/>
          <w:szCs w:val="24"/>
        </w:rPr>
        <w:t>Simposium Nasional Akuntansi IX. Padang</w:t>
      </w:r>
      <w:r w:rsidRPr="003D5B79">
        <w:rPr>
          <w:rFonts w:ascii="Times New Roman" w:hAnsi="Times New Roman" w:cs="Times New Roman"/>
          <w:noProof/>
          <w:sz w:val="24"/>
          <w:szCs w:val="24"/>
        </w:rPr>
        <w:t>.</w:t>
      </w:r>
    </w:p>
    <w:p w14:paraId="5CD8383E" w14:textId="77777777" w:rsidR="003D5B79" w:rsidRPr="003D5B79" w:rsidRDefault="003D5B79" w:rsidP="003D5B79">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3D5B79">
        <w:rPr>
          <w:rFonts w:ascii="Times New Roman" w:hAnsi="Times New Roman" w:cs="Times New Roman"/>
          <w:noProof/>
          <w:sz w:val="24"/>
          <w:szCs w:val="24"/>
        </w:rPr>
        <w:t xml:space="preserve">Ashforth, B. E., &amp; Gibbs, B. W. (1990). The Double-Edge of Organizational Legitimation. </w:t>
      </w:r>
      <w:r w:rsidRPr="003D5B79">
        <w:rPr>
          <w:rFonts w:ascii="Times New Roman" w:hAnsi="Times New Roman" w:cs="Times New Roman"/>
          <w:i/>
          <w:iCs/>
          <w:noProof/>
          <w:sz w:val="24"/>
          <w:szCs w:val="24"/>
        </w:rPr>
        <w:t>Organization Science</w:t>
      </w:r>
      <w:r w:rsidRPr="003D5B79">
        <w:rPr>
          <w:rFonts w:ascii="Times New Roman" w:hAnsi="Times New Roman" w:cs="Times New Roman"/>
          <w:noProof/>
          <w:sz w:val="24"/>
          <w:szCs w:val="24"/>
        </w:rPr>
        <w:t xml:space="preserve">, </w:t>
      </w:r>
      <w:r w:rsidRPr="003D5B79">
        <w:rPr>
          <w:rFonts w:ascii="Times New Roman" w:hAnsi="Times New Roman" w:cs="Times New Roman"/>
          <w:i/>
          <w:iCs/>
          <w:noProof/>
          <w:sz w:val="24"/>
          <w:szCs w:val="24"/>
        </w:rPr>
        <w:t>1</w:t>
      </w:r>
      <w:r w:rsidRPr="003D5B79">
        <w:rPr>
          <w:rFonts w:ascii="Times New Roman" w:hAnsi="Times New Roman" w:cs="Times New Roman"/>
          <w:noProof/>
          <w:sz w:val="24"/>
          <w:szCs w:val="24"/>
        </w:rPr>
        <w:t>(2), 177–194. https://doi.org/10.1287/orsc.1.2.177</w:t>
      </w:r>
    </w:p>
    <w:p w14:paraId="6DF28F51" w14:textId="77777777" w:rsidR="003D5B79" w:rsidRPr="003D5B79" w:rsidRDefault="003D5B79" w:rsidP="003D5B79">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3D5B79">
        <w:rPr>
          <w:rFonts w:ascii="Times New Roman" w:hAnsi="Times New Roman" w:cs="Times New Roman"/>
          <w:noProof/>
          <w:sz w:val="24"/>
          <w:szCs w:val="24"/>
        </w:rPr>
        <w:t xml:space="preserve">Clarkson, P. M., Fang, X., Li, Y., &amp; Richardson, G. (2013). The relevance of environmental disclosures: Are such disclosures incrementally informative? </w:t>
      </w:r>
      <w:r w:rsidRPr="003D5B79">
        <w:rPr>
          <w:rFonts w:ascii="Times New Roman" w:hAnsi="Times New Roman" w:cs="Times New Roman"/>
          <w:i/>
          <w:iCs/>
          <w:noProof/>
          <w:sz w:val="24"/>
          <w:szCs w:val="24"/>
        </w:rPr>
        <w:t>Journal of Accounting and Public Policy</w:t>
      </w:r>
      <w:r w:rsidRPr="003D5B79">
        <w:rPr>
          <w:rFonts w:ascii="Times New Roman" w:hAnsi="Times New Roman" w:cs="Times New Roman"/>
          <w:noProof/>
          <w:sz w:val="24"/>
          <w:szCs w:val="24"/>
        </w:rPr>
        <w:t xml:space="preserve">, </w:t>
      </w:r>
      <w:r w:rsidRPr="003D5B79">
        <w:rPr>
          <w:rFonts w:ascii="Times New Roman" w:hAnsi="Times New Roman" w:cs="Times New Roman"/>
          <w:i/>
          <w:iCs/>
          <w:noProof/>
          <w:sz w:val="24"/>
          <w:szCs w:val="24"/>
        </w:rPr>
        <w:t>32</w:t>
      </w:r>
      <w:r w:rsidRPr="003D5B79">
        <w:rPr>
          <w:rFonts w:ascii="Times New Roman" w:hAnsi="Times New Roman" w:cs="Times New Roman"/>
          <w:noProof/>
          <w:sz w:val="24"/>
          <w:szCs w:val="24"/>
        </w:rPr>
        <w:t>(5), 410–431. https://doi.org/10.1016/j.jaccpubpol.2013.06.008</w:t>
      </w:r>
    </w:p>
    <w:p w14:paraId="0D710CBE" w14:textId="77777777" w:rsidR="003D5B79" w:rsidRPr="003D5B79" w:rsidRDefault="003D5B79" w:rsidP="003D5B79">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3D5B79">
        <w:rPr>
          <w:rFonts w:ascii="Times New Roman" w:hAnsi="Times New Roman" w:cs="Times New Roman"/>
          <w:noProof/>
          <w:sz w:val="24"/>
          <w:szCs w:val="24"/>
        </w:rPr>
        <w:t xml:space="preserve">Clarkson, P. M., Li, Y., Richardson, G. D., &amp; Vasvari, F. P. (2008). Revisiting the relation between environmental performance and environmental disclosure: An empirical analysis. </w:t>
      </w:r>
      <w:r w:rsidRPr="003D5B79">
        <w:rPr>
          <w:rFonts w:ascii="Times New Roman" w:hAnsi="Times New Roman" w:cs="Times New Roman"/>
          <w:i/>
          <w:iCs/>
          <w:noProof/>
          <w:sz w:val="24"/>
          <w:szCs w:val="24"/>
        </w:rPr>
        <w:t>Accounting, Organizations and Society</w:t>
      </w:r>
      <w:r w:rsidRPr="003D5B79">
        <w:rPr>
          <w:rFonts w:ascii="Times New Roman" w:hAnsi="Times New Roman" w:cs="Times New Roman"/>
          <w:noProof/>
          <w:sz w:val="24"/>
          <w:szCs w:val="24"/>
        </w:rPr>
        <w:t xml:space="preserve">, </w:t>
      </w:r>
      <w:r w:rsidRPr="003D5B79">
        <w:rPr>
          <w:rFonts w:ascii="Times New Roman" w:hAnsi="Times New Roman" w:cs="Times New Roman"/>
          <w:i/>
          <w:iCs/>
          <w:noProof/>
          <w:sz w:val="24"/>
          <w:szCs w:val="24"/>
        </w:rPr>
        <w:t>33</w:t>
      </w:r>
      <w:r w:rsidRPr="003D5B79">
        <w:rPr>
          <w:rFonts w:ascii="Times New Roman" w:hAnsi="Times New Roman" w:cs="Times New Roman"/>
          <w:noProof/>
          <w:sz w:val="24"/>
          <w:szCs w:val="24"/>
        </w:rPr>
        <w:t>(4–5), 303–327. https://doi.org/10.1016/j.aos.2007.05.003</w:t>
      </w:r>
    </w:p>
    <w:p w14:paraId="4502814E" w14:textId="77777777" w:rsidR="003D5B79" w:rsidRPr="003D5B79" w:rsidRDefault="003D5B79" w:rsidP="003D5B79">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3D5B79">
        <w:rPr>
          <w:rFonts w:ascii="Times New Roman" w:hAnsi="Times New Roman" w:cs="Times New Roman"/>
          <w:noProof/>
          <w:sz w:val="24"/>
          <w:szCs w:val="24"/>
        </w:rPr>
        <w:t xml:space="preserve">Lako, A. (2008). Kewajiban CSR dan Reformasi Paradigma Bisnis dan Akuntansi. </w:t>
      </w:r>
      <w:r w:rsidRPr="003D5B79">
        <w:rPr>
          <w:rFonts w:ascii="Times New Roman" w:hAnsi="Times New Roman" w:cs="Times New Roman"/>
          <w:i/>
          <w:iCs/>
          <w:noProof/>
          <w:sz w:val="24"/>
          <w:szCs w:val="24"/>
        </w:rPr>
        <w:t>Usahawan</w:t>
      </w:r>
      <w:r w:rsidRPr="003D5B79">
        <w:rPr>
          <w:rFonts w:ascii="Times New Roman" w:hAnsi="Times New Roman" w:cs="Times New Roman"/>
          <w:noProof/>
          <w:sz w:val="24"/>
          <w:szCs w:val="24"/>
        </w:rPr>
        <w:t xml:space="preserve">, </w:t>
      </w:r>
      <w:r w:rsidRPr="003D5B79">
        <w:rPr>
          <w:rFonts w:ascii="Times New Roman" w:hAnsi="Times New Roman" w:cs="Times New Roman"/>
          <w:i/>
          <w:iCs/>
          <w:noProof/>
          <w:sz w:val="24"/>
          <w:szCs w:val="24"/>
        </w:rPr>
        <w:t>December</w:t>
      </w:r>
      <w:r w:rsidRPr="003D5B79">
        <w:rPr>
          <w:rFonts w:ascii="Times New Roman" w:hAnsi="Times New Roman" w:cs="Times New Roman"/>
          <w:noProof/>
          <w:sz w:val="24"/>
          <w:szCs w:val="24"/>
        </w:rPr>
        <w:t>. http://repository.unika.ac.id/19998/1/Kewajiban_CSR_dan_Reformasi_Paradigma_Bisnis_dan_A-1.pdf</w:t>
      </w:r>
    </w:p>
    <w:p w14:paraId="0C277497" w14:textId="77777777" w:rsidR="003D5B79" w:rsidRPr="003D5B79" w:rsidRDefault="003D5B79" w:rsidP="003D5B79">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3D5B79">
        <w:rPr>
          <w:rFonts w:ascii="Times New Roman" w:hAnsi="Times New Roman" w:cs="Times New Roman"/>
          <w:noProof/>
          <w:sz w:val="24"/>
          <w:szCs w:val="24"/>
        </w:rPr>
        <w:t xml:space="preserve">Peraturan Menteri. (2016). </w:t>
      </w:r>
      <w:r w:rsidRPr="003D5B79">
        <w:rPr>
          <w:rFonts w:ascii="Times New Roman" w:hAnsi="Times New Roman" w:cs="Times New Roman"/>
          <w:i/>
          <w:iCs/>
          <w:noProof/>
          <w:sz w:val="24"/>
          <w:szCs w:val="24"/>
        </w:rPr>
        <w:t>Peraturan Menteri LHK No.63 tahun 2016 tentang uji penimbunan LB3</w:t>
      </w:r>
      <w:r w:rsidRPr="003D5B79">
        <w:rPr>
          <w:rFonts w:ascii="Times New Roman" w:hAnsi="Times New Roman" w:cs="Times New Roman"/>
          <w:noProof/>
          <w:sz w:val="24"/>
          <w:szCs w:val="24"/>
        </w:rPr>
        <w:t>. Peraturan Menteri.</w:t>
      </w:r>
    </w:p>
    <w:p w14:paraId="60B083DE" w14:textId="77777777" w:rsidR="003D5B79" w:rsidRPr="003D5B79" w:rsidRDefault="003D5B79" w:rsidP="003D5B79">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3D5B79">
        <w:rPr>
          <w:rFonts w:ascii="Times New Roman" w:hAnsi="Times New Roman" w:cs="Times New Roman"/>
          <w:noProof/>
          <w:sz w:val="24"/>
          <w:szCs w:val="24"/>
        </w:rPr>
        <w:t xml:space="preserve">Peraturan Menteri RI. (2015). </w:t>
      </w:r>
      <w:r w:rsidRPr="003D5B79">
        <w:rPr>
          <w:rFonts w:ascii="Times New Roman" w:hAnsi="Times New Roman" w:cs="Times New Roman"/>
          <w:i/>
          <w:iCs/>
          <w:noProof/>
          <w:sz w:val="24"/>
          <w:szCs w:val="24"/>
        </w:rPr>
        <w:t>Peraturan Menteri LHK No.55 tahun 2015 tentang uji karakteristik LB3</w:t>
      </w:r>
      <w:r w:rsidRPr="003D5B79">
        <w:rPr>
          <w:rFonts w:ascii="Times New Roman" w:hAnsi="Times New Roman" w:cs="Times New Roman"/>
          <w:noProof/>
          <w:sz w:val="24"/>
          <w:szCs w:val="24"/>
        </w:rPr>
        <w:t xml:space="preserve">. Peraturan </w:t>
      </w:r>
      <w:r w:rsidRPr="003D5B79">
        <w:rPr>
          <w:rFonts w:ascii="Times New Roman" w:hAnsi="Times New Roman" w:cs="Times New Roman"/>
          <w:noProof/>
          <w:sz w:val="24"/>
          <w:szCs w:val="24"/>
        </w:rPr>
        <w:lastRenderedPageBreak/>
        <w:t>Menteri.</w:t>
      </w:r>
    </w:p>
    <w:p w14:paraId="6EBFD2A2" w14:textId="77777777" w:rsidR="003D5B79" w:rsidRPr="003D5B79" w:rsidRDefault="003D5B79" w:rsidP="003D5B79">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3D5B79">
        <w:rPr>
          <w:rFonts w:ascii="Times New Roman" w:hAnsi="Times New Roman" w:cs="Times New Roman"/>
          <w:noProof/>
          <w:sz w:val="24"/>
          <w:szCs w:val="24"/>
        </w:rPr>
        <w:t xml:space="preserve">Peraturan Pemerintah RI. (2014). </w:t>
      </w:r>
      <w:r w:rsidRPr="003D5B79">
        <w:rPr>
          <w:rFonts w:ascii="Times New Roman" w:hAnsi="Times New Roman" w:cs="Times New Roman"/>
          <w:i/>
          <w:iCs/>
          <w:noProof/>
          <w:sz w:val="24"/>
          <w:szCs w:val="24"/>
        </w:rPr>
        <w:t>Peraturan Pemerintah No 101 tahun 2014 limbah bahan berbahaya dan beracun</w:t>
      </w:r>
      <w:r w:rsidRPr="003D5B79">
        <w:rPr>
          <w:rFonts w:ascii="Times New Roman" w:hAnsi="Times New Roman" w:cs="Times New Roman"/>
          <w:noProof/>
          <w:sz w:val="24"/>
          <w:szCs w:val="24"/>
        </w:rPr>
        <w:t>.</w:t>
      </w:r>
    </w:p>
    <w:p w14:paraId="50007BC6" w14:textId="77777777" w:rsidR="003D5B79" w:rsidRPr="003D5B79" w:rsidRDefault="003D5B79" w:rsidP="003D5B79">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3D5B79">
        <w:rPr>
          <w:rFonts w:ascii="Times New Roman" w:hAnsi="Times New Roman" w:cs="Times New Roman"/>
          <w:noProof/>
          <w:sz w:val="24"/>
          <w:szCs w:val="24"/>
        </w:rPr>
        <w:t xml:space="preserve">Philip, R. (1997). Stakeholder Theory and A Principle of Fairness. </w:t>
      </w:r>
      <w:r w:rsidRPr="003D5B79">
        <w:rPr>
          <w:rFonts w:ascii="Times New Roman" w:hAnsi="Times New Roman" w:cs="Times New Roman"/>
          <w:i/>
          <w:iCs/>
          <w:noProof/>
          <w:sz w:val="24"/>
          <w:szCs w:val="24"/>
        </w:rPr>
        <w:t>Business Ethics Quarterly</w:t>
      </w:r>
      <w:r w:rsidRPr="003D5B79">
        <w:rPr>
          <w:rFonts w:ascii="Times New Roman" w:hAnsi="Times New Roman" w:cs="Times New Roman"/>
          <w:noProof/>
          <w:sz w:val="24"/>
          <w:szCs w:val="24"/>
        </w:rPr>
        <w:t xml:space="preserve">, </w:t>
      </w:r>
      <w:r w:rsidRPr="003D5B79">
        <w:rPr>
          <w:rFonts w:ascii="Times New Roman" w:hAnsi="Times New Roman" w:cs="Times New Roman"/>
          <w:i/>
          <w:iCs/>
          <w:noProof/>
          <w:sz w:val="24"/>
          <w:szCs w:val="24"/>
        </w:rPr>
        <w:t>volume 7,</w:t>
      </w:r>
      <w:r w:rsidRPr="003D5B79">
        <w:rPr>
          <w:rFonts w:ascii="Times New Roman" w:hAnsi="Times New Roman" w:cs="Times New Roman"/>
          <w:noProof/>
          <w:sz w:val="24"/>
          <w:szCs w:val="24"/>
        </w:rPr>
        <w:t>.</w:t>
      </w:r>
    </w:p>
    <w:p w14:paraId="3D993C90" w14:textId="77777777" w:rsidR="003D5B79" w:rsidRPr="003D5B79" w:rsidRDefault="003D5B79" w:rsidP="003D5B79">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3D5B79">
        <w:rPr>
          <w:rFonts w:ascii="Times New Roman" w:hAnsi="Times New Roman" w:cs="Times New Roman"/>
          <w:noProof/>
          <w:sz w:val="24"/>
          <w:szCs w:val="24"/>
        </w:rPr>
        <w:t xml:space="preserve">Phillips, R. (2003). </w:t>
      </w:r>
      <w:r w:rsidRPr="003D5B79">
        <w:rPr>
          <w:rFonts w:ascii="Times New Roman" w:hAnsi="Times New Roman" w:cs="Times New Roman"/>
          <w:i/>
          <w:iCs/>
          <w:noProof/>
          <w:sz w:val="24"/>
          <w:szCs w:val="24"/>
        </w:rPr>
        <w:t>Stakeholder Legitimacy Robert Phillips</w:t>
      </w:r>
      <w:r w:rsidRPr="003D5B79">
        <w:rPr>
          <w:rFonts w:ascii="Times New Roman" w:hAnsi="Times New Roman" w:cs="Times New Roman"/>
          <w:noProof/>
          <w:sz w:val="24"/>
          <w:szCs w:val="24"/>
        </w:rPr>
        <w:t xml:space="preserve">. </w:t>
      </w:r>
      <w:r w:rsidRPr="003D5B79">
        <w:rPr>
          <w:rFonts w:ascii="Times New Roman" w:hAnsi="Times New Roman" w:cs="Times New Roman"/>
          <w:i/>
          <w:iCs/>
          <w:noProof/>
          <w:sz w:val="24"/>
          <w:szCs w:val="24"/>
        </w:rPr>
        <w:t>13</w:t>
      </w:r>
      <w:r w:rsidRPr="003D5B79">
        <w:rPr>
          <w:rFonts w:ascii="Times New Roman" w:hAnsi="Times New Roman" w:cs="Times New Roman"/>
          <w:noProof/>
          <w:sz w:val="24"/>
          <w:szCs w:val="24"/>
        </w:rPr>
        <w:t>(1), 25–41.</w:t>
      </w:r>
    </w:p>
    <w:p w14:paraId="3AB52DCA" w14:textId="77777777" w:rsidR="003D5B79" w:rsidRPr="003D5B79" w:rsidRDefault="003D5B79" w:rsidP="003D5B79">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3D5B79">
        <w:rPr>
          <w:rFonts w:ascii="Times New Roman" w:hAnsi="Times New Roman" w:cs="Times New Roman"/>
          <w:noProof/>
          <w:sz w:val="24"/>
          <w:szCs w:val="24"/>
        </w:rPr>
        <w:t xml:space="preserve">Setiadi, I. (2016). </w:t>
      </w:r>
      <w:r w:rsidRPr="003D5B79">
        <w:rPr>
          <w:rFonts w:ascii="Times New Roman" w:hAnsi="Times New Roman" w:cs="Times New Roman"/>
          <w:i/>
          <w:iCs/>
          <w:noProof/>
          <w:sz w:val="24"/>
          <w:szCs w:val="24"/>
        </w:rPr>
        <w:t>Stakeholders, Pengungkapan Lingkungan, dan Nilai Perusahaan</w:t>
      </w:r>
      <w:r w:rsidRPr="003D5B79">
        <w:rPr>
          <w:rFonts w:ascii="Times New Roman" w:hAnsi="Times New Roman" w:cs="Times New Roman"/>
          <w:noProof/>
          <w:sz w:val="24"/>
          <w:szCs w:val="24"/>
        </w:rPr>
        <w:t>. Universitas Sebelas Maret Surakarta.</w:t>
      </w:r>
    </w:p>
    <w:p w14:paraId="53AA712D" w14:textId="77777777" w:rsidR="003D5B79" w:rsidRPr="003D5B79" w:rsidRDefault="003D5B79" w:rsidP="003D5B79">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3D5B79">
        <w:rPr>
          <w:rFonts w:ascii="Times New Roman" w:hAnsi="Times New Roman" w:cs="Times New Roman"/>
          <w:noProof/>
          <w:sz w:val="24"/>
          <w:szCs w:val="24"/>
        </w:rPr>
        <w:t xml:space="preserve">Suhardjanto, D. (2008). Environmental Reporting Practices: An Evidence from Indonesia. </w:t>
      </w:r>
      <w:r w:rsidRPr="003D5B79">
        <w:rPr>
          <w:rFonts w:ascii="Times New Roman" w:hAnsi="Times New Roman" w:cs="Times New Roman"/>
          <w:i/>
          <w:iCs/>
          <w:noProof/>
          <w:sz w:val="24"/>
          <w:szCs w:val="24"/>
        </w:rPr>
        <w:t>Jurnal Akuntansi Dan Bisnis</w:t>
      </w:r>
      <w:r w:rsidRPr="003D5B79">
        <w:rPr>
          <w:rFonts w:ascii="Times New Roman" w:hAnsi="Times New Roman" w:cs="Times New Roman"/>
          <w:noProof/>
          <w:sz w:val="24"/>
          <w:szCs w:val="24"/>
        </w:rPr>
        <w:t xml:space="preserve">, </w:t>
      </w:r>
      <w:r w:rsidRPr="003D5B79">
        <w:rPr>
          <w:rFonts w:ascii="Times New Roman" w:hAnsi="Times New Roman" w:cs="Times New Roman"/>
          <w:i/>
          <w:iCs/>
          <w:noProof/>
          <w:sz w:val="24"/>
          <w:szCs w:val="24"/>
        </w:rPr>
        <w:t>Vol. 8 No.</w:t>
      </w:r>
    </w:p>
    <w:p w14:paraId="4CC4C089" w14:textId="77777777" w:rsidR="003D5B79" w:rsidRPr="003D5B79" w:rsidRDefault="003D5B79" w:rsidP="003D5B79">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3D5B79">
        <w:rPr>
          <w:rFonts w:ascii="Times New Roman" w:hAnsi="Times New Roman" w:cs="Times New Roman"/>
          <w:noProof/>
          <w:sz w:val="24"/>
          <w:szCs w:val="24"/>
        </w:rPr>
        <w:t xml:space="preserve">Suhardjanto, D., &amp; Choiriyah, U. (2010). Information Gap : Demand Supply Environmental Disclosure. </w:t>
      </w:r>
      <w:r w:rsidRPr="003D5B79">
        <w:rPr>
          <w:rFonts w:ascii="Times New Roman" w:hAnsi="Times New Roman" w:cs="Times New Roman"/>
          <w:i/>
          <w:iCs/>
          <w:noProof/>
          <w:sz w:val="24"/>
          <w:szCs w:val="24"/>
        </w:rPr>
        <w:t>Jurnal Keuangan Dan Perbankan</w:t>
      </w:r>
      <w:r w:rsidRPr="003D5B79">
        <w:rPr>
          <w:rFonts w:ascii="Times New Roman" w:hAnsi="Times New Roman" w:cs="Times New Roman"/>
          <w:noProof/>
          <w:sz w:val="24"/>
          <w:szCs w:val="24"/>
        </w:rPr>
        <w:t xml:space="preserve">, </w:t>
      </w:r>
      <w:r w:rsidRPr="003D5B79">
        <w:rPr>
          <w:rFonts w:ascii="Times New Roman" w:hAnsi="Times New Roman" w:cs="Times New Roman"/>
          <w:i/>
          <w:iCs/>
          <w:noProof/>
          <w:sz w:val="24"/>
          <w:szCs w:val="24"/>
        </w:rPr>
        <w:t>14</w:t>
      </w:r>
      <w:r w:rsidRPr="003D5B79">
        <w:rPr>
          <w:rFonts w:ascii="Times New Roman" w:hAnsi="Times New Roman" w:cs="Times New Roman"/>
          <w:noProof/>
          <w:sz w:val="24"/>
          <w:szCs w:val="24"/>
        </w:rPr>
        <w:t>(1), 36–51.</w:t>
      </w:r>
    </w:p>
    <w:p w14:paraId="331B24E8" w14:textId="77777777" w:rsidR="003D5B79" w:rsidRPr="003D5B79" w:rsidRDefault="003D5B79" w:rsidP="003D5B79">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3D5B79">
        <w:rPr>
          <w:rFonts w:ascii="Times New Roman" w:hAnsi="Times New Roman" w:cs="Times New Roman"/>
          <w:noProof/>
          <w:sz w:val="24"/>
          <w:szCs w:val="24"/>
        </w:rPr>
        <w:t xml:space="preserve">Suhardjanto, Tower, &amp; Brown. (2007). Generating A Uniquely Indonesian Environmental Reporting Disclosure Index Using Press Coverage as An Important Proxy of Stakeholder Demand. </w:t>
      </w:r>
      <w:r w:rsidRPr="003D5B79">
        <w:rPr>
          <w:rFonts w:ascii="Times New Roman" w:hAnsi="Times New Roman" w:cs="Times New Roman"/>
          <w:i/>
          <w:iCs/>
          <w:noProof/>
          <w:sz w:val="24"/>
          <w:szCs w:val="24"/>
        </w:rPr>
        <w:t>Paper Submission to Asian Academic Accounting Association Annual Conference Yogyakarta. Indonesia</w:t>
      </w:r>
      <w:r w:rsidRPr="003D5B79">
        <w:rPr>
          <w:rFonts w:ascii="Times New Roman" w:hAnsi="Times New Roman" w:cs="Times New Roman"/>
          <w:noProof/>
          <w:sz w:val="24"/>
          <w:szCs w:val="24"/>
        </w:rPr>
        <w:t>.</w:t>
      </w:r>
    </w:p>
    <w:p w14:paraId="3363A9A8" w14:textId="77777777" w:rsidR="003D5B79" w:rsidRPr="003D5B79" w:rsidRDefault="003D5B79" w:rsidP="003D5B79">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3D5B79">
        <w:rPr>
          <w:rFonts w:ascii="Times New Roman" w:hAnsi="Times New Roman" w:cs="Times New Roman"/>
          <w:noProof/>
          <w:sz w:val="24"/>
          <w:szCs w:val="24"/>
        </w:rPr>
        <w:t xml:space="preserve">Sujarweni, W. (2019). </w:t>
      </w:r>
      <w:r w:rsidRPr="003D5B79">
        <w:rPr>
          <w:rFonts w:ascii="Times New Roman" w:hAnsi="Times New Roman" w:cs="Times New Roman"/>
          <w:i/>
          <w:iCs/>
          <w:noProof/>
          <w:sz w:val="24"/>
          <w:szCs w:val="24"/>
        </w:rPr>
        <w:t>Pengungkapan Limbah di Indonesia</w:t>
      </w:r>
      <w:r w:rsidRPr="003D5B79">
        <w:rPr>
          <w:rFonts w:ascii="Times New Roman" w:hAnsi="Times New Roman" w:cs="Times New Roman"/>
          <w:noProof/>
          <w:sz w:val="24"/>
          <w:szCs w:val="24"/>
        </w:rPr>
        <w:t>. Universitas Sebelas Maret Surakarta.</w:t>
      </w:r>
    </w:p>
    <w:p w14:paraId="11704F8D" w14:textId="77777777" w:rsidR="003D5B79" w:rsidRPr="003D5B79" w:rsidRDefault="003D5B79" w:rsidP="003D5B79">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3D5B79">
        <w:rPr>
          <w:rFonts w:ascii="Times New Roman" w:hAnsi="Times New Roman" w:cs="Times New Roman"/>
          <w:noProof/>
          <w:sz w:val="24"/>
          <w:szCs w:val="24"/>
        </w:rPr>
        <w:t xml:space="preserve">WALHI. (2015). </w:t>
      </w:r>
      <w:r w:rsidRPr="003D5B79">
        <w:rPr>
          <w:rFonts w:ascii="Times New Roman" w:hAnsi="Times New Roman" w:cs="Times New Roman"/>
          <w:i/>
          <w:iCs/>
          <w:noProof/>
          <w:sz w:val="24"/>
          <w:szCs w:val="24"/>
        </w:rPr>
        <w:t>Tinjauan Lingkungan Hidup 2015: Menagih Janji Menuntut Perubahan</w:t>
      </w:r>
      <w:r w:rsidRPr="003D5B79">
        <w:rPr>
          <w:rFonts w:ascii="Times New Roman" w:hAnsi="Times New Roman" w:cs="Times New Roman"/>
          <w:noProof/>
          <w:sz w:val="24"/>
          <w:szCs w:val="24"/>
        </w:rPr>
        <w:t>. 1–48. http://www.walhi.or.id/2016/12/22/outlook-2015-menagih-janji-penuntut-perubahan/</w:t>
      </w:r>
    </w:p>
    <w:p w14:paraId="1CA88C92" w14:textId="77777777" w:rsidR="003D5B79" w:rsidRPr="003D5B79" w:rsidRDefault="003D5B79" w:rsidP="003D5B79">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3D5B79">
        <w:rPr>
          <w:rFonts w:ascii="Times New Roman" w:hAnsi="Times New Roman" w:cs="Times New Roman"/>
          <w:noProof/>
          <w:sz w:val="24"/>
          <w:szCs w:val="24"/>
        </w:rPr>
        <w:t xml:space="preserve">Wiseman, J. (1982). An evaluation of environmental disclosures made in corporate annual reports. </w:t>
      </w:r>
      <w:r w:rsidRPr="003D5B79">
        <w:rPr>
          <w:rFonts w:ascii="Times New Roman" w:hAnsi="Times New Roman" w:cs="Times New Roman"/>
          <w:i/>
          <w:iCs/>
          <w:noProof/>
          <w:sz w:val="24"/>
          <w:szCs w:val="24"/>
        </w:rPr>
        <w:t>Accounting, Organizations and Society</w:t>
      </w:r>
      <w:r w:rsidRPr="003D5B79">
        <w:rPr>
          <w:rFonts w:ascii="Times New Roman" w:hAnsi="Times New Roman" w:cs="Times New Roman"/>
          <w:noProof/>
          <w:sz w:val="24"/>
          <w:szCs w:val="24"/>
        </w:rPr>
        <w:t xml:space="preserve">, </w:t>
      </w:r>
      <w:r w:rsidRPr="003D5B79">
        <w:rPr>
          <w:rFonts w:ascii="Times New Roman" w:hAnsi="Times New Roman" w:cs="Times New Roman"/>
          <w:i/>
          <w:iCs/>
          <w:noProof/>
          <w:sz w:val="24"/>
          <w:szCs w:val="24"/>
        </w:rPr>
        <w:t>7</w:t>
      </w:r>
      <w:r w:rsidRPr="003D5B79">
        <w:rPr>
          <w:rFonts w:ascii="Times New Roman" w:hAnsi="Times New Roman" w:cs="Times New Roman"/>
          <w:noProof/>
          <w:sz w:val="24"/>
          <w:szCs w:val="24"/>
        </w:rPr>
        <w:t>(1), 53–63. https://doi.org/10.1016/0361-3682(82)90025-3</w:t>
      </w:r>
    </w:p>
    <w:p w14:paraId="0925874C" w14:textId="77777777" w:rsidR="003D5B79" w:rsidRPr="003D5B79" w:rsidRDefault="003D5B79" w:rsidP="003D5B79">
      <w:pPr>
        <w:autoSpaceDE w:val="0"/>
        <w:autoSpaceDN w:val="0"/>
        <w:adjustRightInd w:val="0"/>
        <w:spacing w:after="0" w:line="240" w:lineRule="auto"/>
        <w:jc w:val="both"/>
        <w:rPr>
          <w:rFonts w:ascii="Times New Roman" w:eastAsia="TimesNewRomanPSMT" w:hAnsi="Times New Roman" w:cs="Times New Roman"/>
          <w:b/>
          <w:sz w:val="24"/>
          <w:szCs w:val="24"/>
        </w:rPr>
      </w:pPr>
      <w:r w:rsidRPr="003D5B79">
        <w:rPr>
          <w:rFonts w:ascii="Times New Roman" w:eastAsia="TimesNewRomanPSMT" w:hAnsi="Times New Roman" w:cs="Times New Roman"/>
          <w:b/>
          <w:sz w:val="24"/>
          <w:szCs w:val="24"/>
        </w:rPr>
        <w:lastRenderedPageBreak/>
        <w:fldChar w:fldCharType="end"/>
      </w:r>
    </w:p>
    <w:p w14:paraId="7FC4224E" w14:textId="77777777" w:rsidR="003D5B79" w:rsidRPr="003D5B79" w:rsidRDefault="003D5B79" w:rsidP="003D5B79">
      <w:pPr>
        <w:autoSpaceDE w:val="0"/>
        <w:autoSpaceDN w:val="0"/>
        <w:adjustRightInd w:val="0"/>
        <w:spacing w:after="0" w:line="240" w:lineRule="auto"/>
        <w:jc w:val="both"/>
        <w:rPr>
          <w:rFonts w:ascii="Times New Roman" w:eastAsia="TimesNewRomanPSMT" w:hAnsi="Times New Roman" w:cs="Times New Roman"/>
          <w:b/>
          <w:sz w:val="24"/>
          <w:szCs w:val="24"/>
        </w:rPr>
      </w:pPr>
    </w:p>
    <w:p w14:paraId="22651747" w14:textId="77777777" w:rsidR="003D5B79" w:rsidRPr="003D5B79" w:rsidRDefault="003D5B79" w:rsidP="003D5B79">
      <w:pPr>
        <w:autoSpaceDE w:val="0"/>
        <w:autoSpaceDN w:val="0"/>
        <w:adjustRightInd w:val="0"/>
        <w:spacing w:after="0" w:line="240" w:lineRule="auto"/>
        <w:jc w:val="center"/>
        <w:rPr>
          <w:rFonts w:ascii="Times New Roman" w:eastAsia="TimesNewRomanPSMT" w:hAnsi="Times New Roman" w:cs="Times New Roman"/>
          <w:b/>
          <w:sz w:val="24"/>
          <w:szCs w:val="24"/>
        </w:rPr>
      </w:pPr>
    </w:p>
    <w:p w14:paraId="1B3ACBE6" w14:textId="77777777" w:rsidR="003D5B79" w:rsidRPr="003D5B79" w:rsidRDefault="003D5B79" w:rsidP="003D5B79">
      <w:pPr>
        <w:spacing w:after="0" w:line="240" w:lineRule="auto"/>
        <w:jc w:val="both"/>
        <w:rPr>
          <w:rFonts w:ascii="Times New Roman" w:hAnsi="Times New Roman" w:cs="Times New Roman"/>
          <w:sz w:val="24"/>
          <w:szCs w:val="24"/>
        </w:rPr>
      </w:pPr>
    </w:p>
    <w:p w14:paraId="39ACE682" w14:textId="77777777" w:rsidR="009C55B3" w:rsidRDefault="009C55B3" w:rsidP="003D5B79">
      <w:pPr>
        <w:spacing w:after="0" w:line="240" w:lineRule="auto"/>
        <w:rPr>
          <w:rFonts w:ascii="Times New Roman" w:hAnsi="Times New Roman" w:cs="Times New Roman"/>
          <w:sz w:val="24"/>
          <w:szCs w:val="24"/>
        </w:rPr>
        <w:sectPr w:rsidR="009C55B3" w:rsidSect="009C55B3">
          <w:type w:val="continuous"/>
          <w:pgSz w:w="12240" w:h="15840"/>
          <w:pgMar w:top="1440" w:right="1440" w:bottom="1440" w:left="1440" w:header="720" w:footer="720" w:gutter="0"/>
          <w:cols w:num="2" w:space="720"/>
          <w:docGrid w:linePitch="360"/>
        </w:sectPr>
      </w:pPr>
    </w:p>
    <w:p w14:paraId="3913ECA8" w14:textId="77777777" w:rsidR="00B711C6" w:rsidRPr="003D5B79" w:rsidRDefault="00B711C6" w:rsidP="003D5B79">
      <w:pPr>
        <w:spacing w:after="0" w:line="240" w:lineRule="auto"/>
        <w:rPr>
          <w:rFonts w:ascii="Times New Roman" w:hAnsi="Times New Roman" w:cs="Times New Roman"/>
          <w:sz w:val="24"/>
          <w:szCs w:val="24"/>
        </w:rPr>
      </w:pPr>
    </w:p>
    <w:sectPr w:rsidR="00B711C6" w:rsidRPr="003D5B79" w:rsidSect="009C55B3">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ELL" w:date="2022-01-13T09:12:00Z" w:initials="D">
    <w:p w14:paraId="4678A55E" w14:textId="77777777" w:rsidR="008A560E" w:rsidRDefault="008A560E">
      <w:pPr>
        <w:pStyle w:val="CommentText"/>
      </w:pPr>
      <w:r>
        <w:rPr>
          <w:rStyle w:val="CommentReference"/>
        </w:rPr>
        <w:annotationRef/>
      </w:r>
      <w:r>
        <w:t>Pergunakan tata Bahasa yang baik dan benar</w:t>
      </w:r>
    </w:p>
  </w:comment>
  <w:comment w:id="1" w:author="DELL" w:date="2022-01-13T09:40:00Z" w:initials="D">
    <w:p w14:paraId="55D3EAF3" w14:textId="19D6A3AB" w:rsidR="00856D9D" w:rsidRDefault="00856D9D">
      <w:pPr>
        <w:pStyle w:val="CommentText"/>
      </w:pPr>
      <w:r>
        <w:rPr>
          <w:rStyle w:val="CommentReference"/>
        </w:rPr>
        <w:annotationRef/>
      </w:r>
      <w:r>
        <w:t>Belum menggunakan mendeley (Vancouver)</w:t>
      </w:r>
      <w:bookmarkStart w:id="2" w:name="_GoBack"/>
      <w:bookmarkEnd w:id="2"/>
    </w:p>
  </w:comment>
  <w:comment w:id="3" w:author="DELL" w:date="2022-01-13T09:13:00Z" w:initials="D">
    <w:p w14:paraId="1D6CDBBF" w14:textId="77777777" w:rsidR="008A560E" w:rsidRDefault="008A560E">
      <w:pPr>
        <w:pStyle w:val="CommentText"/>
      </w:pPr>
      <w:r>
        <w:rPr>
          <w:rStyle w:val="CommentReference"/>
        </w:rPr>
        <w:annotationRef/>
      </w:r>
      <w:r>
        <w:t>Sistematika penulisan bab belum konsisten</w:t>
      </w:r>
    </w:p>
  </w:comment>
  <w:comment w:id="4" w:author="DELL" w:date="2022-01-13T09:13:00Z" w:initials="D">
    <w:p w14:paraId="7436E4A2" w14:textId="77777777" w:rsidR="008A560E" w:rsidRDefault="008A560E">
      <w:pPr>
        <w:pStyle w:val="CommentText"/>
      </w:pPr>
      <w:r>
        <w:rPr>
          <w:rStyle w:val="CommentReference"/>
        </w:rPr>
        <w:annotationRef/>
      </w:r>
      <w:r>
        <w:t>Perlu diperhatikan jarak antar paragraf</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678A55E" w15:done="0"/>
  <w15:commentEx w15:paraId="55D3EAF3" w15:done="0"/>
  <w15:commentEx w15:paraId="1D6CDBBF" w15:done="0"/>
  <w15:commentEx w15:paraId="7436E4A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imbus Sans L">
    <w:altName w:val="MS Gothic"/>
    <w:charset w:val="80"/>
    <w:family w:val="auto"/>
    <w:pitch w:val="variable"/>
    <w:sig w:usb0="00000000"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Arial Unicode MS"/>
    <w:panose1 w:val="00000000000000000000"/>
    <w:charset w:val="00"/>
    <w:family w:val="roman"/>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768E2"/>
    <w:multiLevelType w:val="hybridMultilevel"/>
    <w:tmpl w:val="D878EA98"/>
    <w:lvl w:ilvl="0" w:tplc="124AE634">
      <w:start w:val="5"/>
      <w:numFmt w:val="upperRoman"/>
      <w:lvlText w:val="%1."/>
      <w:lvlJc w:val="left"/>
      <w:pPr>
        <w:ind w:left="1800" w:hanging="72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316C54"/>
    <w:multiLevelType w:val="hybridMultilevel"/>
    <w:tmpl w:val="213659EE"/>
    <w:lvl w:ilvl="0" w:tplc="73C862C8">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54C48D8"/>
    <w:multiLevelType w:val="hybridMultilevel"/>
    <w:tmpl w:val="9EAC9BB8"/>
    <w:lvl w:ilvl="0" w:tplc="EE70F1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D4C34"/>
    <w:multiLevelType w:val="hybridMultilevel"/>
    <w:tmpl w:val="57D88AFC"/>
    <w:lvl w:ilvl="0" w:tplc="523C4212">
      <w:start w:val="1"/>
      <w:numFmt w:val="decimal"/>
      <w:lvlText w:val="%1."/>
      <w:lvlJc w:val="left"/>
      <w:pPr>
        <w:ind w:left="1710" w:hanging="360"/>
      </w:pPr>
      <w:rPr>
        <w:rFonts w:ascii="Times New Roman" w:eastAsia="Times New Roman" w:hAnsi="Times New Roman" w:cs="Times New Roman"/>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 w15:restartNumberingAfterBreak="0">
    <w:nsid w:val="4C103F9F"/>
    <w:multiLevelType w:val="hybridMultilevel"/>
    <w:tmpl w:val="B1BE3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C05D06"/>
    <w:multiLevelType w:val="hybridMultilevel"/>
    <w:tmpl w:val="675486CE"/>
    <w:lvl w:ilvl="0" w:tplc="4F34EED0">
      <w:start w:val="3"/>
      <w:numFmt w:val="upperRoman"/>
      <w:lvlText w:val="%1."/>
      <w:lvlJc w:val="left"/>
      <w:pPr>
        <w:ind w:left="1004" w:hanging="720"/>
      </w:pPr>
      <w:rPr>
        <w:rFonts w:hint="default"/>
        <w:sz w:val="24"/>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577610A1"/>
    <w:multiLevelType w:val="hybridMultilevel"/>
    <w:tmpl w:val="2CC265B0"/>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5"/>
  </w:num>
  <w:num w:numId="5">
    <w:abstractNumId w:val="2"/>
  </w:num>
  <w:num w:numId="6">
    <w:abstractNumId w:val="0"/>
  </w:num>
  <w:num w:numId="7">
    <w:abstractNumId w:val="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B79"/>
    <w:rsid w:val="000E22F6"/>
    <w:rsid w:val="0027373B"/>
    <w:rsid w:val="003D5B79"/>
    <w:rsid w:val="00856D9D"/>
    <w:rsid w:val="008A560E"/>
    <w:rsid w:val="009C55B3"/>
    <w:rsid w:val="00B711C6"/>
    <w:rsid w:val="00B9610A"/>
    <w:rsid w:val="00CC7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BC3A5"/>
  <w15:chartTrackingRefBased/>
  <w15:docId w15:val="{2E6DAA33-154D-4C28-9202-4BB68F4FF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D5B79"/>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Caption">
    <w:name w:val="caption"/>
    <w:basedOn w:val="Normal"/>
    <w:qFormat/>
    <w:rsid w:val="003D5B79"/>
    <w:pPr>
      <w:suppressLineNumbers/>
      <w:spacing w:before="120" w:after="120" w:line="240" w:lineRule="auto"/>
    </w:pPr>
    <w:rPr>
      <w:rFonts w:ascii="Times New Roman" w:eastAsia="Times New Roman" w:hAnsi="Times New Roman" w:cs="Nimbus Sans L"/>
      <w:i/>
      <w:iCs/>
      <w:sz w:val="24"/>
      <w:szCs w:val="24"/>
    </w:rPr>
  </w:style>
  <w:style w:type="paragraph" w:styleId="ListParagraph">
    <w:name w:val="List Paragraph"/>
    <w:aliases w:val="Body of text,List Paragraph1,UGEX'Z,skirpsi,KhusBay,List Paragraph11,skripsi,Char Char2,List Paragraph2,gambar,nana,Colorful List - Accent 11,Body Text Char1,spasi 2 taiiii,List Paragraph Char Char,Body of text Char1"/>
    <w:basedOn w:val="Normal"/>
    <w:link w:val="ListParagraphChar"/>
    <w:uiPriority w:val="34"/>
    <w:qFormat/>
    <w:rsid w:val="003D5B79"/>
    <w:pPr>
      <w:ind w:left="720"/>
      <w:contextualSpacing/>
    </w:pPr>
    <w:rPr>
      <w:rFonts w:ascii="Calibri" w:eastAsia="Calibri" w:hAnsi="Calibri" w:cs="Times New Roman"/>
    </w:rPr>
  </w:style>
  <w:style w:type="character" w:customStyle="1" w:styleId="ListParagraphChar">
    <w:name w:val="List Paragraph Char"/>
    <w:aliases w:val="Body of text Char,List Paragraph1 Char,UGEX'Z Char,skirpsi Char,KhusBay Char,List Paragraph11 Char,skripsi Char,Char Char2 Char,List Paragraph2 Char,gambar Char,nana Char,Colorful List - Accent 11 Char,Body Text Char1 Char"/>
    <w:link w:val="ListParagraph"/>
    <w:rsid w:val="003D5B79"/>
    <w:rPr>
      <w:rFonts w:ascii="Calibri" w:eastAsia="Calibri" w:hAnsi="Calibri" w:cs="Times New Roman"/>
    </w:rPr>
  </w:style>
  <w:style w:type="paragraph" w:styleId="HTMLPreformatted">
    <w:name w:val="HTML Preformatted"/>
    <w:basedOn w:val="Normal"/>
    <w:link w:val="HTMLPreformattedChar"/>
    <w:uiPriority w:val="99"/>
    <w:semiHidden/>
    <w:unhideWhenUsed/>
    <w:rsid w:val="003D5B7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D5B79"/>
    <w:rPr>
      <w:rFonts w:ascii="Consolas" w:hAnsi="Consolas"/>
      <w:sz w:val="20"/>
      <w:szCs w:val="20"/>
    </w:rPr>
  </w:style>
  <w:style w:type="character" w:styleId="Hyperlink">
    <w:name w:val="Hyperlink"/>
    <w:basedOn w:val="DefaultParagraphFont"/>
    <w:uiPriority w:val="99"/>
    <w:unhideWhenUsed/>
    <w:rsid w:val="00B9610A"/>
    <w:rPr>
      <w:color w:val="0563C1" w:themeColor="hyperlink"/>
      <w:u w:val="single"/>
    </w:rPr>
  </w:style>
  <w:style w:type="character" w:styleId="CommentReference">
    <w:name w:val="annotation reference"/>
    <w:basedOn w:val="DefaultParagraphFont"/>
    <w:uiPriority w:val="99"/>
    <w:semiHidden/>
    <w:unhideWhenUsed/>
    <w:rsid w:val="008A560E"/>
    <w:rPr>
      <w:sz w:val="16"/>
      <w:szCs w:val="16"/>
    </w:rPr>
  </w:style>
  <w:style w:type="paragraph" w:styleId="CommentText">
    <w:name w:val="annotation text"/>
    <w:basedOn w:val="Normal"/>
    <w:link w:val="CommentTextChar"/>
    <w:uiPriority w:val="99"/>
    <w:semiHidden/>
    <w:unhideWhenUsed/>
    <w:rsid w:val="008A560E"/>
    <w:pPr>
      <w:spacing w:line="240" w:lineRule="auto"/>
    </w:pPr>
    <w:rPr>
      <w:sz w:val="20"/>
      <w:szCs w:val="20"/>
    </w:rPr>
  </w:style>
  <w:style w:type="character" w:customStyle="1" w:styleId="CommentTextChar">
    <w:name w:val="Comment Text Char"/>
    <w:basedOn w:val="DefaultParagraphFont"/>
    <w:link w:val="CommentText"/>
    <w:uiPriority w:val="99"/>
    <w:semiHidden/>
    <w:rsid w:val="008A560E"/>
    <w:rPr>
      <w:sz w:val="20"/>
      <w:szCs w:val="20"/>
    </w:rPr>
  </w:style>
  <w:style w:type="paragraph" w:styleId="CommentSubject">
    <w:name w:val="annotation subject"/>
    <w:basedOn w:val="CommentText"/>
    <w:next w:val="CommentText"/>
    <w:link w:val="CommentSubjectChar"/>
    <w:uiPriority w:val="99"/>
    <w:semiHidden/>
    <w:unhideWhenUsed/>
    <w:rsid w:val="008A560E"/>
    <w:rPr>
      <w:b/>
      <w:bCs/>
    </w:rPr>
  </w:style>
  <w:style w:type="character" w:customStyle="1" w:styleId="CommentSubjectChar">
    <w:name w:val="Comment Subject Char"/>
    <w:basedOn w:val="CommentTextChar"/>
    <w:link w:val="CommentSubject"/>
    <w:uiPriority w:val="99"/>
    <w:semiHidden/>
    <w:rsid w:val="008A560E"/>
    <w:rPr>
      <w:b/>
      <w:bCs/>
      <w:sz w:val="20"/>
      <w:szCs w:val="20"/>
    </w:rPr>
  </w:style>
  <w:style w:type="paragraph" w:styleId="BalloonText">
    <w:name w:val="Balloon Text"/>
    <w:basedOn w:val="Normal"/>
    <w:link w:val="BalloonTextChar"/>
    <w:uiPriority w:val="99"/>
    <w:semiHidden/>
    <w:unhideWhenUsed/>
    <w:rsid w:val="008A56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56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1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www.idx.co.i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papers.ssrn.com/sol3/cf_dev/AbsByAuth.cfm?per_id=2261623"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mailto:nana_wiratna@yahoo.com" TargetMode="External"/><Relationship Id="rId4" Type="http://schemas.openxmlformats.org/officeDocument/2006/relationships/settings" Target="settings.xml"/><Relationship Id="rId9" Type="http://schemas.openxmlformats.org/officeDocument/2006/relationships/hyperlink" Target="mailto:djoko.suhardjanto@yahoo.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51B2277-BC34-45EB-939D-F05902F89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6161</Words>
  <Characters>35123</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DELL</cp:lastModifiedBy>
  <cp:revision>3</cp:revision>
  <dcterms:created xsi:type="dcterms:W3CDTF">2022-01-13T02:15:00Z</dcterms:created>
  <dcterms:modified xsi:type="dcterms:W3CDTF">2022-01-13T02:41:00Z</dcterms:modified>
</cp:coreProperties>
</file>