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49A58" w14:textId="4D1BFF61" w:rsidR="00635501" w:rsidRPr="00533106" w:rsidRDefault="00C75246" w:rsidP="00E459E1">
      <w:pPr>
        <w:pStyle w:val="Title"/>
        <w:rPr>
          <w:lang w:val="en-US"/>
        </w:rPr>
      </w:pPr>
      <w:r>
        <w:rPr>
          <w:lang w:val="en-US"/>
        </w:rPr>
        <w:t>Investigation of Surface Free Energy of Palm Oil-Based Offset Printing Ink on Coated Paper</w:t>
      </w:r>
    </w:p>
    <w:p w14:paraId="4B91D658" w14:textId="45DB5BC0" w:rsidR="00635501" w:rsidRPr="00533106" w:rsidRDefault="00C75246" w:rsidP="00E459E1">
      <w:pPr>
        <w:pStyle w:val="Authors"/>
        <w:rPr>
          <w:lang w:val="en-US"/>
        </w:rPr>
      </w:pPr>
      <w:r>
        <w:rPr>
          <w:lang w:val="en-US"/>
        </w:rPr>
        <w:t>G S Suryadi</w:t>
      </w:r>
      <w:r>
        <w:rPr>
          <w:vertAlign w:val="superscript"/>
          <w:lang w:val="en-US"/>
        </w:rPr>
        <w:t>1*</w:t>
      </w:r>
      <w:r w:rsidR="00635501">
        <w:rPr>
          <w:lang w:val="en-US"/>
        </w:rPr>
        <w:t xml:space="preserve">, </w:t>
      </w:r>
      <w:r>
        <w:rPr>
          <w:lang w:val="en-US"/>
        </w:rPr>
        <w:t>S</w:t>
      </w:r>
      <w:r w:rsidR="00635501" w:rsidRPr="00533106">
        <w:rPr>
          <w:lang w:val="en-US"/>
        </w:rPr>
        <w:t xml:space="preserve"> </w:t>
      </w:r>
      <w:r>
        <w:rPr>
          <w:lang w:val="en-US"/>
        </w:rPr>
        <w:t>Nikmatin</w:t>
      </w:r>
      <w:r>
        <w:rPr>
          <w:vertAlign w:val="superscript"/>
          <w:lang w:val="en-US"/>
        </w:rPr>
        <w:t>2</w:t>
      </w:r>
      <w:proofErr w:type="gramStart"/>
      <w:r>
        <w:rPr>
          <w:vertAlign w:val="superscript"/>
          <w:lang w:val="en-US"/>
        </w:rPr>
        <w:t>,3</w:t>
      </w:r>
      <w:proofErr w:type="gramEnd"/>
      <w:r w:rsidR="00635501" w:rsidRPr="00533106">
        <w:rPr>
          <w:lang w:val="en-US"/>
        </w:rPr>
        <w:t xml:space="preserve">, </w:t>
      </w:r>
      <w:r>
        <w:rPr>
          <w:lang w:val="en-US"/>
        </w:rPr>
        <w:t>Susiani</w:t>
      </w:r>
      <w:r>
        <w:rPr>
          <w:vertAlign w:val="superscript"/>
          <w:lang w:val="en-US"/>
        </w:rPr>
        <w:t>1</w:t>
      </w:r>
      <w:r w:rsidR="00635501" w:rsidRPr="00533106">
        <w:rPr>
          <w:lang w:val="en-US"/>
        </w:rPr>
        <w:t xml:space="preserve">, </w:t>
      </w:r>
      <w:r>
        <w:rPr>
          <w:lang w:val="en-US"/>
        </w:rPr>
        <w:t>D Setyaningsih</w:t>
      </w:r>
      <w:r>
        <w:rPr>
          <w:vertAlign w:val="superscript"/>
          <w:lang w:val="en-US"/>
        </w:rPr>
        <w:t>3,4</w:t>
      </w:r>
      <w:r w:rsidR="00635501" w:rsidRPr="00533106">
        <w:rPr>
          <w:lang w:val="en-US"/>
        </w:rPr>
        <w:t xml:space="preserve"> and </w:t>
      </w:r>
      <w:r>
        <w:rPr>
          <w:lang w:val="en-US"/>
        </w:rPr>
        <w:t>H</w:t>
      </w:r>
      <w:r w:rsidR="00635501">
        <w:rPr>
          <w:lang w:val="en-US"/>
        </w:rPr>
        <w:t xml:space="preserve"> </w:t>
      </w:r>
      <w:r>
        <w:rPr>
          <w:lang w:val="en-US"/>
        </w:rPr>
        <w:t>D</w:t>
      </w:r>
      <w:r w:rsidR="00635501">
        <w:rPr>
          <w:lang w:val="en-US"/>
        </w:rPr>
        <w:t xml:space="preserve"> </w:t>
      </w:r>
      <w:r>
        <w:rPr>
          <w:lang w:val="en-US"/>
        </w:rPr>
        <w:t>Rahmayanti</w:t>
      </w:r>
      <w:r>
        <w:rPr>
          <w:vertAlign w:val="superscript"/>
          <w:lang w:val="en-US"/>
        </w:rPr>
        <w:t>1</w:t>
      </w:r>
    </w:p>
    <w:p w14:paraId="34D8C689" w14:textId="12DD72A0" w:rsidR="00635501" w:rsidRDefault="00C75246" w:rsidP="00C75246">
      <w:pPr>
        <w:pStyle w:val="Addresses"/>
        <w:spacing w:after="0"/>
        <w:rPr>
          <w:lang w:val="en-US"/>
        </w:rPr>
      </w:pPr>
      <w:r>
        <w:rPr>
          <w:vertAlign w:val="superscript"/>
          <w:lang w:val="en-US"/>
        </w:rPr>
        <w:t xml:space="preserve">1 </w:t>
      </w:r>
      <w:r w:rsidRPr="00C75246">
        <w:rPr>
          <w:lang w:val="en-US"/>
        </w:rPr>
        <w:t>Department of Graphic Engineering, State Polytechnic of Creative Media, Jakarta, Indonesia</w:t>
      </w:r>
    </w:p>
    <w:p w14:paraId="54830CF6" w14:textId="7F5FA591" w:rsidR="00C75246" w:rsidRDefault="00C75246" w:rsidP="00C75246">
      <w:pPr>
        <w:pStyle w:val="E-mail"/>
        <w:spacing w:after="0"/>
      </w:pPr>
      <w:r>
        <w:rPr>
          <w:vertAlign w:val="superscript"/>
        </w:rPr>
        <w:t xml:space="preserve">2 </w:t>
      </w:r>
      <w:r w:rsidRPr="00C75246">
        <w:t>Department of Physics, IPB University, Bogor, Indonesia</w:t>
      </w:r>
    </w:p>
    <w:p w14:paraId="0D5C78E3" w14:textId="1765EB4E" w:rsidR="00C75246" w:rsidRDefault="00C75246" w:rsidP="00C75246">
      <w:pPr>
        <w:pStyle w:val="E-mail"/>
        <w:spacing w:after="0"/>
      </w:pPr>
      <w:r>
        <w:rPr>
          <w:vertAlign w:val="superscript"/>
        </w:rPr>
        <w:t xml:space="preserve">3 </w:t>
      </w:r>
      <w:r w:rsidRPr="00C75246">
        <w:t>Surfactant and Bioenergy Research Center, IPB University, Bogor, Indonesia</w:t>
      </w:r>
    </w:p>
    <w:p w14:paraId="04A312B6" w14:textId="68B62BEF" w:rsidR="00C75246" w:rsidRDefault="00C75246" w:rsidP="00816411">
      <w:pPr>
        <w:pStyle w:val="E-mail"/>
      </w:pPr>
      <w:r>
        <w:rPr>
          <w:vertAlign w:val="superscript"/>
        </w:rPr>
        <w:t xml:space="preserve">4 </w:t>
      </w:r>
      <w:r w:rsidRPr="00C75246">
        <w:t>Department of Agroindustrial Technology, IPB University, Bogor, Indonesia</w:t>
      </w:r>
    </w:p>
    <w:p w14:paraId="7B454411" w14:textId="6813AD78" w:rsidR="00635501" w:rsidRPr="0081483F" w:rsidRDefault="00635501" w:rsidP="00E459E1">
      <w:pPr>
        <w:pStyle w:val="E-mail"/>
      </w:pPr>
      <w:r w:rsidRPr="005270A6">
        <w:rPr>
          <w:vertAlign w:val="superscript"/>
        </w:rPr>
        <w:t>*</w:t>
      </w:r>
      <w:r w:rsidRPr="005270A6">
        <w:t xml:space="preserve">Corresponding author: </w:t>
      </w:r>
      <w:r w:rsidR="00C75246">
        <w:t>gema</w:t>
      </w:r>
      <w:r>
        <w:t>@</w:t>
      </w:r>
      <w:r w:rsidR="00C75246">
        <w:t>polimedia</w:t>
      </w:r>
      <w:r>
        <w:t>.ac.id</w:t>
      </w:r>
    </w:p>
    <w:p w14:paraId="2B513943" w14:textId="6517B925" w:rsidR="00635501" w:rsidRDefault="00635501" w:rsidP="00E459E1">
      <w:pPr>
        <w:pStyle w:val="Abstract"/>
        <w:rPr>
          <w:noProof/>
          <w:lang w:val="en-US" w:eastAsia="id-ID"/>
        </w:rPr>
      </w:pPr>
      <w:r w:rsidRPr="005270A6">
        <w:rPr>
          <w:b/>
          <w:lang w:val="en-US"/>
        </w:rPr>
        <w:t xml:space="preserve">Abstract. </w:t>
      </w:r>
      <w:r w:rsidR="00C75246" w:rsidRPr="00C75246">
        <w:rPr>
          <w:lang w:val="en-US"/>
        </w:rPr>
        <w:t xml:space="preserve">The widely use of petroleum-derived mineral oils for the production of offset printing inks has resulted in several environmental impacts. The suitable approach to develop alternative resources is palm oil </w:t>
      </w:r>
      <w:bookmarkStart w:id="0" w:name="_Hlk90405756"/>
      <w:r w:rsidR="00C75246" w:rsidRPr="00C75246">
        <w:rPr>
          <w:lang w:val="en-US"/>
        </w:rPr>
        <w:t>fatty acid methyl ester (FAME) as a substitute for petroleum-based solvent</w:t>
      </w:r>
      <w:bookmarkEnd w:id="0"/>
      <w:r w:rsidR="00C75246" w:rsidRPr="00C75246">
        <w:rPr>
          <w:lang w:val="en-US"/>
        </w:rPr>
        <w:t xml:space="preserve">. This study aimed to investigate the surface properties of palm oil-based offset ink on gloss-coated paper surfaces in terms of printability. </w:t>
      </w:r>
      <w:commentRangeStart w:id="1"/>
      <w:r w:rsidR="00C75246" w:rsidRPr="00C75246">
        <w:rPr>
          <w:lang w:val="en-US"/>
        </w:rPr>
        <w:t>We</w:t>
      </w:r>
      <w:commentRangeEnd w:id="1"/>
      <w:r w:rsidR="005A56B9">
        <w:rPr>
          <w:rStyle w:val="CommentReference"/>
          <w:color w:val="auto"/>
        </w:rPr>
        <w:commentReference w:id="1"/>
      </w:r>
      <w:r w:rsidR="00C75246" w:rsidRPr="00C75246">
        <w:rPr>
          <w:lang w:val="en-US"/>
        </w:rPr>
        <w:t xml:space="preserve"> developed different Cyan color inks with linseed oil (FAME-LO) and soybean oil (FAME-SO) as drying oil. Printing tests were carried out using the IGT-A2 printability tester. Contact angles of water, methanol, and hexane on the surface of printed ink were measured using Contact Angle Analyzer. The surface free energy (SFE) and its components were calculated using </w:t>
      </w:r>
      <w:proofErr w:type="spellStart"/>
      <w:r w:rsidR="00C75246" w:rsidRPr="00C75246">
        <w:rPr>
          <w:lang w:val="en-US"/>
        </w:rPr>
        <w:t>Girifalco</w:t>
      </w:r>
      <w:proofErr w:type="spellEnd"/>
      <w:r w:rsidR="00C75246" w:rsidRPr="00C75246">
        <w:rPr>
          <w:lang w:val="en-US"/>
        </w:rPr>
        <w:t>-Good-</w:t>
      </w:r>
      <w:proofErr w:type="spellStart"/>
      <w:r w:rsidR="00C75246" w:rsidRPr="00C75246">
        <w:rPr>
          <w:lang w:val="en-US"/>
        </w:rPr>
        <w:t>Fowkes</w:t>
      </w:r>
      <w:proofErr w:type="spellEnd"/>
      <w:r w:rsidR="00C75246" w:rsidRPr="00C75246">
        <w:rPr>
          <w:lang w:val="en-US"/>
        </w:rPr>
        <w:t xml:space="preserve">-Young, Owens-Wendt, </w:t>
      </w:r>
      <w:proofErr w:type="gramStart"/>
      <w:r w:rsidR="00C75246" w:rsidRPr="00C75246">
        <w:rPr>
          <w:lang w:val="en-US"/>
        </w:rPr>
        <w:t>and</w:t>
      </w:r>
      <w:proofErr w:type="gramEnd"/>
      <w:r w:rsidR="00C75246" w:rsidRPr="00C75246">
        <w:rPr>
          <w:lang w:val="en-US"/>
        </w:rPr>
        <w:t xml:space="preserve"> van Oss-</w:t>
      </w:r>
      <w:proofErr w:type="spellStart"/>
      <w:r w:rsidR="00C75246" w:rsidRPr="00C75246">
        <w:rPr>
          <w:lang w:val="en-US"/>
        </w:rPr>
        <w:t>Chaudhury</w:t>
      </w:r>
      <w:proofErr w:type="spellEnd"/>
      <w:r w:rsidR="00C75246" w:rsidRPr="00C75246">
        <w:rPr>
          <w:lang w:val="en-US"/>
        </w:rPr>
        <w:t>-Good methods. The results showed that as the liquid contact angle increased, the surface energy decreased. The surface energy of FAME-SO ink printed samples 36</w:t>
      </w:r>
      <w:r w:rsidR="007142B6">
        <w:rPr>
          <w:lang w:val="en-US"/>
        </w:rPr>
        <w:t>.</w:t>
      </w:r>
      <w:r w:rsidR="00C75246" w:rsidRPr="00C75246">
        <w:rPr>
          <w:lang w:val="en-US"/>
        </w:rPr>
        <w:t xml:space="preserve">36 </w:t>
      </w:r>
      <w:proofErr w:type="spellStart"/>
      <w:r w:rsidR="00C75246" w:rsidRPr="00C75246">
        <w:rPr>
          <w:lang w:val="en-US"/>
        </w:rPr>
        <w:t>mJ</w:t>
      </w:r>
      <w:proofErr w:type="spellEnd"/>
      <w:r w:rsidR="00C75246" w:rsidRPr="00C75246">
        <w:rPr>
          <w:lang w:val="en-US"/>
        </w:rPr>
        <w:t>/m2 was higher than the unprinted paper 35</w:t>
      </w:r>
      <w:r w:rsidR="007142B6">
        <w:rPr>
          <w:lang w:val="en-US"/>
        </w:rPr>
        <w:t>.</w:t>
      </w:r>
      <w:r w:rsidR="00C75246" w:rsidRPr="00C75246">
        <w:rPr>
          <w:lang w:val="en-US"/>
        </w:rPr>
        <w:t xml:space="preserve">84 </w:t>
      </w:r>
      <w:proofErr w:type="spellStart"/>
      <w:r w:rsidR="00C75246" w:rsidRPr="00C75246">
        <w:rPr>
          <w:lang w:val="en-US"/>
        </w:rPr>
        <w:t>mJ</w:t>
      </w:r>
      <w:proofErr w:type="spellEnd"/>
      <w:r w:rsidR="00C75246" w:rsidRPr="00C75246">
        <w:rPr>
          <w:lang w:val="en-US"/>
        </w:rPr>
        <w:t>/m2. Since high surface energy will affect the bond strength of the ink to the substrate, this will be an advantage for multicolor prints requiring good ink adhesion, which will enlarge the acceptance of other colors to be printed on the previous color.</w:t>
      </w:r>
    </w:p>
    <w:p w14:paraId="660E8732" w14:textId="24E1B8A4" w:rsidR="00635501" w:rsidRDefault="00635501" w:rsidP="00E459E1">
      <w:pPr>
        <w:pStyle w:val="Section"/>
        <w:rPr>
          <w:lang w:val="en-US"/>
        </w:rPr>
      </w:pPr>
      <w:r w:rsidRPr="00001042">
        <w:rPr>
          <w:lang w:val="en-US"/>
        </w:rPr>
        <w:t>Introduction</w:t>
      </w:r>
    </w:p>
    <w:p w14:paraId="2D092104" w14:textId="27EC05B0" w:rsidR="00970160" w:rsidRDefault="00D63C04" w:rsidP="00970160">
      <w:pPr>
        <w:pStyle w:val="BodytextIndented"/>
      </w:pPr>
      <w:commentRangeStart w:id="3"/>
      <w:r w:rsidRPr="00D63C04">
        <w:t>Petroleum-based solvents are used as raw materials for the production of varnish, which is one of the main components of offset printing inks.</w:t>
      </w:r>
      <w:r>
        <w:t xml:space="preserve"> One of the approaches</w:t>
      </w:r>
      <w:r w:rsidRPr="00C75246">
        <w:t xml:space="preserve"> to </w:t>
      </w:r>
      <w:r>
        <w:t>developing</w:t>
      </w:r>
      <w:r w:rsidRPr="00C75246">
        <w:t xml:space="preserve"> alternative</w:t>
      </w:r>
      <w:r>
        <w:t xml:space="preserve"> renewable resources </w:t>
      </w:r>
      <w:r w:rsidRPr="00C75246">
        <w:t>is palm oil fatty acid methyl ester (FAME) as a substitute for petroleum-based solvent</w:t>
      </w:r>
      <w:r>
        <w:t xml:space="preserve">. There have been numerous studies on the use of renewable resources as raw materials for the printing industry </w:t>
      </w:r>
      <w:r>
        <w:fldChar w:fldCharType="begin" w:fldLock="1"/>
      </w:r>
      <w:r>
        <w:instrText>ADDIN CSL_CITATION {"citationItems":[{"id":"ITEM-1","itemData":{"DOI":"10.1002/col.22708","ISSN":"0361-2317","author":[{"dropping-particle":"","family":"Hayta","given":"Pelin","non-dropping-particle":"","parse-names":false,"suffix":""},{"dropping-particle":"","family":"Oktav","given":"Mehmet","non-dropping-particle":"","parse-names":false,"suffix":""},{"dropping-particle":"","family":"Ateş Duru","given":"Özlem","non-dropping-particle":"","parse-names":false,"suffix":""}],"container-title":"Color Research &amp; Application","id":"ITEM-1","issue":"June","issued":{"date-parts":[["2021"]]},"page":"1-8","title":"An ecological approach to printing industry: Development of ecofriendly offset printing inks using vegetable oils and pine resin as renewable raw materials and evaluation of printability","type":"article-journal"},"uris":["http://www.mendeley.com/documents/?uuid=6a3fe5e0-9c45-4c2c-970c-d70e30a97ca9"]},{"id":"ITEM-2","itemData":{"DOI":"10.5650/jos.60.19","ISSN":"13473352","abstract":"The conventional offset lithographic printing ink is mainly based on linseed oil. But in recent years, due to stiff competition from synthetic substitutes mainly from petroleum products, the crop production shrinks down to an unsustainable level, which increases the price of linseed oil. Though soyabean oil has replaced a major portion of linseed oil, it is also necessary to develop alternate cost effective vegetable oils for printing ink industry. The present study aims to evaluate the performance of karanja oil (Pongamia glabra) as an alternative of linseed oil in the formulation of offset printing ink because karanja oil is easily available in rural India. Physical properties of raw karanja oil are measured and compared with that of alkali refined linseed oil. Rosin modified phenolic resin based varnishes were made with linseed oil as well as with karanja oil and their properties are compared. Sheetfed offset inks of process colour yellow and cyan is chosen to evaluate the effect of karanja oil in ink properties. In conclusion, karanja oil can be accepted as an alternate vegetable oil source with its noticeable effect on print and post print properties with slower drying time on paper. However, the colour and odour of the oil will restrict its usage on offset inks. ©2011 by Japan Oil Chemists' Society.","author":[{"dropping-particle":"","family":"Bhattacharjee","given":"Moumita","non-dropping-particle":"","parse-names":false,"suffix":""},{"dropping-particle":"","family":"Roy","given":"Ananda Sankar","non-dropping-particle":"","parse-names":false,"suffix":""},{"dropping-particle":"","family":"Ghosh","given":"Santinath","non-dropping-particle":"","parse-names":false,"suffix":""},{"dropping-particle":"","family":"Dey","given":"Munmun","non-dropping-particle":"","parse-names":false,"suffix":""}],"container-title":"Journal of Oleo Science","id":"ITEM-2","issue":"1","issued":{"date-parts":[["2011"]]},"page":"19-24","title":"Development of karanja oil based offset printing ink in comparison with linseed oil","type":"article-journal","volume":"60"},"uris":["http://www.mendeley.com/documents/?uuid=49b2612d-932c-49ab-aac0-70395afd8678"]},{"id":"ITEM-3","itemData":{"DOI":"10.5650/jos.56.623","ISSN":"13473352","PMID":"17992002","abstract":"Until the middle of this century, fats and oils are the major raw material source for paints, coating and lubricating applications. These markets are completely taken over by petroleum based stocks due to their abundance and versatility. However, recent public awareness to use environmentally acceptable products that minimize pollution, are compatible to human health and readily biodegradable created opportunities for vegetable oils for application in paints and printing inks. The formulation of vegetable oil methyl ester based 'green' offset printing ink that reduces the volatile organic compounds (VOC) has been discussed in the present study. Methyl esters of rapeseed, soybean, rice bran and palm oil have been prepared and their physical properties have been measured and compared with standard petroleum feed stock. Varnishes were prepared with these esters and their properties are also compared with that of the petroleum based products. Rheological properties of the inks are also evaluated and compared with standard printing ink using petroleum based solvent. In general performance of the ester-based printing inks are comparable with that of the mineral oil based product. On the basis of tack stability and gloss, ester based inks are much superior than the mineral oil based products. In conclusion, a new non-volatile diluent for printing ink has been developed. The diluent is made from common vegetable oils like rapeseed, soybean, rice bran and palm oil, a renewable source that is environmental friendly. Vegetable oil esters offer a cost effective solution for mineral oil based printing ink to meet VOCs regulations.","author":[{"dropping-particle":"","family":"Roy","given":"Ananda Sankar","non-dropping-particle":"","parse-names":false,"suffix":""},{"dropping-particle":"","family":"Bhattacharjee","given":"Moumita","non-dropping-particle":"","parse-names":false,"suffix":""},{"dropping-particle":"","family":"Mondal","given":"Rabindranath","non-dropping-particle":"","parse-names":false,"suffix":""},{"dropping-particle":"","family":"Ghosh","given":"Santinath","non-dropping-particle":"","parse-names":false,"suffix":""}],"container-title":"Journal of oleo science","id":"ITEM-3","issue":"12","issued":{"date-parts":[["2007"]]},"page":"623-628","title":"Development of mineral oil free offset printing ink using vegetable oil esters.","type":"article-journal","volume":"56"},"uris":["http://www.mendeley.com/documents/?uuid=fe37e50f-dc2c-445c-ba56-6c91efe034c8"]},{"id":"ITEM-4","itemData":{"DOI":"10.5650/jos.62.345","ISSN":"13458957","PMID":"23728325","abstract":"In the development of solvent-free offset ink, the roles of resin molecular weight and used solvent on the ink performance were evaluated by examining the relationship between the various properties of resin and solvent and print quality. To find the best performing resin, the soy-oil fatty acid methyl ester (FAME) was applied to the five modified-phenolic resins having different molecular weights. It is found from the experimental results that the ink made of higher molecular weight and better solubility resin gives better printability and print quality. It is because larger molecular weight resin with better solubility gives higher rate of ink transfer. From the ink application of different esters to high molecular weight resin, the best printing performance was yielded from the soy-oil fatty acid butyl ester (FABE). It is due to its high kinematic viscosity resulting in the smallest change of ink transfer weight upon multiple number of printing, which improves the stability of ink quality. ©2013 by Japan Oil Chemists' Society.","author":[{"dropping-particle":"","family":"Park","given":"Jung Min","non-dropping-particle":"","parse-names":false,"suffix":""},{"dropping-particle":"","family":"Kim","given":"Young Han","non-dropping-particle":"","parse-names":false,"suffix":""},{"dropping-particle":"Bin","family":"Kim","given":"Sung","non-dropping-particle":"","parse-names":false,"suffix":""}],"container-title":"Journal of Oleo Science","id":"ITEM-4","issue":"6","issued":{"date-parts":[["2013"]]},"page":"345-352","title":"Development of solvent-free offset ink using vegetable oil esters and high molecular-weight resin","type":"article-journal","volume":"62"},"uris":["http://www.mendeley.com/documents/?uuid=6272e847-ea05-4e72-a3c9-1089e75e256c"]},{"id":"ITEM-5","itemData":{"DOI":"10.11113/jt.v67.2738","ISSN":"01279696","abstract":"The extensive use of petroleum product has caused a number of environmental pollution. The printing industry is one of our nation's largest producers of hazardous waste and volatile organic compound. One of the major alternatives is to use vegetable oil based products as biorenewable raw materials. Hence, the formulation of palm olein based varnish has been discussed in the present study. Palm olein from palm oil was prepared first, and their physical properties were determined. Varnishes were prepared with the palm olein and four different types of resin (F-2136, F-210, F-2110 and F-2118). Rheological properties, yield value, heptanes tolerance of the varnish were determined. From this study, it was found that palm olein with the F-210 resin is promising as the alternative varnish materials for the production of offset printing ink. © 2014 Penerbit UTM Press. All rights reserved.","author":[{"dropping-particle":"","family":"Idham","given":"Zuhaili","non-dropping-particle":"","parse-names":false,"suffix":""},{"dropping-particle":"","family":"Che Yunus","given":"Mohd Azizi","non-dropping-particle":"","parse-names":false,"suffix":""},{"dropping-particle":"","family":"Abdul Aziz","given":"Mustafa Kamal","non-dropping-particle":"","parse-names":false,"suffix":""},{"dropping-particle":"","family":"Mohd Setapar","given":"Siti Hamidah","non-dropping-particle":"","parse-names":false,"suffix":""},{"dropping-particle":"","family":"Mohamad","given":"Hasanah","non-dropping-particle":"","parse-names":false,"suffix":""}],"container-title":"Jurnal Teknologi (Sciences and Engineering)","id":"ITEM-5","issue":"2","issued":{"date-parts":[["2014"]]},"page":"65-68","title":"Formulation of green varnish from ecological friendly material for the development of offset printing ink","type":"article-journal","volume":"67"},"uris":["http://www.mendeley.com/documents/?uuid=b07c9f46-2eb1-4697-a61b-a36e27d1314e"]}],"mendeley":{"formattedCitation":"[1–5]","plainTextFormattedCitation":"[1–5]","previouslyFormattedCitation":"[1–5]"},"properties":{"noteIndex":0},"schema":"https://github.com/citation-style-language/schema/raw/master/csl-citation.json"}</w:instrText>
      </w:r>
      <w:r>
        <w:fldChar w:fldCharType="separate"/>
      </w:r>
      <w:r w:rsidRPr="00D63C04">
        <w:rPr>
          <w:noProof/>
        </w:rPr>
        <w:t>[1–5]</w:t>
      </w:r>
      <w:r>
        <w:fldChar w:fldCharType="end"/>
      </w:r>
      <w:r>
        <w:t>.</w:t>
      </w:r>
      <w:r w:rsidR="00970160">
        <w:t xml:space="preserve"> As </w:t>
      </w:r>
      <w:r w:rsidR="00970160" w:rsidRPr="00970160">
        <w:t>vegetable oils</w:t>
      </w:r>
      <w:r w:rsidR="00970160">
        <w:t>, palm oil</w:t>
      </w:r>
      <w:r w:rsidR="00970160" w:rsidRPr="00970160">
        <w:t xml:space="preserve"> are </w:t>
      </w:r>
      <w:r w:rsidR="00970160">
        <w:t xml:space="preserve">biodegradable, </w:t>
      </w:r>
      <w:r w:rsidR="00970160" w:rsidRPr="00970160">
        <w:t xml:space="preserve">non-toxic, non-pollutant </w:t>
      </w:r>
      <w:r w:rsidR="00970160">
        <w:t>since the</w:t>
      </w:r>
      <w:r w:rsidR="00970160" w:rsidRPr="00970160">
        <w:t xml:space="preserve"> vegetable oils contain </w:t>
      </w:r>
      <w:r w:rsidR="00970160">
        <w:t xml:space="preserve">a </w:t>
      </w:r>
      <w:r w:rsidR="00970160" w:rsidRPr="00970160">
        <w:t>higher percentage of desirable fatty acid</w:t>
      </w:r>
      <w:r w:rsidR="00970160">
        <w:t xml:space="preserve"> </w:t>
      </w:r>
      <w:r w:rsidR="00970160">
        <w:fldChar w:fldCharType="begin" w:fldLock="1"/>
      </w:r>
      <w:r w:rsidR="003C64CD">
        <w:instrText>ADDIN CSL_CITATION {"citationItems":[{"id":"ITEM-1","itemData":{"DOI":"10.11113/jt.v67.2738","ISSN":"01279696","abstract":"The extensive use of petroleum product has caused a number of environmental pollution. The printing industry is one of our nation's largest producers of hazardous waste and volatile organic compound. One of the major alternatives is to use vegetable oil based products as biorenewable raw materials. Hence, the formulation of palm olein based varnish has been discussed in the present study. Palm olein from palm oil was prepared first, and their physical properties were determined. Varnishes were prepared with the palm olein and four different types of resin (F-2136, F-210, F-2110 and F-2118). Rheological properties, yield value, heptanes tolerance of the varnish were determined. From this study, it was found that palm olein with the F-210 resin is promising as the alternative varnish materials for the production of offset printing ink. © 2014 Penerbit UTM Press. All rights reserved.","author":[{"dropping-particle":"","family":"Idham","given":"Zuhaili","non-dropping-particle":"","parse-names":false,"suffix":""},{"dropping-particle":"","family":"Che Yunus","given":"Mohd Azizi","non-dropping-particle":"","parse-names":false,"suffix":""},{"dropping-particle":"","family":"Abdul Aziz","given":"Mustafa Kamal","non-dropping-particle":"","parse-names":false,"suffix":""},{"dropping-particle":"","family":"Mohd Setapar","given":"Siti Hamidah","non-dropping-particle":"","parse-names":false,"suffix":""},{"dropping-particle":"","family":"Mohamad","given":"Hasanah","non-dropping-particle":"","parse-names":false,"suffix":""}],"container-title":"Jurnal Teknologi (Sciences and Engineering)","id":"ITEM-1","issue":"2","issued":{"date-parts":[["2014"]]},"page":"65-68","title":"Formulation of green varnish from ecological friendly material for the development of offset printing ink","type":"article-journal","volume":"67"},"uris":["http://www.mendeley.com/documents/?uuid=b07c9f46-2eb1-4697-a61b-a36e27d1314e"]}],"mendeley":{"formattedCitation":"[5]","plainTextFormattedCitation":"[5]","previouslyFormattedCitation":"[5]"},"properties":{"noteIndex":0},"schema":"https://github.com/citation-style-language/schema/raw/master/csl-citation.json"}</w:instrText>
      </w:r>
      <w:r w:rsidR="00970160">
        <w:fldChar w:fldCharType="separate"/>
      </w:r>
      <w:r w:rsidR="00970160" w:rsidRPr="00970160">
        <w:rPr>
          <w:noProof/>
        </w:rPr>
        <w:t>[5]</w:t>
      </w:r>
      <w:r w:rsidR="00970160">
        <w:fldChar w:fldCharType="end"/>
      </w:r>
      <w:r w:rsidR="00970160">
        <w:t xml:space="preserve">. The use of palm oil in printing ink development </w:t>
      </w:r>
      <w:r w:rsidR="00970160" w:rsidRPr="00970160">
        <w:t xml:space="preserve">can increase the diversification of palm </w:t>
      </w:r>
      <w:r w:rsidR="00970160">
        <w:t xml:space="preserve">oil end </w:t>
      </w:r>
      <w:r w:rsidR="00970160" w:rsidRPr="00970160">
        <w:t>products as a substitute for petroleum-based products</w:t>
      </w:r>
      <w:r w:rsidR="00970160">
        <w:t xml:space="preserve">, </w:t>
      </w:r>
      <w:r w:rsidR="00970160" w:rsidRPr="00970160">
        <w:t>as palm oil has an abundant source in</w:t>
      </w:r>
      <w:r w:rsidR="00970160">
        <w:t xml:space="preserve"> Indonesia. Moreover, i</w:t>
      </w:r>
      <w:r w:rsidR="00970160" w:rsidRPr="00970160">
        <w:t xml:space="preserve">t has the potential to reduce </w:t>
      </w:r>
      <w:r w:rsidR="00970160">
        <w:t>the</w:t>
      </w:r>
      <w:r w:rsidR="00970160" w:rsidRPr="00970160">
        <w:t xml:space="preserve"> dependency on imported printing ink raw materials.</w:t>
      </w:r>
    </w:p>
    <w:p w14:paraId="526134F2" w14:textId="4CDEB6FE" w:rsidR="00970160" w:rsidRDefault="00970160" w:rsidP="00970160">
      <w:pPr>
        <w:pStyle w:val="BodytextIndented"/>
      </w:pPr>
      <w:r w:rsidRPr="00970160">
        <w:t xml:space="preserve">In the present work, </w:t>
      </w:r>
      <w:r>
        <w:t>palm oil fatty acid methyl ester (FAME) is applied with two types of drying oil to develop eco-friendly varnish and ink. In terms of the printability of inks, t</w:t>
      </w:r>
      <w:r w:rsidRPr="00C75246">
        <w:t>his study aimed to investigate the surface properties of palm oil-based offset ink on gloss-coated paper surfaces</w:t>
      </w:r>
      <w:r>
        <w:t xml:space="preserve"> </w:t>
      </w:r>
      <w:r w:rsidRPr="00970160">
        <w:t xml:space="preserve">in comparison with </w:t>
      </w:r>
      <w:r>
        <w:t>conventional ink.</w:t>
      </w:r>
      <w:r w:rsidR="003C64CD">
        <w:t xml:space="preserve"> </w:t>
      </w:r>
      <w:r w:rsidR="003C64CD" w:rsidRPr="003C64CD">
        <w:t>Printability evaluations on papers with specified surface properties were carried out according to the criteria of</w:t>
      </w:r>
      <w:r w:rsidR="003C64CD">
        <w:t xml:space="preserve"> </w:t>
      </w:r>
      <w:r w:rsidR="003C64CD" w:rsidRPr="003C64CD">
        <w:t>contact angle</w:t>
      </w:r>
      <w:r w:rsidR="003C64CD">
        <w:t xml:space="preserve"> and </w:t>
      </w:r>
      <w:r w:rsidR="003C64CD" w:rsidRPr="003C64CD">
        <w:t xml:space="preserve">surface </w:t>
      </w:r>
      <w:r w:rsidR="003C64CD">
        <w:t xml:space="preserve">free </w:t>
      </w:r>
      <w:r w:rsidR="003C64CD" w:rsidRPr="003C64CD">
        <w:t>energy</w:t>
      </w:r>
      <w:commentRangeEnd w:id="3"/>
      <w:r w:rsidR="005A56B9">
        <w:rPr>
          <w:rStyle w:val="CommentReference"/>
          <w:iCs w:val="0"/>
          <w:color w:val="auto"/>
          <w:lang w:val="en-GB"/>
        </w:rPr>
        <w:commentReference w:id="3"/>
      </w:r>
      <w:r w:rsidR="003C64CD">
        <w:t>.</w:t>
      </w:r>
    </w:p>
    <w:p w14:paraId="04C4E00A" w14:textId="77777777" w:rsidR="00970160" w:rsidRPr="00970160" w:rsidRDefault="00970160" w:rsidP="00970160">
      <w:pPr>
        <w:pStyle w:val="BodytextIndented"/>
      </w:pPr>
    </w:p>
    <w:p w14:paraId="7CC2D30B" w14:textId="64175407" w:rsidR="00635501" w:rsidRDefault="007142B6" w:rsidP="005A56B9">
      <w:pPr>
        <w:pStyle w:val="Section"/>
        <w:rPr>
          <w:lang w:val="en-US"/>
        </w:rPr>
      </w:pPr>
      <w:r>
        <w:t>Methods</w:t>
      </w:r>
    </w:p>
    <w:p w14:paraId="05A3B683" w14:textId="224A556C" w:rsidR="00B7227A" w:rsidRDefault="00B7227A" w:rsidP="00B7227A">
      <w:pPr>
        <w:pStyle w:val="subsection0"/>
        <w:numPr>
          <w:ilvl w:val="1"/>
          <w:numId w:val="17"/>
        </w:numPr>
        <w:rPr>
          <w:rFonts w:ascii="Times New Roman" w:hAnsi="Times New Roman"/>
        </w:rPr>
      </w:pPr>
      <w:commentRangeStart w:id="4"/>
      <w:r>
        <w:rPr>
          <w:rFonts w:ascii="Times New Roman" w:hAnsi="Times New Roman"/>
        </w:rPr>
        <w:t>Materials</w:t>
      </w:r>
    </w:p>
    <w:p w14:paraId="18BBDAA4" w14:textId="300AC36C" w:rsidR="00B7227A" w:rsidRPr="003C64CD" w:rsidRDefault="00715AFC" w:rsidP="003C64CD">
      <w:pPr>
        <w:jc w:val="both"/>
        <w:rPr>
          <w:rFonts w:ascii="Times New Roman" w:hAnsi="Times New Roman"/>
          <w:lang w:val="en-US"/>
        </w:rPr>
      </w:pPr>
      <w:r>
        <w:rPr>
          <w:rFonts w:ascii="Times New Roman" w:hAnsi="Times New Roman"/>
          <w:lang w:val="en-US"/>
        </w:rPr>
        <w:t>Rosin-modified phenolic resin (</w:t>
      </w:r>
      <w:r w:rsidR="00363DC0">
        <w:rPr>
          <w:rFonts w:ascii="Times New Roman" w:hAnsi="Times New Roman"/>
          <w:lang w:val="en-US"/>
        </w:rPr>
        <w:t xml:space="preserve">Arakawa Chemical Industries Ltd., Japan) </w:t>
      </w:r>
      <w:r w:rsidR="00363DC0" w:rsidRPr="00363DC0">
        <w:rPr>
          <w:rFonts w:ascii="Times New Roman" w:hAnsi="Times New Roman"/>
          <w:lang w:val="en-US"/>
        </w:rPr>
        <w:t>w</w:t>
      </w:r>
      <w:r w:rsidR="007142B6">
        <w:rPr>
          <w:rFonts w:ascii="Times New Roman" w:hAnsi="Times New Roman"/>
          <w:lang w:val="en-US"/>
        </w:rPr>
        <w:t>as</w:t>
      </w:r>
      <w:r w:rsidR="00363DC0" w:rsidRPr="00363DC0">
        <w:rPr>
          <w:rFonts w:ascii="Times New Roman" w:hAnsi="Times New Roman"/>
          <w:lang w:val="en-US"/>
        </w:rPr>
        <w:t xml:space="preserve"> used as </w:t>
      </w:r>
      <w:r w:rsidR="007142B6">
        <w:rPr>
          <w:rFonts w:ascii="Times New Roman" w:hAnsi="Times New Roman"/>
          <w:lang w:val="en-US"/>
        </w:rPr>
        <w:t xml:space="preserve">the </w:t>
      </w:r>
      <w:r w:rsidR="00363DC0" w:rsidRPr="00363DC0">
        <w:rPr>
          <w:rFonts w:ascii="Times New Roman" w:hAnsi="Times New Roman"/>
          <w:lang w:val="en-US"/>
        </w:rPr>
        <w:t>resin</w:t>
      </w:r>
      <w:r w:rsidR="007142B6">
        <w:rPr>
          <w:rFonts w:ascii="Times New Roman" w:hAnsi="Times New Roman"/>
          <w:lang w:val="en-US"/>
        </w:rPr>
        <w:t>. Soybean oil</w:t>
      </w:r>
      <w:r w:rsidR="00363DC0">
        <w:rPr>
          <w:rFonts w:ascii="Times New Roman" w:hAnsi="Times New Roman"/>
          <w:lang w:val="en-US"/>
        </w:rPr>
        <w:t xml:space="preserve"> </w:t>
      </w:r>
      <w:r w:rsidR="007142B6">
        <w:rPr>
          <w:rFonts w:ascii="Times New Roman" w:hAnsi="Times New Roman"/>
          <w:lang w:val="en-US"/>
        </w:rPr>
        <w:t xml:space="preserve">and Linseed oil were applied as drying oil. </w:t>
      </w:r>
      <w:r w:rsidR="00B7227A" w:rsidRPr="00B7227A">
        <w:rPr>
          <w:rFonts w:ascii="Times New Roman" w:hAnsi="Times New Roman"/>
          <w:lang w:val="en-US"/>
        </w:rPr>
        <w:t xml:space="preserve">Palm </w:t>
      </w:r>
      <w:r w:rsidR="007142B6">
        <w:rPr>
          <w:rFonts w:ascii="Times New Roman" w:hAnsi="Times New Roman"/>
          <w:lang w:val="en-US"/>
        </w:rPr>
        <w:t>oil ester - FAME</w:t>
      </w:r>
      <w:r w:rsidR="00B7227A" w:rsidRPr="00B7227A">
        <w:rPr>
          <w:rFonts w:ascii="Times New Roman" w:hAnsi="Times New Roman"/>
          <w:lang w:val="en-US"/>
        </w:rPr>
        <w:t xml:space="preserve"> </w:t>
      </w:r>
      <w:r w:rsidR="007142B6">
        <w:rPr>
          <w:rFonts w:ascii="Times New Roman" w:hAnsi="Times New Roman"/>
          <w:lang w:val="en-US"/>
        </w:rPr>
        <w:t>(</w:t>
      </w:r>
      <w:r w:rsidRPr="00715AFC">
        <w:rPr>
          <w:rFonts w:ascii="Times New Roman" w:hAnsi="Times New Roman"/>
          <w:lang w:val="en-US"/>
        </w:rPr>
        <w:t>fatty acid methyl ester</w:t>
      </w:r>
      <w:r w:rsidR="007142B6">
        <w:rPr>
          <w:rFonts w:ascii="Times New Roman" w:hAnsi="Times New Roman"/>
          <w:lang w:val="en-US"/>
        </w:rPr>
        <w:t xml:space="preserve">) prepared by the base-catalyzed transesterification of palm </w:t>
      </w:r>
      <w:proofErr w:type="spellStart"/>
      <w:r w:rsidR="007142B6">
        <w:rPr>
          <w:rFonts w:ascii="Times New Roman" w:hAnsi="Times New Roman"/>
          <w:lang w:val="en-US"/>
        </w:rPr>
        <w:t>olein</w:t>
      </w:r>
      <w:proofErr w:type="spellEnd"/>
      <w:r w:rsidR="007142B6">
        <w:rPr>
          <w:rFonts w:ascii="Times New Roman" w:hAnsi="Times New Roman"/>
          <w:lang w:val="en-US"/>
        </w:rPr>
        <w:t xml:space="preserve"> triglycerides. </w:t>
      </w:r>
      <w:r w:rsidR="007142B6" w:rsidRPr="007142B6">
        <w:rPr>
          <w:rFonts w:ascii="Times New Roman" w:hAnsi="Times New Roman"/>
          <w:lang w:val="en-US"/>
        </w:rPr>
        <w:t xml:space="preserve">For the ink preparation, </w:t>
      </w:r>
      <w:proofErr w:type="spellStart"/>
      <w:r w:rsidR="007142B6" w:rsidRPr="007142B6">
        <w:rPr>
          <w:rFonts w:ascii="Times New Roman" w:hAnsi="Times New Roman"/>
          <w:lang w:val="en-US"/>
        </w:rPr>
        <w:t>phthalocyanine</w:t>
      </w:r>
      <w:proofErr w:type="spellEnd"/>
      <w:r w:rsidR="007142B6" w:rsidRPr="007142B6">
        <w:rPr>
          <w:rFonts w:ascii="Times New Roman" w:hAnsi="Times New Roman"/>
          <w:lang w:val="en-US"/>
        </w:rPr>
        <w:t xml:space="preserve"> </w:t>
      </w:r>
      <w:r w:rsidR="007142B6">
        <w:rPr>
          <w:rFonts w:ascii="Times New Roman" w:hAnsi="Times New Roman"/>
          <w:lang w:val="en-US"/>
        </w:rPr>
        <w:t>b</w:t>
      </w:r>
      <w:r w:rsidR="007142B6" w:rsidRPr="007142B6">
        <w:rPr>
          <w:rFonts w:ascii="Times New Roman" w:hAnsi="Times New Roman"/>
          <w:lang w:val="en-US"/>
        </w:rPr>
        <w:t xml:space="preserve">eta </w:t>
      </w:r>
      <w:r w:rsidR="007142B6">
        <w:rPr>
          <w:rFonts w:ascii="Times New Roman" w:hAnsi="Times New Roman"/>
          <w:lang w:val="en-US"/>
        </w:rPr>
        <w:t>b</w:t>
      </w:r>
      <w:r w:rsidR="007142B6" w:rsidRPr="007142B6">
        <w:rPr>
          <w:rFonts w:ascii="Times New Roman" w:hAnsi="Times New Roman"/>
          <w:lang w:val="en-US"/>
        </w:rPr>
        <w:t>lue</w:t>
      </w:r>
      <w:r w:rsidR="007142B6">
        <w:rPr>
          <w:rFonts w:ascii="Times New Roman" w:hAnsi="Times New Roman"/>
          <w:lang w:val="en-US"/>
        </w:rPr>
        <w:t xml:space="preserve"> (</w:t>
      </w:r>
      <w:r w:rsidR="007142B6" w:rsidRPr="007142B6">
        <w:rPr>
          <w:rFonts w:ascii="Times New Roman" w:hAnsi="Times New Roman"/>
          <w:lang w:val="en-US"/>
        </w:rPr>
        <w:t xml:space="preserve">CI Pigment Blue 15:3, </w:t>
      </w:r>
      <w:proofErr w:type="spellStart"/>
      <w:r w:rsidR="007142B6" w:rsidRPr="007142B6">
        <w:rPr>
          <w:rFonts w:ascii="Times New Roman" w:hAnsi="Times New Roman"/>
          <w:lang w:val="en-US"/>
        </w:rPr>
        <w:t>Solafast</w:t>
      </w:r>
      <w:proofErr w:type="spellEnd"/>
      <w:r w:rsidR="007142B6" w:rsidRPr="007142B6">
        <w:rPr>
          <w:rFonts w:ascii="Times New Roman" w:hAnsi="Times New Roman"/>
          <w:lang w:val="en-US"/>
        </w:rPr>
        <w:t xml:space="preserve"> Blue BG-WS, </w:t>
      </w:r>
      <w:r w:rsidR="007142B6">
        <w:rPr>
          <w:rFonts w:ascii="Times New Roman" w:hAnsi="Times New Roman"/>
          <w:lang w:val="en-US"/>
        </w:rPr>
        <w:t>India</w:t>
      </w:r>
      <w:r w:rsidR="007142B6">
        <w:rPr>
          <w:rFonts w:ascii="MS Mincho" w:eastAsia="MS Mincho" w:hAnsi="MS Mincho" w:cs="MS Mincho" w:hint="eastAsia"/>
          <w:lang w:val="en-US"/>
        </w:rPr>
        <w:t>)</w:t>
      </w:r>
      <w:r w:rsidR="00B016D2">
        <w:rPr>
          <w:rFonts w:ascii="MS Mincho" w:eastAsia="MS Mincho" w:hAnsi="MS Mincho" w:cs="MS Mincho"/>
          <w:lang w:val="en-US"/>
        </w:rPr>
        <w:t xml:space="preserve"> </w:t>
      </w:r>
      <w:r w:rsidR="007142B6" w:rsidRPr="007142B6">
        <w:rPr>
          <w:rFonts w:ascii="Times New Roman" w:hAnsi="Times New Roman"/>
          <w:lang w:val="en-US"/>
        </w:rPr>
        <w:t xml:space="preserve">was used as </w:t>
      </w:r>
      <w:r w:rsidR="007142B6">
        <w:rPr>
          <w:rFonts w:ascii="Times New Roman" w:hAnsi="Times New Roman"/>
          <w:lang w:val="en-US"/>
        </w:rPr>
        <w:t xml:space="preserve">a </w:t>
      </w:r>
      <w:r w:rsidR="007142B6" w:rsidRPr="007142B6">
        <w:rPr>
          <w:rFonts w:ascii="Times New Roman" w:hAnsi="Times New Roman"/>
          <w:lang w:val="en-US"/>
        </w:rPr>
        <w:t>pigment</w:t>
      </w:r>
      <w:r w:rsidR="007142B6">
        <w:rPr>
          <w:rFonts w:ascii="Times New Roman" w:hAnsi="Times New Roman"/>
          <w:lang w:val="en-US"/>
        </w:rPr>
        <w:t xml:space="preserve">. </w:t>
      </w:r>
      <w:r w:rsidR="007142B6" w:rsidRPr="007142B6">
        <w:rPr>
          <w:rFonts w:ascii="Times New Roman" w:hAnsi="Times New Roman"/>
          <w:lang w:val="en-US"/>
        </w:rPr>
        <w:t>The additives used include</w:t>
      </w:r>
      <w:r w:rsidR="007142B6">
        <w:rPr>
          <w:rFonts w:ascii="Times New Roman" w:hAnsi="Times New Roman"/>
          <w:lang w:val="en-US"/>
        </w:rPr>
        <w:t xml:space="preserve"> </w:t>
      </w:r>
      <w:proofErr w:type="spellStart"/>
      <w:r w:rsidR="007142B6">
        <w:rPr>
          <w:rFonts w:ascii="Times New Roman" w:hAnsi="Times New Roman"/>
          <w:lang w:val="en-US"/>
        </w:rPr>
        <w:t>Triethanolamine</w:t>
      </w:r>
      <w:proofErr w:type="spellEnd"/>
      <w:r w:rsidR="007142B6">
        <w:rPr>
          <w:rFonts w:ascii="Times New Roman" w:hAnsi="Times New Roman"/>
          <w:lang w:val="en-US"/>
        </w:rPr>
        <w:t xml:space="preserve"> (TEA), </w:t>
      </w:r>
      <w:r w:rsidR="007142B6" w:rsidRPr="007142B6">
        <w:rPr>
          <w:rFonts w:ascii="Times New Roman" w:hAnsi="Times New Roman"/>
          <w:lang w:val="en-US"/>
        </w:rPr>
        <w:t xml:space="preserve">Butylated </w:t>
      </w:r>
      <w:proofErr w:type="spellStart"/>
      <w:r w:rsidR="007142B6">
        <w:rPr>
          <w:rFonts w:ascii="Times New Roman" w:hAnsi="Times New Roman"/>
          <w:lang w:val="en-US"/>
        </w:rPr>
        <w:t>hydroxytoluene</w:t>
      </w:r>
      <w:proofErr w:type="spellEnd"/>
      <w:r w:rsidR="007142B6" w:rsidRPr="007142B6">
        <w:rPr>
          <w:rFonts w:ascii="Times New Roman" w:hAnsi="Times New Roman"/>
          <w:lang w:val="en-US"/>
        </w:rPr>
        <w:t xml:space="preserve"> (BHT</w:t>
      </w:r>
      <w:r w:rsidR="007142B6">
        <w:rPr>
          <w:rFonts w:ascii="Times New Roman" w:hAnsi="Times New Roman"/>
          <w:lang w:val="en-US"/>
        </w:rPr>
        <w:t xml:space="preserve">), </w:t>
      </w:r>
      <w:r w:rsidR="007142B6" w:rsidRPr="007142B6">
        <w:rPr>
          <w:rFonts w:ascii="Times New Roman" w:hAnsi="Times New Roman"/>
          <w:lang w:val="en-US"/>
        </w:rPr>
        <w:t xml:space="preserve">Polyethylene (PE) wax </w:t>
      </w:r>
      <w:r w:rsidR="007142B6">
        <w:rPr>
          <w:rFonts w:ascii="Times New Roman" w:hAnsi="Times New Roman"/>
          <w:lang w:val="en-US"/>
        </w:rPr>
        <w:t>compound (</w:t>
      </w:r>
      <w:proofErr w:type="spellStart"/>
      <w:r w:rsidR="007142B6">
        <w:rPr>
          <w:rFonts w:ascii="Times New Roman" w:hAnsi="Times New Roman"/>
          <w:lang w:val="en-US"/>
        </w:rPr>
        <w:t>Hubergroup</w:t>
      </w:r>
      <w:proofErr w:type="spellEnd"/>
      <w:r w:rsidR="007142B6">
        <w:rPr>
          <w:rFonts w:ascii="Times New Roman" w:hAnsi="Times New Roman"/>
          <w:lang w:val="en-US"/>
        </w:rPr>
        <w:t xml:space="preserve"> India Pvt. Ltd. India), </w:t>
      </w:r>
      <w:r w:rsidR="007142B6" w:rsidRPr="007142B6">
        <w:rPr>
          <w:rFonts w:ascii="Times New Roman" w:hAnsi="Times New Roman"/>
          <w:lang w:val="en-US"/>
        </w:rPr>
        <w:t>Polytetrafluoroethylene (PTFE) wax paste</w:t>
      </w:r>
      <w:r w:rsidR="007142B6">
        <w:rPr>
          <w:rFonts w:ascii="Times New Roman" w:hAnsi="Times New Roman"/>
          <w:lang w:val="en-US"/>
        </w:rPr>
        <w:t xml:space="preserve"> (</w:t>
      </w:r>
      <w:proofErr w:type="spellStart"/>
      <w:r w:rsidR="007142B6">
        <w:rPr>
          <w:rFonts w:ascii="Times New Roman" w:hAnsi="Times New Roman"/>
          <w:lang w:val="en-US"/>
        </w:rPr>
        <w:t>Hubergroup</w:t>
      </w:r>
      <w:proofErr w:type="spellEnd"/>
      <w:r w:rsidR="007142B6">
        <w:rPr>
          <w:rFonts w:ascii="Times New Roman" w:hAnsi="Times New Roman"/>
          <w:lang w:val="en-US"/>
        </w:rPr>
        <w:t xml:space="preserve"> India Pvt. Ltd. India), and Special Drier </w:t>
      </w:r>
      <w:r w:rsidR="007142B6" w:rsidRPr="007142B6">
        <w:rPr>
          <w:rFonts w:ascii="Times New Roman" w:hAnsi="Times New Roman"/>
          <w:lang w:val="en-US"/>
        </w:rPr>
        <w:t>(</w:t>
      </w:r>
      <w:proofErr w:type="spellStart"/>
      <w:r w:rsidR="007142B6" w:rsidRPr="007142B6">
        <w:rPr>
          <w:rFonts w:ascii="Times New Roman" w:hAnsi="Times New Roman"/>
          <w:lang w:val="en-US"/>
        </w:rPr>
        <w:t>Hubergroup</w:t>
      </w:r>
      <w:proofErr w:type="spellEnd"/>
      <w:r w:rsidR="007142B6" w:rsidRPr="007142B6">
        <w:rPr>
          <w:rFonts w:ascii="Times New Roman" w:hAnsi="Times New Roman"/>
          <w:lang w:val="en-US"/>
        </w:rPr>
        <w:t xml:space="preserve"> India Pvt. Ltd. India)</w:t>
      </w:r>
      <w:r w:rsidR="007142B6">
        <w:rPr>
          <w:rFonts w:ascii="Times New Roman" w:hAnsi="Times New Roman"/>
          <w:lang w:val="en-US"/>
        </w:rPr>
        <w:t xml:space="preserve">. As conventional offset ink, we used </w:t>
      </w:r>
      <w:proofErr w:type="spellStart"/>
      <w:r w:rsidR="007142B6">
        <w:rPr>
          <w:rFonts w:ascii="Times New Roman" w:hAnsi="Times New Roman"/>
          <w:lang w:val="en-US"/>
        </w:rPr>
        <w:t>Inkredible</w:t>
      </w:r>
      <w:proofErr w:type="spellEnd"/>
      <w:r w:rsidR="007142B6">
        <w:rPr>
          <w:rFonts w:ascii="Times New Roman" w:hAnsi="Times New Roman"/>
          <w:lang w:val="en-US"/>
        </w:rPr>
        <w:t xml:space="preserve"> </w:t>
      </w:r>
      <w:proofErr w:type="spellStart"/>
      <w:r w:rsidR="007142B6">
        <w:rPr>
          <w:rFonts w:ascii="Times New Roman" w:hAnsi="Times New Roman"/>
          <w:lang w:val="en-US"/>
        </w:rPr>
        <w:t>Surprize</w:t>
      </w:r>
      <w:proofErr w:type="spellEnd"/>
      <w:r w:rsidR="007142B6">
        <w:rPr>
          <w:rFonts w:ascii="Times New Roman" w:hAnsi="Times New Roman"/>
          <w:lang w:val="en-US"/>
        </w:rPr>
        <w:t xml:space="preserve"> TK Cyan from </w:t>
      </w:r>
      <w:proofErr w:type="spellStart"/>
      <w:r w:rsidR="007142B6">
        <w:rPr>
          <w:rFonts w:ascii="Times New Roman" w:hAnsi="Times New Roman"/>
          <w:lang w:val="en-US"/>
        </w:rPr>
        <w:t>Hubergroup</w:t>
      </w:r>
      <w:proofErr w:type="spellEnd"/>
      <w:r w:rsidR="007142B6">
        <w:rPr>
          <w:rFonts w:ascii="Times New Roman" w:hAnsi="Times New Roman"/>
          <w:lang w:val="en-US"/>
        </w:rPr>
        <w:t xml:space="preserve"> India</w:t>
      </w:r>
      <w:commentRangeEnd w:id="4"/>
      <w:r w:rsidR="00C55D1A">
        <w:rPr>
          <w:rStyle w:val="CommentReference"/>
        </w:rPr>
        <w:commentReference w:id="4"/>
      </w:r>
      <w:r w:rsidR="007142B6">
        <w:rPr>
          <w:rFonts w:ascii="Times New Roman" w:hAnsi="Times New Roman"/>
          <w:lang w:val="en-US"/>
        </w:rPr>
        <w:t>.</w:t>
      </w:r>
    </w:p>
    <w:p w14:paraId="3CEB960A" w14:textId="07B73B97" w:rsidR="00B7227A" w:rsidRDefault="00B7227A" w:rsidP="00B7227A">
      <w:pPr>
        <w:pStyle w:val="subsection0"/>
        <w:numPr>
          <w:ilvl w:val="1"/>
          <w:numId w:val="17"/>
        </w:numPr>
        <w:rPr>
          <w:rFonts w:ascii="Times New Roman" w:hAnsi="Times New Roman"/>
        </w:rPr>
      </w:pPr>
      <w:r>
        <w:rPr>
          <w:rFonts w:ascii="Times New Roman" w:hAnsi="Times New Roman"/>
        </w:rPr>
        <w:t xml:space="preserve">Preparation of </w:t>
      </w:r>
      <w:r w:rsidR="007142B6">
        <w:rPr>
          <w:rFonts w:ascii="Times New Roman" w:hAnsi="Times New Roman"/>
        </w:rPr>
        <w:t xml:space="preserve">varnishes and </w:t>
      </w:r>
      <w:r>
        <w:rPr>
          <w:rFonts w:ascii="Times New Roman" w:hAnsi="Times New Roman"/>
        </w:rPr>
        <w:t>inks</w:t>
      </w:r>
    </w:p>
    <w:p w14:paraId="55E03DBD" w14:textId="23DC4E7F" w:rsidR="007142B6" w:rsidRDefault="007142B6" w:rsidP="007142B6">
      <w:pPr>
        <w:pStyle w:val="Bodytext"/>
        <w:rPr>
          <w:rFonts w:ascii="Times New Roman" w:hAnsi="Times New Roman"/>
        </w:rPr>
      </w:pPr>
      <w:commentRangeStart w:id="5"/>
      <w:r w:rsidRPr="007142B6">
        <w:rPr>
          <w:rFonts w:ascii="Times New Roman" w:hAnsi="Times New Roman"/>
        </w:rPr>
        <w:t>The varnish</w:t>
      </w:r>
      <w:r>
        <w:rPr>
          <w:rFonts w:ascii="Times New Roman" w:hAnsi="Times New Roman"/>
        </w:rPr>
        <w:t xml:space="preserve"> and printing ink</w:t>
      </w:r>
      <w:r w:rsidRPr="007142B6">
        <w:rPr>
          <w:rFonts w:ascii="Times New Roman" w:hAnsi="Times New Roman"/>
        </w:rPr>
        <w:t xml:space="preserve"> preparation w</w:t>
      </w:r>
      <w:r>
        <w:rPr>
          <w:rFonts w:ascii="Times New Roman" w:hAnsi="Times New Roman"/>
        </w:rPr>
        <w:t>ere</w:t>
      </w:r>
      <w:r w:rsidRPr="007142B6">
        <w:rPr>
          <w:rFonts w:ascii="Times New Roman" w:hAnsi="Times New Roman"/>
        </w:rPr>
        <w:t xml:space="preserve"> slightly modified from</w:t>
      </w:r>
      <w:r>
        <w:rPr>
          <w:rFonts w:ascii="Times New Roman" w:hAnsi="Times New Roman"/>
        </w:rPr>
        <w:t xml:space="preserve"> Leach and</w:t>
      </w:r>
      <w:r w:rsidRPr="007142B6">
        <w:rPr>
          <w:rFonts w:ascii="Times New Roman" w:hAnsi="Times New Roman"/>
        </w:rPr>
        <w:t xml:space="preserve"> Roy</w:t>
      </w:r>
      <w:r>
        <w:rPr>
          <w:rFonts w:ascii="Times New Roman" w:hAnsi="Times New Roman"/>
        </w:rPr>
        <w:t xml:space="preserve"> </w:t>
      </w:r>
      <w:r>
        <w:rPr>
          <w:rFonts w:ascii="Times New Roman" w:hAnsi="Times New Roman"/>
        </w:rPr>
        <w:fldChar w:fldCharType="begin" w:fldLock="1"/>
      </w:r>
      <w:r w:rsidR="00970160">
        <w:rPr>
          <w:rFonts w:ascii="Times New Roman" w:hAnsi="Times New Roman"/>
        </w:rPr>
        <w:instrText>ADDIN CSL_CITATION {"citationItems":[{"id":"ITEM-1","itemData":{"DOI":"10.1007/978-1-4684-6906-6","ISBN":"9780948905810","abstract":"In print for over thirty years, The Printing Ink Manual, published on behalf of the Society of British Printing Ink Manufacturers, is the industry 'bible' for all printing ink technologists, manufacturers, packaging and publishing printers all over the world. Thoroughly revised and updated throughout, the new material present in this fifth edition reflects the substantial developments that have taken place in recent years, including: The dramatic expansion in the use of lithographic inks with particular attention to cold-set, head-set, sheet-set, sheet-fed and web offset and metal decorating inks. The use of flexographic inks in newspaper printing Ink-jet inks: a complete new chapter has been added The most recent theories of high-speed measurements in the rheology of inks The European Quality Assurance Standards ISO 9000 The latest legislation on health, safety and the environment. /LIST All chapters have been reviewed, updated and expanded wherever needed. Further important features include a listing of all the raw materials used regularly in the manufacture of printing inks, giving full information on their physical and chemical properties. Formulation technology is fully illustrated with practical examples and the significance of environmental issues and quality management is also covered in detail. Legislation, mainly European and from the United States, together with specifications set by world-wide end-users have established printing ink as a truly international product. Many of the chapters in The Printing Ink Manual have been written by authors working for international companies to ensure that the contents include the widest international practices and The Printing Ink Manual therefore represents an international reference source which is used throughout the world.","author":[{"dropping-particle":"","family":"Leach","given":"R. H.","non-dropping-particle":"","parse-names":false,"suffix":""},{"dropping-particle":"","family":"Pierce","given":"R. J.","non-dropping-particle":"","parse-names":false,"suffix":""}],"container-title":"Springer","id":"ITEM-1","issued":{"date-parts":[["2007"]]},"publisher":"Springer","title":"The Printing Ink Manual","type":"book"},"uris":["http://www.mendeley.com/documents/?uuid=b083a768-c751-42dd-b58c-f148c556ede4"]},{"id":"ITEM-2","itemData":{"DOI":"10.5650/jos.56.623","ISSN":"13473352","PMID":"17992002","abstract":"Until the middle of this century, fats and oils are the major raw material source for paints, coating and lubricating applications. These markets are completely taken over by petroleum based stocks due to their abundance and versatility. However, recent public awareness to use environmentally acceptable products that minimize pollution, are compatible to human health and readily biodegradable created opportunities for vegetable oils for application in paints and printing inks. The formulation of vegetable oil methyl ester based 'green' offset printing ink that reduces the volatile organic compounds (VOC) has been discussed in the present study. Methyl esters of rapeseed, soybean, rice bran and palm oil have been prepared and their physical properties have been measured and compared with standard petroleum feed stock. Varnishes were prepared with these esters and their properties are also compared with that of the petroleum based products. Rheological properties of the inks are also evaluated and compared with standard printing ink using petroleum based solvent. In general performance of the ester-based printing inks are comparable with that of the mineral oil based product. On the basis of tack stability and gloss, ester based inks are much superior than the mineral oil based products. In conclusion, a new non-volatile diluent for printing ink has been developed. The diluent is made from common vegetable oils like rapeseed, soybean, rice bran and palm oil, a renewable source that is environmental friendly. Vegetable oil esters offer a cost effective solution for mineral oil based printing ink to meet VOCs regulations.","author":[{"dropping-particle":"","family":"Roy","given":"Ananda Sankar","non-dropping-particle":"","parse-names":false,"suffix":""},{"dropping-particle":"","family":"Bhattacharjee","given":"Moumita","non-dropping-particle":"","parse-names":false,"suffix":""},{"dropping-particle":"","family":"Mondal","given":"Rabindranath","non-dropping-particle":"","parse-names":false,"suffix":""},{"dropping-particle":"","family":"Ghosh","given":"Santinath","non-dropping-particle":"","parse-names":false,"suffix":""}],"container-title":"Journal of oleo science","id":"ITEM-2","issue":"12","issued":{"date-parts":[["2007"]]},"page":"623-628","title":"Development of mineral oil free offset printing ink using vegetable oil esters.","type":"article-journal","volume":"56"},"uris":["http://www.mendeley.com/documents/?uuid=fe37e50f-dc2c-445c-ba56-6c91efe034c8"]}],"mendeley":{"formattedCitation":"[3,6]","plainTextFormattedCitation":"[3,6]","previouslyFormattedCitation":"[3,6]"},"properties":{"noteIndex":0},"schema":"https://github.com/citation-style-language/schema/raw/master/csl-citation.json"}</w:instrText>
      </w:r>
      <w:r>
        <w:rPr>
          <w:rFonts w:ascii="Times New Roman" w:hAnsi="Times New Roman"/>
        </w:rPr>
        <w:fldChar w:fldCharType="separate"/>
      </w:r>
      <w:r w:rsidR="00970160" w:rsidRPr="00970160">
        <w:rPr>
          <w:rFonts w:ascii="Times New Roman" w:hAnsi="Times New Roman"/>
          <w:noProof/>
        </w:rPr>
        <w:t>[3,6]</w:t>
      </w:r>
      <w:r>
        <w:rPr>
          <w:rFonts w:ascii="Times New Roman" w:hAnsi="Times New Roman"/>
        </w:rPr>
        <w:fldChar w:fldCharType="end"/>
      </w:r>
      <w:r w:rsidRPr="007142B6">
        <w:rPr>
          <w:rFonts w:ascii="Times New Roman" w:hAnsi="Times New Roman"/>
        </w:rPr>
        <w:t xml:space="preserve"> </w:t>
      </w:r>
      <w:r>
        <w:rPr>
          <w:rFonts w:ascii="Times New Roman" w:hAnsi="Times New Roman"/>
        </w:rPr>
        <w:t xml:space="preserve">and </w:t>
      </w:r>
      <w:r w:rsidRPr="007142B6">
        <w:rPr>
          <w:rFonts w:ascii="Times New Roman" w:hAnsi="Times New Roman"/>
        </w:rPr>
        <w:t>formulated as the composition given in</w:t>
      </w:r>
      <w:r>
        <w:rPr>
          <w:rFonts w:ascii="Times New Roman" w:hAnsi="Times New Roman"/>
        </w:rPr>
        <w:t xml:space="preserve"> Table 1 and Table 2</w:t>
      </w:r>
      <w:r w:rsidRPr="007142B6">
        <w:rPr>
          <w:rFonts w:ascii="Times New Roman" w:hAnsi="Times New Roman"/>
        </w:rPr>
        <w:t>.</w:t>
      </w:r>
      <w:r>
        <w:rPr>
          <w:rFonts w:ascii="Times New Roman" w:hAnsi="Times New Roman"/>
        </w:rPr>
        <w:t xml:space="preserve"> Drying oil </w:t>
      </w:r>
      <w:r w:rsidRPr="007142B6">
        <w:rPr>
          <w:rFonts w:ascii="Times New Roman" w:hAnsi="Times New Roman"/>
        </w:rPr>
        <w:t xml:space="preserve">was heated to 150°C in a five-necked </w:t>
      </w:r>
      <w:r>
        <w:rPr>
          <w:rFonts w:ascii="Times New Roman" w:hAnsi="Times New Roman"/>
        </w:rPr>
        <w:t>one-liter</w:t>
      </w:r>
      <w:r w:rsidRPr="007142B6">
        <w:rPr>
          <w:rFonts w:ascii="Times New Roman" w:hAnsi="Times New Roman"/>
        </w:rPr>
        <w:t xml:space="preserve"> glass kettle </w:t>
      </w:r>
      <w:r>
        <w:rPr>
          <w:rFonts w:ascii="Times New Roman" w:hAnsi="Times New Roman"/>
        </w:rPr>
        <w:t xml:space="preserve">fitted </w:t>
      </w:r>
      <w:r w:rsidRPr="007142B6">
        <w:rPr>
          <w:rFonts w:ascii="Times New Roman" w:hAnsi="Times New Roman"/>
        </w:rPr>
        <w:t>with a mechanical stirrer, thermometer, condenser</w:t>
      </w:r>
      <w:r>
        <w:rPr>
          <w:rFonts w:ascii="Times New Roman" w:hAnsi="Times New Roman"/>
        </w:rPr>
        <w:t xml:space="preserve">, and </w:t>
      </w:r>
      <w:r w:rsidRPr="007142B6">
        <w:rPr>
          <w:rFonts w:ascii="Times New Roman" w:hAnsi="Times New Roman"/>
        </w:rPr>
        <w:t>nitrogen inlet</w:t>
      </w:r>
      <w:r>
        <w:rPr>
          <w:rFonts w:ascii="Times New Roman" w:hAnsi="Times New Roman"/>
        </w:rPr>
        <w:t xml:space="preserve">. The resin was added, </w:t>
      </w:r>
      <w:r w:rsidRPr="007142B6">
        <w:rPr>
          <w:rFonts w:ascii="Times New Roman" w:hAnsi="Times New Roman"/>
        </w:rPr>
        <w:t>heated to 180℃</w:t>
      </w:r>
      <w:r>
        <w:rPr>
          <w:rFonts w:ascii="Times New Roman" w:hAnsi="Times New Roman"/>
        </w:rPr>
        <w:t>, and</w:t>
      </w:r>
      <w:r w:rsidRPr="007142B6">
        <w:rPr>
          <w:rFonts w:ascii="Times New Roman" w:hAnsi="Times New Roman"/>
        </w:rPr>
        <w:t xml:space="preserve"> cooked for 30 minutes</w:t>
      </w:r>
      <w:r>
        <w:rPr>
          <w:rFonts w:ascii="Times New Roman" w:hAnsi="Times New Roman"/>
        </w:rPr>
        <w:t xml:space="preserve">. </w:t>
      </w:r>
      <w:r w:rsidRPr="007142B6">
        <w:rPr>
          <w:rFonts w:ascii="Times New Roman" w:hAnsi="Times New Roman"/>
        </w:rPr>
        <w:t>At 160°C, FAME was added, followed by TEA. BHT was then added and stirred for 5 minutes to allow the varnish to properly mix.</w:t>
      </w:r>
      <w:commentRangeEnd w:id="5"/>
      <w:r w:rsidR="006E71F5">
        <w:rPr>
          <w:rStyle w:val="CommentReference"/>
          <w:iCs w:val="0"/>
          <w:color w:val="auto"/>
          <w:lang w:val="en-GB"/>
        </w:rPr>
        <w:commentReference w:id="5"/>
      </w:r>
    </w:p>
    <w:p w14:paraId="551F42AC" w14:textId="77777777" w:rsidR="007142B6" w:rsidRPr="007142B6" w:rsidRDefault="007142B6" w:rsidP="007142B6">
      <w:pPr>
        <w:pStyle w:val="BodytextIndented"/>
      </w:pPr>
    </w:p>
    <w:p w14:paraId="13DA15F2" w14:textId="173C4D3D" w:rsidR="007142B6" w:rsidRPr="00CE57CF" w:rsidRDefault="007142B6" w:rsidP="007142B6">
      <w:pPr>
        <w:pStyle w:val="TableCaptionCentred"/>
        <w:ind w:left="28"/>
        <w:rPr>
          <w:rFonts w:ascii="Times New Roman" w:hAnsi="Times New Roman"/>
        </w:rPr>
      </w:pPr>
      <w:r w:rsidRPr="00CE57CF">
        <w:rPr>
          <w:rFonts w:ascii="Times New Roman" w:hAnsi="Times New Roman"/>
          <w:b/>
        </w:rPr>
        <w:t xml:space="preserve">Table </w:t>
      </w:r>
      <w:r>
        <w:rPr>
          <w:rFonts w:ascii="Times New Roman" w:hAnsi="Times New Roman"/>
          <w:b/>
        </w:rPr>
        <w:t>1</w:t>
      </w:r>
      <w:r w:rsidRPr="00CE57CF">
        <w:rPr>
          <w:rFonts w:ascii="Times New Roman" w:hAnsi="Times New Roman"/>
          <w:b/>
        </w:rPr>
        <w:t>.</w:t>
      </w:r>
      <w:r w:rsidRPr="00CE57CF">
        <w:rPr>
          <w:rFonts w:ascii="Times New Roman" w:hAnsi="Times New Roman"/>
        </w:rPr>
        <w:t xml:space="preserve"> </w:t>
      </w:r>
      <w:r>
        <w:rPr>
          <w:rFonts w:ascii="Times New Roman" w:hAnsi="Times New Roman"/>
        </w:rPr>
        <w:t>Varnish formulation.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559"/>
        <w:gridCol w:w="1417"/>
      </w:tblGrid>
      <w:tr w:rsidR="007142B6" w14:paraId="18D3AF84" w14:textId="77777777" w:rsidTr="007142B6">
        <w:trPr>
          <w:jc w:val="center"/>
        </w:trPr>
        <w:tc>
          <w:tcPr>
            <w:tcW w:w="2694" w:type="dxa"/>
            <w:vMerge w:val="restart"/>
            <w:tcBorders>
              <w:top w:val="single" w:sz="4" w:space="0" w:color="auto"/>
            </w:tcBorders>
            <w:vAlign w:val="center"/>
          </w:tcPr>
          <w:p w14:paraId="1AA81519" w14:textId="58178388" w:rsidR="007142B6" w:rsidRPr="00DB540C" w:rsidRDefault="007142B6" w:rsidP="007142B6">
            <w:pPr>
              <w:pStyle w:val="BodytextIndented"/>
              <w:ind w:firstLine="0"/>
              <w:jc w:val="center"/>
              <w:rPr>
                <w:sz w:val="20"/>
                <w:szCs w:val="20"/>
              </w:rPr>
            </w:pPr>
            <w:r w:rsidRPr="00DB540C">
              <w:rPr>
                <w:sz w:val="20"/>
                <w:szCs w:val="20"/>
              </w:rPr>
              <w:t>Raw Materials</w:t>
            </w:r>
          </w:p>
        </w:tc>
        <w:tc>
          <w:tcPr>
            <w:tcW w:w="2976" w:type="dxa"/>
            <w:gridSpan w:val="2"/>
            <w:tcBorders>
              <w:top w:val="single" w:sz="4" w:space="0" w:color="auto"/>
            </w:tcBorders>
            <w:vAlign w:val="center"/>
          </w:tcPr>
          <w:p w14:paraId="11AC44AF" w14:textId="52398A48" w:rsidR="007142B6" w:rsidRPr="00DB540C" w:rsidRDefault="007142B6" w:rsidP="007142B6">
            <w:pPr>
              <w:pStyle w:val="BodytextIndented"/>
              <w:ind w:firstLine="0"/>
              <w:jc w:val="center"/>
              <w:rPr>
                <w:sz w:val="20"/>
                <w:szCs w:val="20"/>
              </w:rPr>
            </w:pPr>
            <w:r w:rsidRPr="00DB540C">
              <w:rPr>
                <w:sz w:val="20"/>
                <w:szCs w:val="20"/>
              </w:rPr>
              <w:t>Varnish (%w/w)</w:t>
            </w:r>
          </w:p>
        </w:tc>
      </w:tr>
      <w:tr w:rsidR="007142B6" w14:paraId="6A496386" w14:textId="77777777" w:rsidTr="007142B6">
        <w:trPr>
          <w:jc w:val="center"/>
        </w:trPr>
        <w:tc>
          <w:tcPr>
            <w:tcW w:w="2694" w:type="dxa"/>
            <w:vMerge/>
            <w:tcBorders>
              <w:bottom w:val="single" w:sz="4" w:space="0" w:color="auto"/>
            </w:tcBorders>
            <w:vAlign w:val="center"/>
          </w:tcPr>
          <w:p w14:paraId="0C010870" w14:textId="77777777" w:rsidR="007142B6" w:rsidRPr="00DB540C" w:rsidRDefault="007142B6" w:rsidP="007142B6">
            <w:pPr>
              <w:pStyle w:val="BodytextIndented"/>
              <w:ind w:firstLine="0"/>
              <w:jc w:val="center"/>
              <w:rPr>
                <w:sz w:val="20"/>
                <w:szCs w:val="20"/>
              </w:rPr>
            </w:pPr>
          </w:p>
        </w:tc>
        <w:tc>
          <w:tcPr>
            <w:tcW w:w="1559" w:type="dxa"/>
            <w:tcBorders>
              <w:bottom w:val="single" w:sz="4" w:space="0" w:color="auto"/>
            </w:tcBorders>
            <w:vAlign w:val="center"/>
          </w:tcPr>
          <w:p w14:paraId="1EAD6DFB" w14:textId="77765720" w:rsidR="007142B6" w:rsidRPr="00DB540C" w:rsidRDefault="007142B6" w:rsidP="007142B6">
            <w:pPr>
              <w:pStyle w:val="BodytextIndented"/>
              <w:ind w:firstLine="0"/>
              <w:jc w:val="center"/>
              <w:rPr>
                <w:sz w:val="20"/>
                <w:szCs w:val="20"/>
              </w:rPr>
            </w:pPr>
            <w:r w:rsidRPr="00DB540C">
              <w:rPr>
                <w:sz w:val="20"/>
                <w:szCs w:val="20"/>
              </w:rPr>
              <w:t>FAME-LO</w:t>
            </w:r>
          </w:p>
        </w:tc>
        <w:tc>
          <w:tcPr>
            <w:tcW w:w="1417" w:type="dxa"/>
            <w:tcBorders>
              <w:bottom w:val="single" w:sz="4" w:space="0" w:color="auto"/>
            </w:tcBorders>
            <w:vAlign w:val="center"/>
          </w:tcPr>
          <w:p w14:paraId="7E60FFFC" w14:textId="6F202141" w:rsidR="007142B6" w:rsidRPr="00DB540C" w:rsidRDefault="007142B6" w:rsidP="007142B6">
            <w:pPr>
              <w:pStyle w:val="BodytextIndented"/>
              <w:ind w:firstLine="0"/>
              <w:jc w:val="center"/>
              <w:rPr>
                <w:sz w:val="20"/>
                <w:szCs w:val="20"/>
              </w:rPr>
            </w:pPr>
            <w:r w:rsidRPr="00DB540C">
              <w:rPr>
                <w:sz w:val="20"/>
                <w:szCs w:val="20"/>
              </w:rPr>
              <w:t>FAME-SO</w:t>
            </w:r>
          </w:p>
        </w:tc>
      </w:tr>
      <w:tr w:rsidR="007142B6" w14:paraId="09944496" w14:textId="77777777" w:rsidTr="007142B6">
        <w:trPr>
          <w:jc w:val="center"/>
        </w:trPr>
        <w:tc>
          <w:tcPr>
            <w:tcW w:w="2694" w:type="dxa"/>
            <w:tcBorders>
              <w:top w:val="single" w:sz="4" w:space="0" w:color="auto"/>
            </w:tcBorders>
          </w:tcPr>
          <w:p w14:paraId="1C7C0AFC" w14:textId="233E0927" w:rsidR="007142B6" w:rsidRPr="00DB540C" w:rsidRDefault="007142B6" w:rsidP="007142B6">
            <w:pPr>
              <w:pStyle w:val="BodytextIndented"/>
              <w:ind w:firstLine="0"/>
              <w:jc w:val="center"/>
              <w:rPr>
                <w:sz w:val="20"/>
                <w:szCs w:val="20"/>
              </w:rPr>
            </w:pPr>
            <w:r w:rsidRPr="00DB540C">
              <w:rPr>
                <w:sz w:val="20"/>
                <w:szCs w:val="20"/>
              </w:rPr>
              <w:t>Linseed Oil</w:t>
            </w:r>
          </w:p>
        </w:tc>
        <w:tc>
          <w:tcPr>
            <w:tcW w:w="1559" w:type="dxa"/>
            <w:tcBorders>
              <w:top w:val="single" w:sz="4" w:space="0" w:color="auto"/>
            </w:tcBorders>
          </w:tcPr>
          <w:p w14:paraId="5DBE3053" w14:textId="50CB9AE9" w:rsidR="007142B6" w:rsidRPr="00DB540C" w:rsidRDefault="007142B6" w:rsidP="007142B6">
            <w:pPr>
              <w:pStyle w:val="BodytextIndented"/>
              <w:ind w:firstLine="0"/>
              <w:jc w:val="center"/>
              <w:rPr>
                <w:sz w:val="20"/>
                <w:szCs w:val="20"/>
              </w:rPr>
            </w:pPr>
            <w:r w:rsidRPr="00DB540C">
              <w:rPr>
                <w:sz w:val="20"/>
                <w:szCs w:val="20"/>
              </w:rPr>
              <w:t>23</w:t>
            </w:r>
          </w:p>
        </w:tc>
        <w:tc>
          <w:tcPr>
            <w:tcW w:w="1417" w:type="dxa"/>
            <w:tcBorders>
              <w:top w:val="single" w:sz="4" w:space="0" w:color="auto"/>
            </w:tcBorders>
          </w:tcPr>
          <w:p w14:paraId="6450C4A1" w14:textId="49A2AD44" w:rsidR="007142B6" w:rsidRPr="00DB540C" w:rsidRDefault="007142B6" w:rsidP="007142B6">
            <w:pPr>
              <w:pStyle w:val="BodytextIndented"/>
              <w:ind w:firstLine="0"/>
              <w:jc w:val="center"/>
              <w:rPr>
                <w:sz w:val="20"/>
                <w:szCs w:val="20"/>
              </w:rPr>
            </w:pPr>
            <w:r w:rsidRPr="00DB540C">
              <w:rPr>
                <w:sz w:val="20"/>
                <w:szCs w:val="20"/>
              </w:rPr>
              <w:t>-</w:t>
            </w:r>
          </w:p>
        </w:tc>
      </w:tr>
      <w:tr w:rsidR="007142B6" w14:paraId="160BC9DF" w14:textId="77777777" w:rsidTr="007142B6">
        <w:trPr>
          <w:jc w:val="center"/>
        </w:trPr>
        <w:tc>
          <w:tcPr>
            <w:tcW w:w="2694" w:type="dxa"/>
          </w:tcPr>
          <w:p w14:paraId="1817D7C8" w14:textId="2881F123" w:rsidR="007142B6" w:rsidRPr="00DB540C" w:rsidRDefault="007142B6" w:rsidP="007142B6">
            <w:pPr>
              <w:pStyle w:val="BodytextIndented"/>
              <w:ind w:firstLine="0"/>
              <w:jc w:val="center"/>
              <w:rPr>
                <w:sz w:val="20"/>
                <w:szCs w:val="20"/>
              </w:rPr>
            </w:pPr>
            <w:r w:rsidRPr="00DB540C">
              <w:rPr>
                <w:sz w:val="20"/>
                <w:szCs w:val="20"/>
              </w:rPr>
              <w:t>Soybean Oil</w:t>
            </w:r>
          </w:p>
        </w:tc>
        <w:tc>
          <w:tcPr>
            <w:tcW w:w="1559" w:type="dxa"/>
          </w:tcPr>
          <w:p w14:paraId="65BDCA5A" w14:textId="707813F6" w:rsidR="007142B6" w:rsidRPr="00DB540C" w:rsidRDefault="007142B6" w:rsidP="007142B6">
            <w:pPr>
              <w:pStyle w:val="BodytextIndented"/>
              <w:ind w:firstLine="0"/>
              <w:jc w:val="center"/>
              <w:rPr>
                <w:sz w:val="20"/>
                <w:szCs w:val="20"/>
              </w:rPr>
            </w:pPr>
            <w:r w:rsidRPr="00DB540C">
              <w:rPr>
                <w:sz w:val="20"/>
                <w:szCs w:val="20"/>
              </w:rPr>
              <w:t>-</w:t>
            </w:r>
          </w:p>
        </w:tc>
        <w:tc>
          <w:tcPr>
            <w:tcW w:w="1417" w:type="dxa"/>
          </w:tcPr>
          <w:p w14:paraId="3D08CF77" w14:textId="5D240982" w:rsidR="007142B6" w:rsidRPr="00DB540C" w:rsidRDefault="007142B6" w:rsidP="007142B6">
            <w:pPr>
              <w:pStyle w:val="BodytextIndented"/>
              <w:ind w:firstLine="0"/>
              <w:jc w:val="center"/>
              <w:rPr>
                <w:sz w:val="20"/>
                <w:szCs w:val="20"/>
              </w:rPr>
            </w:pPr>
            <w:r w:rsidRPr="00DB540C">
              <w:rPr>
                <w:sz w:val="20"/>
                <w:szCs w:val="20"/>
              </w:rPr>
              <w:t>23</w:t>
            </w:r>
          </w:p>
        </w:tc>
      </w:tr>
      <w:tr w:rsidR="007142B6" w14:paraId="064D6136" w14:textId="77777777" w:rsidTr="007142B6">
        <w:trPr>
          <w:jc w:val="center"/>
        </w:trPr>
        <w:tc>
          <w:tcPr>
            <w:tcW w:w="2694" w:type="dxa"/>
          </w:tcPr>
          <w:p w14:paraId="5D4C27FB" w14:textId="614ED13A" w:rsidR="007142B6" w:rsidRPr="00DB540C" w:rsidRDefault="007142B6" w:rsidP="007142B6">
            <w:pPr>
              <w:pStyle w:val="BodytextIndented"/>
              <w:ind w:firstLine="0"/>
              <w:jc w:val="center"/>
              <w:rPr>
                <w:sz w:val="20"/>
                <w:szCs w:val="20"/>
              </w:rPr>
            </w:pPr>
            <w:r w:rsidRPr="00DB540C">
              <w:rPr>
                <w:sz w:val="20"/>
                <w:szCs w:val="20"/>
              </w:rPr>
              <w:t>Resin</w:t>
            </w:r>
          </w:p>
        </w:tc>
        <w:tc>
          <w:tcPr>
            <w:tcW w:w="1559" w:type="dxa"/>
          </w:tcPr>
          <w:p w14:paraId="4DA6BC52" w14:textId="2CFDC3F6" w:rsidR="007142B6" w:rsidRPr="00DB540C" w:rsidRDefault="007142B6" w:rsidP="007142B6">
            <w:pPr>
              <w:pStyle w:val="BodytextIndented"/>
              <w:ind w:firstLine="0"/>
              <w:jc w:val="center"/>
              <w:rPr>
                <w:sz w:val="20"/>
                <w:szCs w:val="20"/>
              </w:rPr>
            </w:pPr>
            <w:r w:rsidRPr="00DB540C">
              <w:rPr>
                <w:sz w:val="20"/>
                <w:szCs w:val="20"/>
              </w:rPr>
              <w:t>43</w:t>
            </w:r>
          </w:p>
        </w:tc>
        <w:tc>
          <w:tcPr>
            <w:tcW w:w="1417" w:type="dxa"/>
          </w:tcPr>
          <w:p w14:paraId="10938476" w14:textId="39A7D89A" w:rsidR="007142B6" w:rsidRPr="00DB540C" w:rsidRDefault="007142B6" w:rsidP="007142B6">
            <w:pPr>
              <w:pStyle w:val="BodytextIndented"/>
              <w:ind w:firstLine="0"/>
              <w:jc w:val="center"/>
              <w:rPr>
                <w:sz w:val="20"/>
                <w:szCs w:val="20"/>
              </w:rPr>
            </w:pPr>
            <w:r w:rsidRPr="00DB540C">
              <w:rPr>
                <w:sz w:val="20"/>
                <w:szCs w:val="20"/>
              </w:rPr>
              <w:t>43</w:t>
            </w:r>
          </w:p>
        </w:tc>
      </w:tr>
      <w:tr w:rsidR="007142B6" w14:paraId="5B4F311F" w14:textId="77777777" w:rsidTr="007142B6">
        <w:trPr>
          <w:jc w:val="center"/>
        </w:trPr>
        <w:tc>
          <w:tcPr>
            <w:tcW w:w="2694" w:type="dxa"/>
          </w:tcPr>
          <w:p w14:paraId="61970CE3" w14:textId="2EA95F3F" w:rsidR="007142B6" w:rsidRPr="00DB540C" w:rsidRDefault="007142B6" w:rsidP="007142B6">
            <w:pPr>
              <w:pStyle w:val="BodytextIndented"/>
              <w:ind w:firstLine="0"/>
              <w:jc w:val="center"/>
              <w:rPr>
                <w:sz w:val="20"/>
                <w:szCs w:val="20"/>
              </w:rPr>
            </w:pPr>
            <w:r w:rsidRPr="00DB540C">
              <w:rPr>
                <w:sz w:val="20"/>
                <w:szCs w:val="20"/>
              </w:rPr>
              <w:t>FAME</w:t>
            </w:r>
          </w:p>
        </w:tc>
        <w:tc>
          <w:tcPr>
            <w:tcW w:w="1559" w:type="dxa"/>
          </w:tcPr>
          <w:p w14:paraId="7AD64A1C" w14:textId="052A6873" w:rsidR="007142B6" w:rsidRPr="00DB540C" w:rsidRDefault="007142B6" w:rsidP="007142B6">
            <w:pPr>
              <w:pStyle w:val="BodytextIndented"/>
              <w:ind w:firstLine="0"/>
              <w:jc w:val="center"/>
              <w:rPr>
                <w:sz w:val="20"/>
                <w:szCs w:val="20"/>
              </w:rPr>
            </w:pPr>
            <w:r w:rsidRPr="00DB540C">
              <w:rPr>
                <w:sz w:val="20"/>
                <w:szCs w:val="20"/>
              </w:rPr>
              <w:t>33</w:t>
            </w:r>
          </w:p>
        </w:tc>
        <w:tc>
          <w:tcPr>
            <w:tcW w:w="1417" w:type="dxa"/>
          </w:tcPr>
          <w:p w14:paraId="09E618B9" w14:textId="772D688E" w:rsidR="007142B6" w:rsidRPr="00DB540C" w:rsidRDefault="007142B6" w:rsidP="007142B6">
            <w:pPr>
              <w:pStyle w:val="BodytextIndented"/>
              <w:ind w:firstLine="0"/>
              <w:jc w:val="center"/>
              <w:rPr>
                <w:sz w:val="20"/>
                <w:szCs w:val="20"/>
              </w:rPr>
            </w:pPr>
            <w:r w:rsidRPr="00DB540C">
              <w:rPr>
                <w:sz w:val="20"/>
                <w:szCs w:val="20"/>
              </w:rPr>
              <w:t>33</w:t>
            </w:r>
          </w:p>
        </w:tc>
      </w:tr>
      <w:tr w:rsidR="007142B6" w14:paraId="295F972B" w14:textId="77777777" w:rsidTr="007142B6">
        <w:trPr>
          <w:jc w:val="center"/>
        </w:trPr>
        <w:tc>
          <w:tcPr>
            <w:tcW w:w="2694" w:type="dxa"/>
            <w:tcBorders>
              <w:bottom w:val="single" w:sz="4" w:space="0" w:color="auto"/>
            </w:tcBorders>
          </w:tcPr>
          <w:p w14:paraId="536EAE1B" w14:textId="0EE3990A" w:rsidR="007142B6" w:rsidRPr="00DB540C" w:rsidRDefault="007142B6" w:rsidP="007142B6">
            <w:pPr>
              <w:pStyle w:val="BodytextIndented"/>
              <w:ind w:firstLine="0"/>
              <w:jc w:val="center"/>
              <w:rPr>
                <w:sz w:val="20"/>
                <w:szCs w:val="20"/>
              </w:rPr>
            </w:pPr>
            <w:proofErr w:type="spellStart"/>
            <w:r w:rsidRPr="00DB540C">
              <w:rPr>
                <w:sz w:val="20"/>
                <w:szCs w:val="20"/>
              </w:rPr>
              <w:t>Additives</w:t>
            </w:r>
            <w:r w:rsidRPr="00DB540C">
              <w:rPr>
                <w:sz w:val="20"/>
                <w:szCs w:val="20"/>
                <w:vertAlign w:val="superscript"/>
              </w:rPr>
              <w:t>a</w:t>
            </w:r>
            <w:proofErr w:type="spellEnd"/>
          </w:p>
        </w:tc>
        <w:tc>
          <w:tcPr>
            <w:tcW w:w="1559" w:type="dxa"/>
            <w:tcBorders>
              <w:bottom w:val="single" w:sz="4" w:space="0" w:color="auto"/>
            </w:tcBorders>
            <w:vAlign w:val="center"/>
          </w:tcPr>
          <w:p w14:paraId="581A2337" w14:textId="6A30FB87" w:rsidR="007142B6" w:rsidRPr="00DB540C" w:rsidRDefault="007142B6" w:rsidP="007142B6">
            <w:pPr>
              <w:pStyle w:val="BodytextIndented"/>
              <w:ind w:firstLine="0"/>
              <w:jc w:val="center"/>
              <w:rPr>
                <w:sz w:val="20"/>
                <w:szCs w:val="20"/>
              </w:rPr>
            </w:pPr>
            <w:r w:rsidRPr="00DB540C">
              <w:rPr>
                <w:sz w:val="20"/>
                <w:szCs w:val="20"/>
              </w:rPr>
              <w:t>1</w:t>
            </w:r>
          </w:p>
        </w:tc>
        <w:tc>
          <w:tcPr>
            <w:tcW w:w="1417" w:type="dxa"/>
            <w:tcBorders>
              <w:bottom w:val="single" w:sz="4" w:space="0" w:color="auto"/>
            </w:tcBorders>
            <w:vAlign w:val="center"/>
          </w:tcPr>
          <w:p w14:paraId="7DC5D3E9" w14:textId="3361280D" w:rsidR="007142B6" w:rsidRPr="00DB540C" w:rsidRDefault="007142B6" w:rsidP="007142B6">
            <w:pPr>
              <w:pStyle w:val="BodytextIndented"/>
              <w:ind w:firstLine="0"/>
              <w:jc w:val="center"/>
              <w:rPr>
                <w:sz w:val="20"/>
                <w:szCs w:val="20"/>
              </w:rPr>
            </w:pPr>
            <w:r w:rsidRPr="00DB540C">
              <w:rPr>
                <w:sz w:val="20"/>
                <w:szCs w:val="20"/>
              </w:rPr>
              <w:t>1</w:t>
            </w:r>
          </w:p>
        </w:tc>
      </w:tr>
      <w:tr w:rsidR="007142B6" w14:paraId="3957DF54" w14:textId="77777777" w:rsidTr="005A56B9">
        <w:trPr>
          <w:jc w:val="center"/>
        </w:trPr>
        <w:tc>
          <w:tcPr>
            <w:tcW w:w="5670" w:type="dxa"/>
            <w:gridSpan w:val="3"/>
            <w:tcBorders>
              <w:top w:val="single" w:sz="4" w:space="0" w:color="auto"/>
            </w:tcBorders>
          </w:tcPr>
          <w:p w14:paraId="25B55A59" w14:textId="4CA216A1" w:rsidR="007142B6" w:rsidRPr="00DB540C" w:rsidRDefault="007142B6" w:rsidP="007142B6">
            <w:pPr>
              <w:pStyle w:val="BodytextIndented"/>
              <w:ind w:firstLine="0"/>
              <w:jc w:val="left"/>
              <w:rPr>
                <w:sz w:val="20"/>
                <w:szCs w:val="20"/>
              </w:rPr>
            </w:pPr>
            <w:r w:rsidRPr="00DB540C">
              <w:rPr>
                <w:sz w:val="20"/>
                <w:szCs w:val="20"/>
                <w:vertAlign w:val="superscript"/>
              </w:rPr>
              <w:t xml:space="preserve">a </w:t>
            </w:r>
            <w:r w:rsidRPr="00DB540C">
              <w:rPr>
                <w:sz w:val="20"/>
                <w:szCs w:val="20"/>
              </w:rPr>
              <w:t>TEA and BHT</w:t>
            </w:r>
          </w:p>
        </w:tc>
      </w:tr>
    </w:tbl>
    <w:p w14:paraId="5837A4C2" w14:textId="2E46F42B" w:rsidR="007142B6" w:rsidRDefault="007142B6" w:rsidP="007142B6">
      <w:pPr>
        <w:pStyle w:val="BodytextIndented"/>
        <w:ind w:firstLine="0"/>
        <w:jc w:val="center"/>
      </w:pPr>
    </w:p>
    <w:p w14:paraId="0D93CFCE" w14:textId="4A7F0782" w:rsidR="007142B6" w:rsidRDefault="007142B6" w:rsidP="00B016D2">
      <w:pPr>
        <w:pStyle w:val="BodytextIndented"/>
      </w:pPr>
      <w:r w:rsidRPr="007142B6">
        <w:t xml:space="preserve">The inks were prepared </w:t>
      </w:r>
      <w:r>
        <w:t>by mixing the composition listed in and then milled with the help of a Laboratory 3-roll mill (</w:t>
      </w:r>
      <w:proofErr w:type="spellStart"/>
      <w:r w:rsidRPr="007142B6">
        <w:t>Zili</w:t>
      </w:r>
      <w:proofErr w:type="spellEnd"/>
      <w:r w:rsidRPr="007142B6">
        <w:t xml:space="preserve"> Chemical Machinery Co.,</w:t>
      </w:r>
      <w:r>
        <w:t xml:space="preserve"> </w:t>
      </w:r>
      <w:r w:rsidRPr="007142B6">
        <w:t xml:space="preserve">Ltd., </w:t>
      </w:r>
      <w:r>
        <w:t>China</w:t>
      </w:r>
      <w:r>
        <w:rPr>
          <w:rFonts w:ascii="MS Mincho" w:eastAsia="MS Mincho" w:hAnsi="MS Mincho" w:cs="MS Mincho"/>
        </w:rPr>
        <w:t xml:space="preserve">) </w:t>
      </w:r>
      <w:r w:rsidRPr="007142B6">
        <w:t>to obtain fine size particle</w:t>
      </w:r>
      <w:r>
        <w:t>s.</w:t>
      </w:r>
    </w:p>
    <w:p w14:paraId="6D72C09E" w14:textId="77777777" w:rsidR="007142B6" w:rsidRDefault="007142B6" w:rsidP="007142B6">
      <w:pPr>
        <w:pStyle w:val="BodytextIndented"/>
        <w:ind w:firstLine="0"/>
      </w:pPr>
    </w:p>
    <w:p w14:paraId="281F29C6" w14:textId="2742959F" w:rsidR="007142B6" w:rsidRPr="00CE57CF" w:rsidRDefault="007142B6" w:rsidP="007142B6">
      <w:pPr>
        <w:pStyle w:val="TableCaptionCentred"/>
        <w:ind w:left="28"/>
        <w:rPr>
          <w:rFonts w:ascii="Times New Roman" w:hAnsi="Times New Roman"/>
        </w:rPr>
      </w:pPr>
      <w:r w:rsidRPr="00CE57CF">
        <w:rPr>
          <w:rFonts w:ascii="Times New Roman" w:hAnsi="Times New Roman"/>
          <w:b/>
        </w:rPr>
        <w:t xml:space="preserve">Table </w:t>
      </w:r>
      <w:r>
        <w:rPr>
          <w:rFonts w:ascii="Times New Roman" w:hAnsi="Times New Roman"/>
          <w:b/>
        </w:rPr>
        <w:t>2</w:t>
      </w:r>
      <w:r w:rsidRPr="00CE57CF">
        <w:rPr>
          <w:rFonts w:ascii="Times New Roman" w:hAnsi="Times New Roman"/>
          <w:b/>
        </w:rPr>
        <w:t>.</w:t>
      </w:r>
      <w:r w:rsidRPr="00CE57CF">
        <w:rPr>
          <w:rFonts w:ascii="Times New Roman" w:hAnsi="Times New Roman"/>
        </w:rPr>
        <w:t xml:space="preserve"> </w:t>
      </w:r>
      <w:r w:rsidRPr="007142B6">
        <w:rPr>
          <w:rFonts w:ascii="Times New Roman" w:hAnsi="Times New Roman"/>
        </w:rPr>
        <w:t>Formulation of the printing ink by using different varnishes</w:t>
      </w:r>
      <w:r>
        <w:rPr>
          <w:rFonts w:ascii="Times New Roman" w:hAnsi="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559"/>
        <w:gridCol w:w="1559"/>
      </w:tblGrid>
      <w:tr w:rsidR="007142B6" w14:paraId="5110E8AF" w14:textId="77777777" w:rsidTr="007142B6">
        <w:trPr>
          <w:jc w:val="center"/>
        </w:trPr>
        <w:tc>
          <w:tcPr>
            <w:tcW w:w="2694" w:type="dxa"/>
            <w:vMerge w:val="restart"/>
            <w:tcBorders>
              <w:top w:val="single" w:sz="4" w:space="0" w:color="auto"/>
            </w:tcBorders>
            <w:vAlign w:val="center"/>
          </w:tcPr>
          <w:p w14:paraId="4E926273" w14:textId="77777777" w:rsidR="007142B6" w:rsidRPr="00DB540C" w:rsidRDefault="007142B6" w:rsidP="005A56B9">
            <w:pPr>
              <w:pStyle w:val="BodytextIndented"/>
              <w:ind w:firstLine="0"/>
              <w:jc w:val="center"/>
              <w:rPr>
                <w:sz w:val="20"/>
                <w:szCs w:val="20"/>
              </w:rPr>
            </w:pPr>
            <w:r w:rsidRPr="00DB540C">
              <w:rPr>
                <w:sz w:val="20"/>
                <w:szCs w:val="20"/>
              </w:rPr>
              <w:t>Raw Materials</w:t>
            </w:r>
          </w:p>
        </w:tc>
        <w:tc>
          <w:tcPr>
            <w:tcW w:w="3118" w:type="dxa"/>
            <w:gridSpan w:val="2"/>
            <w:tcBorders>
              <w:top w:val="single" w:sz="4" w:space="0" w:color="auto"/>
            </w:tcBorders>
            <w:vAlign w:val="center"/>
          </w:tcPr>
          <w:p w14:paraId="60D7C797" w14:textId="3FC5CA9F" w:rsidR="007142B6" w:rsidRPr="00DB540C" w:rsidRDefault="007142B6" w:rsidP="005A56B9">
            <w:pPr>
              <w:pStyle w:val="BodytextIndented"/>
              <w:ind w:firstLine="0"/>
              <w:jc w:val="center"/>
              <w:rPr>
                <w:sz w:val="20"/>
                <w:szCs w:val="20"/>
              </w:rPr>
            </w:pPr>
            <w:r w:rsidRPr="00DB540C">
              <w:rPr>
                <w:sz w:val="20"/>
                <w:szCs w:val="20"/>
              </w:rPr>
              <w:t>Ink (%w/w)</w:t>
            </w:r>
          </w:p>
        </w:tc>
      </w:tr>
      <w:tr w:rsidR="007142B6" w14:paraId="65393457" w14:textId="77777777" w:rsidTr="007142B6">
        <w:trPr>
          <w:jc w:val="center"/>
        </w:trPr>
        <w:tc>
          <w:tcPr>
            <w:tcW w:w="2694" w:type="dxa"/>
            <w:vMerge/>
            <w:tcBorders>
              <w:bottom w:val="single" w:sz="4" w:space="0" w:color="auto"/>
            </w:tcBorders>
            <w:vAlign w:val="center"/>
          </w:tcPr>
          <w:p w14:paraId="10BB72F2" w14:textId="77777777" w:rsidR="007142B6" w:rsidRPr="00DB540C" w:rsidRDefault="007142B6" w:rsidP="005A56B9">
            <w:pPr>
              <w:pStyle w:val="BodytextIndented"/>
              <w:ind w:firstLine="0"/>
              <w:jc w:val="center"/>
              <w:rPr>
                <w:sz w:val="20"/>
                <w:szCs w:val="20"/>
              </w:rPr>
            </w:pPr>
          </w:p>
        </w:tc>
        <w:tc>
          <w:tcPr>
            <w:tcW w:w="1559" w:type="dxa"/>
            <w:tcBorders>
              <w:bottom w:val="single" w:sz="4" w:space="0" w:color="auto"/>
            </w:tcBorders>
            <w:vAlign w:val="center"/>
          </w:tcPr>
          <w:p w14:paraId="02355A93" w14:textId="77777777" w:rsidR="007142B6" w:rsidRPr="00DB540C" w:rsidRDefault="007142B6" w:rsidP="005A56B9">
            <w:pPr>
              <w:pStyle w:val="BodytextIndented"/>
              <w:ind w:firstLine="0"/>
              <w:jc w:val="center"/>
              <w:rPr>
                <w:sz w:val="20"/>
                <w:szCs w:val="20"/>
              </w:rPr>
            </w:pPr>
            <w:r w:rsidRPr="00DB540C">
              <w:rPr>
                <w:sz w:val="20"/>
                <w:szCs w:val="20"/>
              </w:rPr>
              <w:t>FAME-LO</w:t>
            </w:r>
          </w:p>
        </w:tc>
        <w:tc>
          <w:tcPr>
            <w:tcW w:w="1559" w:type="dxa"/>
            <w:tcBorders>
              <w:bottom w:val="single" w:sz="4" w:space="0" w:color="auto"/>
            </w:tcBorders>
            <w:vAlign w:val="center"/>
          </w:tcPr>
          <w:p w14:paraId="53E076C5" w14:textId="77777777" w:rsidR="007142B6" w:rsidRPr="00DB540C" w:rsidRDefault="007142B6" w:rsidP="005A56B9">
            <w:pPr>
              <w:pStyle w:val="BodytextIndented"/>
              <w:ind w:firstLine="0"/>
              <w:jc w:val="center"/>
              <w:rPr>
                <w:sz w:val="20"/>
                <w:szCs w:val="20"/>
              </w:rPr>
            </w:pPr>
            <w:r w:rsidRPr="00DB540C">
              <w:rPr>
                <w:sz w:val="20"/>
                <w:szCs w:val="20"/>
              </w:rPr>
              <w:t>FAME-SO</w:t>
            </w:r>
          </w:p>
        </w:tc>
      </w:tr>
      <w:tr w:rsidR="007142B6" w14:paraId="3F42AB35" w14:textId="77777777" w:rsidTr="007142B6">
        <w:trPr>
          <w:jc w:val="center"/>
        </w:trPr>
        <w:tc>
          <w:tcPr>
            <w:tcW w:w="2694" w:type="dxa"/>
            <w:tcBorders>
              <w:top w:val="single" w:sz="4" w:space="0" w:color="auto"/>
            </w:tcBorders>
          </w:tcPr>
          <w:p w14:paraId="5E99D71A" w14:textId="7D87FA85" w:rsidR="007142B6" w:rsidRPr="00DB540C" w:rsidRDefault="007142B6" w:rsidP="005A56B9">
            <w:pPr>
              <w:pStyle w:val="BodytextIndented"/>
              <w:ind w:firstLine="0"/>
              <w:jc w:val="center"/>
              <w:rPr>
                <w:sz w:val="20"/>
                <w:szCs w:val="20"/>
              </w:rPr>
            </w:pPr>
            <w:r w:rsidRPr="00DB540C">
              <w:rPr>
                <w:sz w:val="20"/>
                <w:szCs w:val="20"/>
              </w:rPr>
              <w:t>Varnish FAME-LO</w:t>
            </w:r>
          </w:p>
        </w:tc>
        <w:tc>
          <w:tcPr>
            <w:tcW w:w="1559" w:type="dxa"/>
            <w:tcBorders>
              <w:top w:val="single" w:sz="4" w:space="0" w:color="auto"/>
            </w:tcBorders>
            <w:vAlign w:val="center"/>
          </w:tcPr>
          <w:p w14:paraId="4EDDF70E" w14:textId="19A675D8" w:rsidR="007142B6" w:rsidRPr="00DB540C" w:rsidRDefault="007142B6" w:rsidP="007142B6">
            <w:pPr>
              <w:pStyle w:val="BodytextIndented"/>
              <w:ind w:firstLine="0"/>
              <w:jc w:val="center"/>
              <w:rPr>
                <w:sz w:val="20"/>
                <w:szCs w:val="20"/>
              </w:rPr>
            </w:pPr>
            <w:r w:rsidRPr="00DB540C">
              <w:rPr>
                <w:sz w:val="20"/>
                <w:szCs w:val="20"/>
              </w:rPr>
              <w:t>72</w:t>
            </w:r>
          </w:p>
        </w:tc>
        <w:tc>
          <w:tcPr>
            <w:tcW w:w="1559" w:type="dxa"/>
            <w:tcBorders>
              <w:top w:val="single" w:sz="4" w:space="0" w:color="auto"/>
            </w:tcBorders>
            <w:vAlign w:val="center"/>
          </w:tcPr>
          <w:p w14:paraId="345BC288" w14:textId="77777777" w:rsidR="007142B6" w:rsidRPr="00DB540C" w:rsidRDefault="007142B6" w:rsidP="007142B6">
            <w:pPr>
              <w:pStyle w:val="BodytextIndented"/>
              <w:ind w:firstLine="0"/>
              <w:jc w:val="center"/>
              <w:rPr>
                <w:sz w:val="20"/>
                <w:szCs w:val="20"/>
              </w:rPr>
            </w:pPr>
            <w:r w:rsidRPr="00DB540C">
              <w:rPr>
                <w:sz w:val="20"/>
                <w:szCs w:val="20"/>
              </w:rPr>
              <w:t>-</w:t>
            </w:r>
          </w:p>
        </w:tc>
      </w:tr>
      <w:tr w:rsidR="007142B6" w14:paraId="53E8C4A1" w14:textId="77777777" w:rsidTr="007142B6">
        <w:trPr>
          <w:jc w:val="center"/>
        </w:trPr>
        <w:tc>
          <w:tcPr>
            <w:tcW w:w="2694" w:type="dxa"/>
          </w:tcPr>
          <w:p w14:paraId="7BAED4E3" w14:textId="0D556EA9" w:rsidR="007142B6" w:rsidRPr="00DB540C" w:rsidRDefault="007142B6" w:rsidP="005A56B9">
            <w:pPr>
              <w:pStyle w:val="BodytextIndented"/>
              <w:ind w:firstLine="0"/>
              <w:jc w:val="center"/>
              <w:rPr>
                <w:sz w:val="20"/>
                <w:szCs w:val="20"/>
              </w:rPr>
            </w:pPr>
            <w:r w:rsidRPr="00DB540C">
              <w:rPr>
                <w:sz w:val="20"/>
                <w:szCs w:val="20"/>
              </w:rPr>
              <w:t>Varnish FAME-SO</w:t>
            </w:r>
          </w:p>
        </w:tc>
        <w:tc>
          <w:tcPr>
            <w:tcW w:w="1559" w:type="dxa"/>
            <w:vAlign w:val="center"/>
          </w:tcPr>
          <w:p w14:paraId="7D29F0FD" w14:textId="77777777" w:rsidR="007142B6" w:rsidRPr="00DB540C" w:rsidRDefault="007142B6" w:rsidP="007142B6">
            <w:pPr>
              <w:pStyle w:val="BodytextIndented"/>
              <w:ind w:firstLine="0"/>
              <w:jc w:val="center"/>
              <w:rPr>
                <w:sz w:val="20"/>
                <w:szCs w:val="20"/>
              </w:rPr>
            </w:pPr>
            <w:r w:rsidRPr="00DB540C">
              <w:rPr>
                <w:sz w:val="20"/>
                <w:szCs w:val="20"/>
              </w:rPr>
              <w:t>-</w:t>
            </w:r>
          </w:p>
        </w:tc>
        <w:tc>
          <w:tcPr>
            <w:tcW w:w="1559" w:type="dxa"/>
            <w:vAlign w:val="center"/>
          </w:tcPr>
          <w:p w14:paraId="4D0F02BC" w14:textId="042DDD73" w:rsidR="007142B6" w:rsidRPr="00DB540C" w:rsidRDefault="007142B6" w:rsidP="007142B6">
            <w:pPr>
              <w:pStyle w:val="BodytextIndented"/>
              <w:ind w:firstLine="0"/>
              <w:jc w:val="center"/>
              <w:rPr>
                <w:sz w:val="20"/>
                <w:szCs w:val="20"/>
              </w:rPr>
            </w:pPr>
            <w:r w:rsidRPr="00DB540C">
              <w:rPr>
                <w:sz w:val="20"/>
                <w:szCs w:val="20"/>
              </w:rPr>
              <w:t>72</w:t>
            </w:r>
          </w:p>
        </w:tc>
      </w:tr>
      <w:tr w:rsidR="007142B6" w14:paraId="3239BA6A" w14:textId="77777777" w:rsidTr="007142B6">
        <w:trPr>
          <w:jc w:val="center"/>
        </w:trPr>
        <w:tc>
          <w:tcPr>
            <w:tcW w:w="2694" w:type="dxa"/>
          </w:tcPr>
          <w:p w14:paraId="23CC48A1" w14:textId="69A4B527" w:rsidR="007142B6" w:rsidRPr="00DB540C" w:rsidRDefault="007142B6" w:rsidP="005A56B9">
            <w:pPr>
              <w:pStyle w:val="BodytextIndented"/>
              <w:ind w:firstLine="0"/>
              <w:jc w:val="center"/>
              <w:rPr>
                <w:sz w:val="20"/>
                <w:szCs w:val="20"/>
              </w:rPr>
            </w:pPr>
            <w:proofErr w:type="spellStart"/>
            <w:r w:rsidRPr="00DB540C">
              <w:rPr>
                <w:sz w:val="20"/>
                <w:szCs w:val="20"/>
              </w:rPr>
              <w:t>Pigment</w:t>
            </w:r>
            <w:r w:rsidRPr="00DB540C">
              <w:rPr>
                <w:sz w:val="20"/>
                <w:szCs w:val="20"/>
                <w:vertAlign w:val="superscript"/>
              </w:rPr>
              <w:t>a</w:t>
            </w:r>
            <w:proofErr w:type="spellEnd"/>
          </w:p>
        </w:tc>
        <w:tc>
          <w:tcPr>
            <w:tcW w:w="1559" w:type="dxa"/>
            <w:vAlign w:val="center"/>
          </w:tcPr>
          <w:p w14:paraId="6F0B10CB" w14:textId="607E89E0" w:rsidR="007142B6" w:rsidRPr="00DB540C" w:rsidRDefault="007142B6" w:rsidP="007142B6">
            <w:pPr>
              <w:pStyle w:val="BodytextIndented"/>
              <w:ind w:firstLine="0"/>
              <w:jc w:val="center"/>
              <w:rPr>
                <w:sz w:val="20"/>
                <w:szCs w:val="20"/>
              </w:rPr>
            </w:pPr>
            <w:r w:rsidRPr="00DB540C">
              <w:rPr>
                <w:sz w:val="20"/>
                <w:szCs w:val="20"/>
              </w:rPr>
              <w:t>18</w:t>
            </w:r>
          </w:p>
        </w:tc>
        <w:tc>
          <w:tcPr>
            <w:tcW w:w="1559" w:type="dxa"/>
            <w:vAlign w:val="center"/>
          </w:tcPr>
          <w:p w14:paraId="16902074" w14:textId="4646A926" w:rsidR="007142B6" w:rsidRPr="00DB540C" w:rsidRDefault="007142B6" w:rsidP="007142B6">
            <w:pPr>
              <w:pStyle w:val="BodytextIndented"/>
              <w:ind w:firstLine="0"/>
              <w:jc w:val="center"/>
              <w:rPr>
                <w:sz w:val="20"/>
                <w:szCs w:val="20"/>
              </w:rPr>
            </w:pPr>
            <w:r w:rsidRPr="00DB540C">
              <w:rPr>
                <w:sz w:val="20"/>
                <w:szCs w:val="20"/>
              </w:rPr>
              <w:t>18</w:t>
            </w:r>
          </w:p>
        </w:tc>
      </w:tr>
      <w:tr w:rsidR="007142B6" w14:paraId="4348F2BC" w14:textId="77777777" w:rsidTr="007142B6">
        <w:trPr>
          <w:jc w:val="center"/>
        </w:trPr>
        <w:tc>
          <w:tcPr>
            <w:tcW w:w="2694" w:type="dxa"/>
          </w:tcPr>
          <w:p w14:paraId="0195BB54" w14:textId="5132CFF0" w:rsidR="007142B6" w:rsidRPr="00DB540C" w:rsidRDefault="007142B6" w:rsidP="007142B6">
            <w:pPr>
              <w:pStyle w:val="BodytextIndented"/>
              <w:ind w:firstLine="0"/>
              <w:jc w:val="center"/>
              <w:rPr>
                <w:sz w:val="20"/>
                <w:szCs w:val="20"/>
              </w:rPr>
            </w:pPr>
            <w:r w:rsidRPr="00DB540C">
              <w:rPr>
                <w:sz w:val="20"/>
                <w:szCs w:val="20"/>
              </w:rPr>
              <w:t>FAME</w:t>
            </w:r>
          </w:p>
        </w:tc>
        <w:tc>
          <w:tcPr>
            <w:tcW w:w="1559" w:type="dxa"/>
            <w:vAlign w:val="center"/>
          </w:tcPr>
          <w:p w14:paraId="684032D8" w14:textId="25601ABB" w:rsidR="007142B6" w:rsidRPr="00DB540C" w:rsidRDefault="007142B6" w:rsidP="007142B6">
            <w:pPr>
              <w:pStyle w:val="BodytextIndented"/>
              <w:ind w:firstLine="0"/>
              <w:jc w:val="center"/>
              <w:rPr>
                <w:sz w:val="20"/>
                <w:szCs w:val="20"/>
              </w:rPr>
            </w:pPr>
            <w:r w:rsidRPr="00DB540C">
              <w:rPr>
                <w:sz w:val="20"/>
                <w:szCs w:val="20"/>
              </w:rPr>
              <w:t>4.5</w:t>
            </w:r>
          </w:p>
        </w:tc>
        <w:tc>
          <w:tcPr>
            <w:tcW w:w="1559" w:type="dxa"/>
            <w:vAlign w:val="center"/>
          </w:tcPr>
          <w:p w14:paraId="01EB848E" w14:textId="72EE4B07" w:rsidR="007142B6" w:rsidRPr="00DB540C" w:rsidRDefault="007142B6" w:rsidP="007142B6">
            <w:pPr>
              <w:pStyle w:val="BodytextIndented"/>
              <w:ind w:firstLine="0"/>
              <w:jc w:val="center"/>
              <w:rPr>
                <w:sz w:val="20"/>
                <w:szCs w:val="20"/>
              </w:rPr>
            </w:pPr>
            <w:r w:rsidRPr="00DB540C">
              <w:rPr>
                <w:sz w:val="20"/>
                <w:szCs w:val="20"/>
              </w:rPr>
              <w:t>4.5</w:t>
            </w:r>
          </w:p>
        </w:tc>
      </w:tr>
      <w:tr w:rsidR="007142B6" w14:paraId="547CDE2D" w14:textId="77777777" w:rsidTr="007142B6">
        <w:trPr>
          <w:jc w:val="center"/>
        </w:trPr>
        <w:tc>
          <w:tcPr>
            <w:tcW w:w="2694" w:type="dxa"/>
            <w:tcBorders>
              <w:bottom w:val="single" w:sz="4" w:space="0" w:color="auto"/>
            </w:tcBorders>
          </w:tcPr>
          <w:p w14:paraId="6BB137CB" w14:textId="78B2993C" w:rsidR="007142B6" w:rsidRPr="00DB540C" w:rsidRDefault="007142B6" w:rsidP="007142B6">
            <w:pPr>
              <w:pStyle w:val="BodytextIndented"/>
              <w:ind w:firstLine="0"/>
              <w:jc w:val="center"/>
              <w:rPr>
                <w:sz w:val="20"/>
                <w:szCs w:val="20"/>
              </w:rPr>
            </w:pPr>
            <w:proofErr w:type="spellStart"/>
            <w:r w:rsidRPr="00DB540C">
              <w:rPr>
                <w:sz w:val="20"/>
                <w:szCs w:val="20"/>
              </w:rPr>
              <w:t>Additives</w:t>
            </w:r>
            <w:r w:rsidRPr="00DB540C">
              <w:rPr>
                <w:sz w:val="20"/>
                <w:szCs w:val="20"/>
                <w:vertAlign w:val="superscript"/>
              </w:rPr>
              <w:t>b</w:t>
            </w:r>
            <w:proofErr w:type="spellEnd"/>
          </w:p>
        </w:tc>
        <w:tc>
          <w:tcPr>
            <w:tcW w:w="1559" w:type="dxa"/>
            <w:tcBorders>
              <w:bottom w:val="single" w:sz="4" w:space="0" w:color="auto"/>
            </w:tcBorders>
            <w:vAlign w:val="center"/>
          </w:tcPr>
          <w:p w14:paraId="08B644EF" w14:textId="0E7FF3BF" w:rsidR="007142B6" w:rsidRPr="00DB540C" w:rsidRDefault="007142B6" w:rsidP="007142B6">
            <w:pPr>
              <w:pStyle w:val="BodytextIndented"/>
              <w:ind w:firstLine="0"/>
              <w:jc w:val="center"/>
              <w:rPr>
                <w:sz w:val="20"/>
                <w:szCs w:val="20"/>
              </w:rPr>
            </w:pPr>
            <w:r w:rsidRPr="00DB540C">
              <w:rPr>
                <w:sz w:val="20"/>
                <w:szCs w:val="20"/>
              </w:rPr>
              <w:t>5.5</w:t>
            </w:r>
          </w:p>
        </w:tc>
        <w:tc>
          <w:tcPr>
            <w:tcW w:w="1559" w:type="dxa"/>
            <w:tcBorders>
              <w:bottom w:val="single" w:sz="4" w:space="0" w:color="auto"/>
            </w:tcBorders>
            <w:vAlign w:val="center"/>
          </w:tcPr>
          <w:p w14:paraId="537F44BD" w14:textId="44F9E7BD" w:rsidR="007142B6" w:rsidRPr="00DB540C" w:rsidRDefault="007142B6" w:rsidP="007142B6">
            <w:pPr>
              <w:pStyle w:val="BodytextIndented"/>
              <w:ind w:firstLine="0"/>
              <w:jc w:val="center"/>
              <w:rPr>
                <w:sz w:val="20"/>
                <w:szCs w:val="20"/>
              </w:rPr>
            </w:pPr>
            <w:r w:rsidRPr="00DB540C">
              <w:rPr>
                <w:sz w:val="20"/>
                <w:szCs w:val="20"/>
              </w:rPr>
              <w:t>4.5</w:t>
            </w:r>
          </w:p>
        </w:tc>
      </w:tr>
      <w:tr w:rsidR="007142B6" w14:paraId="74332B54" w14:textId="77777777" w:rsidTr="007142B6">
        <w:trPr>
          <w:jc w:val="center"/>
        </w:trPr>
        <w:tc>
          <w:tcPr>
            <w:tcW w:w="5812" w:type="dxa"/>
            <w:gridSpan w:val="3"/>
            <w:tcBorders>
              <w:top w:val="single" w:sz="4" w:space="0" w:color="auto"/>
            </w:tcBorders>
          </w:tcPr>
          <w:p w14:paraId="724CE837" w14:textId="0211FEB6" w:rsidR="007142B6" w:rsidRPr="00DB540C" w:rsidRDefault="007142B6" w:rsidP="007142B6">
            <w:pPr>
              <w:pStyle w:val="BodytextIndented"/>
              <w:ind w:firstLine="0"/>
              <w:jc w:val="left"/>
              <w:rPr>
                <w:sz w:val="20"/>
                <w:szCs w:val="20"/>
              </w:rPr>
            </w:pPr>
            <w:r w:rsidRPr="00DB540C">
              <w:rPr>
                <w:sz w:val="20"/>
                <w:szCs w:val="20"/>
                <w:vertAlign w:val="superscript"/>
              </w:rPr>
              <w:t>a</w:t>
            </w:r>
            <w:r w:rsidRPr="00DB540C">
              <w:rPr>
                <w:sz w:val="20"/>
                <w:szCs w:val="20"/>
              </w:rPr>
              <w:t xml:space="preserve"> Blue 15:3</w:t>
            </w:r>
          </w:p>
          <w:p w14:paraId="4958F170" w14:textId="54A4009B" w:rsidR="007142B6" w:rsidRPr="00DB540C" w:rsidRDefault="007142B6" w:rsidP="007142B6">
            <w:pPr>
              <w:pStyle w:val="BodytextIndented"/>
              <w:ind w:firstLine="0"/>
              <w:jc w:val="left"/>
              <w:rPr>
                <w:sz w:val="20"/>
                <w:szCs w:val="20"/>
              </w:rPr>
            </w:pPr>
            <w:r w:rsidRPr="00DB540C">
              <w:rPr>
                <w:sz w:val="20"/>
                <w:szCs w:val="20"/>
                <w:vertAlign w:val="superscript"/>
              </w:rPr>
              <w:t>b</w:t>
            </w:r>
            <w:r w:rsidRPr="00DB540C">
              <w:rPr>
                <w:sz w:val="20"/>
                <w:szCs w:val="20"/>
              </w:rPr>
              <w:t xml:space="preserve"> PTFE Wax, PE Wax, BHT, and Drier</w:t>
            </w:r>
          </w:p>
        </w:tc>
      </w:tr>
    </w:tbl>
    <w:p w14:paraId="4942F0DD" w14:textId="77777777" w:rsidR="007142B6" w:rsidRDefault="007142B6" w:rsidP="007142B6">
      <w:pPr>
        <w:pStyle w:val="BodytextIndented"/>
        <w:ind w:firstLine="0"/>
      </w:pPr>
    </w:p>
    <w:p w14:paraId="2BCAB727" w14:textId="55264A2A" w:rsidR="00B7227A" w:rsidRPr="00CE57CF" w:rsidRDefault="00B7227A" w:rsidP="00B7227A">
      <w:pPr>
        <w:pStyle w:val="subsection0"/>
        <w:numPr>
          <w:ilvl w:val="1"/>
          <w:numId w:val="17"/>
        </w:numPr>
        <w:rPr>
          <w:rFonts w:ascii="Times New Roman" w:hAnsi="Times New Roman"/>
        </w:rPr>
      </w:pPr>
      <w:r>
        <w:rPr>
          <w:rFonts w:ascii="Times New Roman" w:hAnsi="Times New Roman"/>
        </w:rPr>
        <w:t>Tests and measurements</w:t>
      </w:r>
    </w:p>
    <w:p w14:paraId="68785BFD" w14:textId="2C669A35" w:rsidR="00493E7A" w:rsidRDefault="007142B6" w:rsidP="00493E7A">
      <w:pPr>
        <w:pStyle w:val="Bodytext"/>
        <w:rPr>
          <w:rFonts w:ascii="Times New Roman" w:hAnsi="Times New Roman"/>
        </w:rPr>
      </w:pPr>
      <w:commentRangeStart w:id="6"/>
      <w:r w:rsidRPr="007142B6">
        <w:rPr>
          <w:rFonts w:ascii="Times New Roman" w:hAnsi="Times New Roman"/>
        </w:rPr>
        <w:t xml:space="preserve">Printing tests </w:t>
      </w:r>
      <w:r>
        <w:rPr>
          <w:rFonts w:ascii="Times New Roman" w:hAnsi="Times New Roman"/>
        </w:rPr>
        <w:t xml:space="preserve">of inks </w:t>
      </w:r>
      <w:r w:rsidRPr="007142B6">
        <w:rPr>
          <w:rFonts w:ascii="Times New Roman" w:hAnsi="Times New Roman"/>
        </w:rPr>
        <w:t>were carried out using the IGT-A2</w:t>
      </w:r>
      <w:r>
        <w:rPr>
          <w:rFonts w:ascii="Times New Roman" w:hAnsi="Times New Roman"/>
        </w:rPr>
        <w:t xml:space="preserve"> </w:t>
      </w:r>
      <w:r w:rsidRPr="007142B6">
        <w:rPr>
          <w:rFonts w:ascii="Times New Roman" w:hAnsi="Times New Roman"/>
        </w:rPr>
        <w:t>printability tester</w:t>
      </w:r>
      <w:r>
        <w:rPr>
          <w:rFonts w:ascii="Times New Roman" w:hAnsi="Times New Roman"/>
        </w:rPr>
        <w:t xml:space="preserve"> (IGT Testing System, Netherland)</w:t>
      </w:r>
      <w:r w:rsidRPr="007142B6">
        <w:rPr>
          <w:rFonts w:ascii="Times New Roman" w:hAnsi="Times New Roman"/>
        </w:rPr>
        <w:t xml:space="preserve"> </w:t>
      </w:r>
      <w:r>
        <w:rPr>
          <w:rFonts w:ascii="Times New Roman" w:hAnsi="Times New Roman"/>
        </w:rPr>
        <w:t>on 120 g/m</w:t>
      </w:r>
      <w:r w:rsidRPr="007142B6">
        <w:rPr>
          <w:rFonts w:ascii="Times New Roman" w:hAnsi="Times New Roman"/>
          <w:vertAlign w:val="superscript"/>
        </w:rPr>
        <w:t>2</w:t>
      </w:r>
      <w:r>
        <w:rPr>
          <w:rFonts w:ascii="Times New Roman" w:hAnsi="Times New Roman"/>
        </w:rPr>
        <w:t xml:space="preserve"> gloss-coated paper at a pressure of 400 N with an average ink transfer amount on paper 1.08 g/m</w:t>
      </w:r>
      <w:r w:rsidRPr="007142B6">
        <w:rPr>
          <w:rFonts w:ascii="Times New Roman" w:hAnsi="Times New Roman"/>
          <w:vertAlign w:val="superscript"/>
        </w:rPr>
        <w:t>2</w:t>
      </w:r>
      <w:r w:rsidRPr="007142B6">
        <w:rPr>
          <w:rFonts w:ascii="Times New Roman" w:hAnsi="Times New Roman"/>
        </w:rPr>
        <w:t>.</w:t>
      </w:r>
      <w:r>
        <w:rPr>
          <w:rFonts w:ascii="Times New Roman" w:hAnsi="Times New Roman"/>
        </w:rPr>
        <w:t xml:space="preserve"> The </w:t>
      </w:r>
      <w:r w:rsidRPr="007142B6">
        <w:rPr>
          <w:rFonts w:ascii="Times New Roman" w:hAnsi="Times New Roman"/>
        </w:rPr>
        <w:t>contact angle and</w:t>
      </w:r>
      <w:r>
        <w:rPr>
          <w:rFonts w:ascii="Times New Roman" w:hAnsi="Times New Roman"/>
        </w:rPr>
        <w:t xml:space="preserve"> </w:t>
      </w:r>
      <w:r w:rsidRPr="007142B6">
        <w:rPr>
          <w:rFonts w:ascii="Times New Roman" w:hAnsi="Times New Roman"/>
        </w:rPr>
        <w:t xml:space="preserve">surface energy values of the printed and unprinted papers were measured and analyzed by the sessile drop method, using Phoenix 300 Contact Angle Analyzer </w:t>
      </w:r>
      <w:r w:rsidRPr="007142B6">
        <w:rPr>
          <w:rFonts w:ascii="Times New Roman" w:hAnsi="Times New Roman"/>
        </w:rPr>
        <w:lastRenderedPageBreak/>
        <w:t>(Surface Electro</w:t>
      </w:r>
      <w:r>
        <w:rPr>
          <w:rFonts w:ascii="Times New Roman" w:hAnsi="Times New Roman"/>
        </w:rPr>
        <w:t>-</w:t>
      </w:r>
      <w:r w:rsidRPr="007142B6">
        <w:rPr>
          <w:rFonts w:ascii="Times New Roman" w:hAnsi="Times New Roman"/>
        </w:rPr>
        <w:t>Optics, Korea</w:t>
      </w:r>
      <w:commentRangeEnd w:id="6"/>
      <w:r w:rsidR="006E71F5">
        <w:rPr>
          <w:rStyle w:val="CommentReference"/>
          <w:iCs w:val="0"/>
          <w:color w:val="auto"/>
          <w:lang w:val="en-GB"/>
        </w:rPr>
        <w:commentReference w:id="6"/>
      </w:r>
      <w:r w:rsidRPr="007142B6">
        <w:rPr>
          <w:rFonts w:ascii="Times New Roman" w:hAnsi="Times New Roman"/>
        </w:rPr>
        <w:t>). Table</w:t>
      </w:r>
      <w:r>
        <w:rPr>
          <w:rFonts w:ascii="Times New Roman" w:hAnsi="Times New Roman"/>
        </w:rPr>
        <w:t>s</w:t>
      </w:r>
      <w:r w:rsidRPr="007142B6">
        <w:rPr>
          <w:rFonts w:ascii="Times New Roman" w:hAnsi="Times New Roman"/>
        </w:rPr>
        <w:t xml:space="preserve"> 3</w:t>
      </w:r>
      <w:r>
        <w:rPr>
          <w:rFonts w:ascii="Times New Roman" w:hAnsi="Times New Roman"/>
        </w:rPr>
        <w:t xml:space="preserve"> and 4</w:t>
      </w:r>
      <w:r w:rsidRPr="007142B6">
        <w:rPr>
          <w:rFonts w:ascii="Times New Roman" w:hAnsi="Times New Roman"/>
        </w:rPr>
        <w:t xml:space="preserve"> show the test liquids used in this study. Water </w:t>
      </w:r>
      <w:r>
        <w:rPr>
          <w:rFonts w:ascii="Times New Roman" w:hAnsi="Times New Roman"/>
        </w:rPr>
        <w:t xml:space="preserve">is </w:t>
      </w:r>
      <w:r w:rsidRPr="007142B6">
        <w:rPr>
          <w:rFonts w:ascii="Times New Roman" w:hAnsi="Times New Roman"/>
        </w:rPr>
        <w:t>represented as the polar liquid, methanol as the semi-polar liquid, and hexane as the nonpolar liquid</w:t>
      </w:r>
      <w:r>
        <w:rPr>
          <w:rFonts w:ascii="Times New Roman" w:hAnsi="Times New Roman"/>
        </w:rPr>
        <w:t xml:space="preserve"> </w:t>
      </w:r>
      <w:r>
        <w:rPr>
          <w:rFonts w:ascii="Times New Roman" w:hAnsi="Times New Roman"/>
        </w:rPr>
        <w:fldChar w:fldCharType="begin" w:fldLock="1"/>
      </w:r>
      <w:r w:rsidR="00970160">
        <w:rPr>
          <w:rFonts w:ascii="Times New Roman" w:hAnsi="Times New Roman"/>
        </w:rPr>
        <w:instrText>ADDIN CSL_CITATION {"citationItems":[{"id":"ITEM-1","itemData":{"DOI":"10.1088/1755-1315/65/1/012044","ISSN":"17551315","abstract":"Study of the size effect of natural fiber from oil palm empty fruit bunches (OPEFB) as filler, onto the contact angle and surface free energy of fiber reinforced biocomposites has been done. The OPEFB fibers were prepared by mechanical milling and sieving to obtain various sizes of fiber (long-fiber, medium-fiber, short-fiber, and microparticle). The biocomposites has been produced by extrusion using single-screw extruder with EFB fiber as filler, recycled Acrylonitrile Butadiene Styrene (ABS) polymer as matrix, and primary antioxidant, acid scavanger, and coupling agent as additives. The obtained biocomposites in form of granular, were made into test piece by injection molding method. Contact angles of water, methanol, and hexane on the surface of biocomposites at room temperature were measured using Phoenix 300 Contact Angle Analyzer. The surface free energy (SFE) and their components were calculated using three previous known methods (Girifalco-Good-Fowkes-Young (GGFY), Owens-Wendt, and van Oss-Chaudhury-Good (vOCG)). The results showed that total SFE of Recycled ABS as control was about 24.38 mJ/m2, and SFE of biocomposites was lower than control, decreased with decreasing of EFB fiber size as biocomposites filler. The statistical analysis proved that there are no statistically significant differences in the value of the SFE calculated with the three different methods.","author":[{"dropping-particle":"","family":"Suryadi","given":"G. S.","non-dropping-particle":"","parse-names":false,"suffix":""},{"dropping-particle":"","family":"Nikmatin","given":"S.","non-dropping-particle":"","parse-names":false,"suffix":""},{"dropping-particle":"","family":"Sudaryanto","given":"","non-dropping-particle":"","parse-names":false,"suffix":""},{"dropping-particle":"","family":"Irmansyah","given":"","non-dropping-particle":"","parse-names":false,"suffix":""},{"dropping-particle":"","family":"Sukaryo","given":"S. G.","non-dropping-particle":"","parse-names":false,"suffix":""}],"container-title":"IOP Conference Series: Earth and Environmental Science","id":"ITEM-1","issued":{"date-parts":[["2017"]]},"page":"012044","title":"Surface free energy analysis of oil palm empty fruit bunches fiber reinforced biocomposites","type":"article-journal","volume":"65"},"uris":["http://www.mendeley.com/documents/?uuid=1c4ef211-6613-4d26-9dc5-216572162203"]}],"mendeley":{"formattedCitation":"[7]","plainTextFormattedCitation":"[7]","previouslyFormattedCitation":"[7]"},"properties":{"noteIndex":0},"schema":"https://github.com/citation-style-language/schema/raw/master/csl-citation.json"}</w:instrText>
      </w:r>
      <w:r>
        <w:rPr>
          <w:rFonts w:ascii="Times New Roman" w:hAnsi="Times New Roman"/>
        </w:rPr>
        <w:fldChar w:fldCharType="separate"/>
      </w:r>
      <w:r w:rsidR="00970160" w:rsidRPr="00970160">
        <w:rPr>
          <w:rFonts w:ascii="Times New Roman" w:hAnsi="Times New Roman"/>
          <w:noProof/>
        </w:rPr>
        <w:t>[7]</w:t>
      </w:r>
      <w:r>
        <w:rPr>
          <w:rFonts w:ascii="Times New Roman" w:hAnsi="Times New Roman"/>
        </w:rPr>
        <w:fldChar w:fldCharType="end"/>
      </w:r>
      <w:r w:rsidRPr="007142B6">
        <w:rPr>
          <w:rFonts w:ascii="Times New Roman" w:hAnsi="Times New Roman"/>
        </w:rPr>
        <w:t xml:space="preserve">. </w:t>
      </w:r>
      <w:r>
        <w:rPr>
          <w:rFonts w:ascii="Times New Roman" w:hAnsi="Times New Roman"/>
        </w:rPr>
        <w:t>C</w:t>
      </w:r>
      <w:r w:rsidRPr="007142B6">
        <w:rPr>
          <w:rFonts w:ascii="Times New Roman" w:hAnsi="Times New Roman"/>
        </w:rPr>
        <w:t>ontact angles</w:t>
      </w:r>
      <w:r>
        <w:rPr>
          <w:rFonts w:ascii="Times New Roman" w:hAnsi="Times New Roman"/>
        </w:rPr>
        <w:t xml:space="preserve"> were determined</w:t>
      </w:r>
      <w:r w:rsidRPr="007142B6">
        <w:rPr>
          <w:rFonts w:ascii="Times New Roman" w:hAnsi="Times New Roman"/>
        </w:rPr>
        <w:t xml:space="preserve"> by capturing droplet images with a camera-based contact angle analysis system.</w:t>
      </w:r>
    </w:p>
    <w:p w14:paraId="595ED7AA" w14:textId="77777777" w:rsidR="00385D19" w:rsidRDefault="00385D19" w:rsidP="00385D19">
      <w:pPr>
        <w:jc w:val="both"/>
        <w:rPr>
          <w:rFonts w:ascii="Times New Roman" w:hAnsi="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85D19" w14:paraId="61ECE4E7" w14:textId="77777777" w:rsidTr="005A56B9">
        <w:tc>
          <w:tcPr>
            <w:tcW w:w="4530" w:type="dxa"/>
          </w:tcPr>
          <w:p w14:paraId="2684824E" w14:textId="77777777" w:rsidR="00385D19" w:rsidRDefault="00385D19" w:rsidP="005A56B9">
            <w:pPr>
              <w:jc w:val="center"/>
              <w:rPr>
                <w:rFonts w:ascii="Times New Roman" w:hAnsi="Times New Roman"/>
                <w:lang w:val="en-US"/>
              </w:rPr>
            </w:pPr>
            <w:r>
              <w:rPr>
                <w:rFonts w:ascii="Times New Roman" w:hAnsi="Times New Roman"/>
                <w:noProof/>
                <w:lang w:val="id-ID" w:eastAsia="id-ID"/>
              </w:rPr>
              <mc:AlternateContent>
                <mc:Choice Requires="wps">
                  <w:drawing>
                    <wp:anchor distT="0" distB="0" distL="114300" distR="114300" simplePos="0" relativeHeight="251659264" behindDoc="0" locked="0" layoutInCell="1" allowOverlap="1" wp14:anchorId="6F198CF5" wp14:editId="42419262">
                      <wp:simplePos x="0" y="0"/>
                      <wp:positionH relativeFrom="column">
                        <wp:posOffset>647065</wp:posOffset>
                      </wp:positionH>
                      <wp:positionV relativeFrom="paragraph">
                        <wp:posOffset>2081602</wp:posOffset>
                      </wp:positionV>
                      <wp:extent cx="1477433" cy="309033"/>
                      <wp:effectExtent l="0" t="0" r="0" b="0"/>
                      <wp:wrapNone/>
                      <wp:docPr id="5" name="Text Box 5"/>
                      <wp:cNvGraphicFramePr/>
                      <a:graphic xmlns:a="http://schemas.openxmlformats.org/drawingml/2006/main">
                        <a:graphicData uri="http://schemas.microsoft.com/office/word/2010/wordprocessingShape">
                          <wps:wsp>
                            <wps:cNvSpPr txBox="1"/>
                            <wps:spPr>
                              <a:xfrm>
                                <a:off x="0" y="0"/>
                                <a:ext cx="1477433" cy="309033"/>
                              </a:xfrm>
                              <a:prstGeom prst="rect">
                                <a:avLst/>
                              </a:prstGeom>
                              <a:noFill/>
                              <a:ln w="6350">
                                <a:noFill/>
                              </a:ln>
                            </wps:spPr>
                            <wps:txbx>
                              <w:txbxContent>
                                <w:p w14:paraId="04FC2D34" w14:textId="77777777" w:rsidR="005A56B9" w:rsidRPr="008617B0" w:rsidRDefault="005A56B9" w:rsidP="00385D19">
                                  <w:pPr>
                                    <w:rPr>
                                      <w:sz w:val="20"/>
                                      <w:lang w:val="en-US"/>
                                    </w:rPr>
                                  </w:pPr>
                                  <w:r w:rsidRPr="008617B0">
                                    <w:rPr>
                                      <w:sz w:val="20"/>
                                      <w:lang w:val="en-US"/>
                                    </w:rPr>
                                    <w:t xml:space="preserve">(a)  </w:t>
                                  </w:r>
                                  <w:r>
                                    <w:rPr>
                                      <w:sz w:val="20"/>
                                      <w:lang w:val="en-US"/>
                                    </w:rPr>
                                    <w:t xml:space="preserve"> </w:t>
                                  </w:r>
                                  <w:r w:rsidRPr="008617B0">
                                    <w:rPr>
                                      <w:sz w:val="20"/>
                                      <w:lang w:val="en-US"/>
                                    </w:rPr>
                                    <w:t xml:space="preserve">  </w:t>
                                  </w:r>
                                  <w:r>
                                    <w:rPr>
                                      <w:sz w:val="20"/>
                                      <w:lang w:val="en-US"/>
                                    </w:rPr>
                                    <w:t xml:space="preserve"> </w:t>
                                  </w:r>
                                  <w:r w:rsidRPr="008617B0">
                                    <w:rPr>
                                      <w:sz w:val="20"/>
                                      <w:lang w:val="en-US"/>
                                    </w:rPr>
                                    <w:t xml:space="preserve"> </w:t>
                                  </w:r>
                                  <w:proofErr w:type="gramStart"/>
                                  <w:r w:rsidRPr="008617B0">
                                    <w:rPr>
                                      <w:sz w:val="20"/>
                                      <w:lang w:val="en-US"/>
                                    </w:rPr>
                                    <w:t xml:space="preserve">(b)   </w:t>
                                  </w:r>
                                  <w:r>
                                    <w:rPr>
                                      <w:sz w:val="20"/>
                                      <w:lang w:val="en-US"/>
                                    </w:rPr>
                                    <w:t xml:space="preserve"> </w:t>
                                  </w:r>
                                  <w:r w:rsidRPr="008617B0">
                                    <w:rPr>
                                      <w:sz w:val="20"/>
                                      <w:lang w:val="en-US"/>
                                    </w:rPr>
                                    <w:t xml:space="preserve"> (c)</w:t>
                                  </w:r>
                                  <w:proofErr w:type="gramEnd"/>
                                  <w:r w:rsidRPr="008617B0">
                                    <w:rPr>
                                      <w:sz w:val="20"/>
                                      <w:lang w:val="en-US"/>
                                    </w:rPr>
                                    <w:t xml:space="preserve">    </w:t>
                                  </w:r>
                                  <w:r>
                                    <w:rPr>
                                      <w:sz w:val="20"/>
                                      <w:lang w:val="en-US"/>
                                    </w:rPr>
                                    <w:t xml:space="preserve">   </w:t>
                                  </w:r>
                                  <w:r w:rsidRPr="008617B0">
                                    <w:rPr>
                                      <w:sz w:val="20"/>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98CF5" id="_x0000_t202" coordsize="21600,21600" o:spt="202" path="m,l,21600r21600,l21600,xe">
                      <v:stroke joinstyle="miter"/>
                      <v:path gradientshapeok="t" o:connecttype="rect"/>
                    </v:shapetype>
                    <v:shape id="Text Box 5" o:spid="_x0000_s1026" type="#_x0000_t202" style="position:absolute;left:0;text-align:left;margin-left:50.95pt;margin-top:163.9pt;width:116.3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" filled="f" stroked="f" strokeweight=".5pt">
                      <v:textbox>
                        <w:txbxContent>
                          <w:p w14:paraId="04FC2D34" w14:textId="77777777" w:rsidR="005A56B9" w:rsidRPr="008617B0" w:rsidRDefault="005A56B9" w:rsidP="00385D19">
                            <w:pPr>
                              <w:rPr>
                                <w:sz w:val="20"/>
                                <w:lang w:val="en-US"/>
                              </w:rPr>
                            </w:pPr>
                            <w:r w:rsidRPr="008617B0">
                              <w:rPr>
                                <w:sz w:val="20"/>
                                <w:lang w:val="en-US"/>
                              </w:rPr>
                              <w:t xml:space="preserve">(a)  </w:t>
                            </w:r>
                            <w:r>
                              <w:rPr>
                                <w:sz w:val="20"/>
                                <w:lang w:val="en-US"/>
                              </w:rPr>
                              <w:t xml:space="preserve"> </w:t>
                            </w:r>
                            <w:r w:rsidRPr="008617B0">
                              <w:rPr>
                                <w:sz w:val="20"/>
                                <w:lang w:val="en-US"/>
                              </w:rPr>
                              <w:t xml:space="preserve">  </w:t>
                            </w:r>
                            <w:r>
                              <w:rPr>
                                <w:sz w:val="20"/>
                                <w:lang w:val="en-US"/>
                              </w:rPr>
                              <w:t xml:space="preserve"> </w:t>
                            </w:r>
                            <w:r w:rsidRPr="008617B0">
                              <w:rPr>
                                <w:sz w:val="20"/>
                                <w:lang w:val="en-US"/>
                              </w:rPr>
                              <w:t xml:space="preserve"> </w:t>
                            </w:r>
                            <w:proofErr w:type="gramStart"/>
                            <w:r w:rsidRPr="008617B0">
                              <w:rPr>
                                <w:sz w:val="20"/>
                                <w:lang w:val="en-US"/>
                              </w:rPr>
                              <w:t xml:space="preserve">(b)   </w:t>
                            </w:r>
                            <w:r>
                              <w:rPr>
                                <w:sz w:val="20"/>
                                <w:lang w:val="en-US"/>
                              </w:rPr>
                              <w:t xml:space="preserve"> </w:t>
                            </w:r>
                            <w:r w:rsidRPr="008617B0">
                              <w:rPr>
                                <w:sz w:val="20"/>
                                <w:lang w:val="en-US"/>
                              </w:rPr>
                              <w:t xml:space="preserve"> (c)</w:t>
                            </w:r>
                            <w:proofErr w:type="gramEnd"/>
                            <w:r w:rsidRPr="008617B0">
                              <w:rPr>
                                <w:sz w:val="20"/>
                                <w:lang w:val="en-US"/>
                              </w:rPr>
                              <w:t xml:space="preserve">    </w:t>
                            </w:r>
                            <w:r>
                              <w:rPr>
                                <w:sz w:val="20"/>
                                <w:lang w:val="en-US"/>
                              </w:rPr>
                              <w:t xml:space="preserve">   </w:t>
                            </w:r>
                            <w:r w:rsidRPr="008617B0">
                              <w:rPr>
                                <w:sz w:val="20"/>
                                <w:lang w:val="en-US"/>
                              </w:rPr>
                              <w:t>(d)</w:t>
                            </w:r>
                          </w:p>
                        </w:txbxContent>
                      </v:textbox>
                    </v:shape>
                  </w:pict>
                </mc:Fallback>
              </mc:AlternateContent>
            </w:r>
            <w:r>
              <w:rPr>
                <w:noProof/>
                <w:lang w:val="id-ID" w:eastAsia="id-ID"/>
              </w:rPr>
              <w:drawing>
                <wp:inline distT="0" distB="0" distL="0" distR="0" wp14:anchorId="68998B59" wp14:editId="6583B5B0">
                  <wp:extent cx="1708150" cy="244556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0915" cy="2449525"/>
                          </a:xfrm>
                          <a:prstGeom prst="rect">
                            <a:avLst/>
                          </a:prstGeom>
                          <a:noFill/>
                          <a:ln>
                            <a:noFill/>
                          </a:ln>
                        </pic:spPr>
                      </pic:pic>
                    </a:graphicData>
                  </a:graphic>
                </wp:inline>
              </w:drawing>
            </w:r>
          </w:p>
          <w:p w14:paraId="4487B33E" w14:textId="77777777" w:rsidR="00385D19" w:rsidRDefault="00385D19" w:rsidP="005A56B9">
            <w:pPr>
              <w:rPr>
                <w:rFonts w:ascii="Times New Roman" w:hAnsi="Times New Roman"/>
                <w:lang w:val="en-US"/>
              </w:rPr>
            </w:pPr>
          </w:p>
          <w:p w14:paraId="24F42140" w14:textId="79EC30FA" w:rsidR="00385D19" w:rsidRDefault="00385D19" w:rsidP="005A56B9">
            <w:pPr>
              <w:rPr>
                <w:rFonts w:ascii="Times New Roman" w:hAnsi="Times New Roman"/>
                <w:lang w:val="en-US"/>
              </w:rPr>
            </w:pPr>
            <w:r w:rsidRPr="00CE57CF">
              <w:rPr>
                <w:rFonts w:ascii="Times New Roman" w:hAnsi="Times New Roman"/>
                <w:b/>
              </w:rPr>
              <w:t xml:space="preserve">Figure </w:t>
            </w:r>
            <w:r>
              <w:rPr>
                <w:rFonts w:ascii="Times New Roman" w:hAnsi="Times New Roman"/>
                <w:b/>
              </w:rPr>
              <w:t>1</w:t>
            </w:r>
            <w:r w:rsidRPr="00CE57CF">
              <w:rPr>
                <w:rFonts w:ascii="Times New Roman" w:hAnsi="Times New Roman"/>
                <w:b/>
              </w:rPr>
              <w:t xml:space="preserve">. </w:t>
            </w:r>
            <w:r>
              <w:rPr>
                <w:rFonts w:ascii="Times New Roman" w:hAnsi="Times New Roman"/>
              </w:rPr>
              <w:t xml:space="preserve">The samples of (a) unprinted paper (gloss-coated paper), (b) </w:t>
            </w:r>
            <w:r w:rsidRPr="008617B0">
              <w:rPr>
                <w:rFonts w:ascii="Times New Roman" w:hAnsi="Times New Roman"/>
              </w:rPr>
              <w:t>printed FAME-LO ink</w:t>
            </w:r>
            <w:r>
              <w:rPr>
                <w:rFonts w:ascii="Times New Roman" w:hAnsi="Times New Roman"/>
              </w:rPr>
              <w:t>, (c)</w:t>
            </w:r>
            <w:r w:rsidRPr="008617B0">
              <w:rPr>
                <w:rFonts w:ascii="Times New Roman" w:hAnsi="Times New Roman"/>
              </w:rPr>
              <w:t xml:space="preserve"> printed FAME-SO ink, and </w:t>
            </w:r>
            <w:r>
              <w:rPr>
                <w:rFonts w:ascii="Times New Roman" w:hAnsi="Times New Roman"/>
              </w:rPr>
              <w:t xml:space="preserve">(d) </w:t>
            </w:r>
            <w:r w:rsidRPr="008617B0">
              <w:rPr>
                <w:rFonts w:ascii="Times New Roman" w:hAnsi="Times New Roman"/>
              </w:rPr>
              <w:t>printed conventional ink</w:t>
            </w:r>
            <w:r>
              <w:rPr>
                <w:rFonts w:ascii="Times New Roman" w:hAnsi="Times New Roman"/>
              </w:rPr>
              <w:t>.</w:t>
            </w:r>
          </w:p>
        </w:tc>
        <w:tc>
          <w:tcPr>
            <w:tcW w:w="4531" w:type="dxa"/>
          </w:tcPr>
          <w:p w14:paraId="44AC51EB" w14:textId="77777777" w:rsidR="00385D19" w:rsidRDefault="00385D19" w:rsidP="005A56B9">
            <w:pPr>
              <w:jc w:val="center"/>
              <w:rPr>
                <w:rFonts w:ascii="Times New Roman" w:hAnsi="Times New Roman"/>
                <w:lang w:val="en-US"/>
              </w:rPr>
            </w:pPr>
          </w:p>
          <w:p w14:paraId="21CF6AA8" w14:textId="77777777" w:rsidR="00385D19" w:rsidRDefault="00385D19" w:rsidP="005A56B9">
            <w:pPr>
              <w:jc w:val="center"/>
              <w:rPr>
                <w:rFonts w:ascii="Times New Roman" w:hAnsi="Times New Roman"/>
                <w:lang w:val="en-US"/>
              </w:rPr>
            </w:pPr>
          </w:p>
          <w:p w14:paraId="2D3B710B" w14:textId="77777777" w:rsidR="00385D19" w:rsidRDefault="00385D19" w:rsidP="005A56B9">
            <w:pPr>
              <w:jc w:val="center"/>
              <w:rPr>
                <w:rFonts w:ascii="Times New Roman" w:hAnsi="Times New Roman"/>
                <w:lang w:val="en-US"/>
              </w:rPr>
            </w:pPr>
          </w:p>
          <w:p w14:paraId="5C6C8DCF" w14:textId="77777777" w:rsidR="00385D19" w:rsidRDefault="00385D19" w:rsidP="005A56B9">
            <w:pPr>
              <w:jc w:val="center"/>
              <w:rPr>
                <w:rFonts w:ascii="Times New Roman" w:hAnsi="Times New Roman"/>
                <w:lang w:val="en-US"/>
              </w:rPr>
            </w:pPr>
          </w:p>
          <w:p w14:paraId="4B891DBB" w14:textId="77777777" w:rsidR="00385D19" w:rsidRDefault="00385D19" w:rsidP="005A56B9">
            <w:pPr>
              <w:jc w:val="center"/>
              <w:rPr>
                <w:rFonts w:ascii="Times New Roman" w:hAnsi="Times New Roman"/>
                <w:lang w:val="en-US"/>
              </w:rPr>
            </w:pPr>
            <w:r>
              <w:rPr>
                <w:noProof/>
                <w:lang w:val="id-ID" w:eastAsia="id-ID"/>
              </w:rPr>
              <w:drawing>
                <wp:inline distT="0" distB="0" distL="0" distR="0" wp14:anchorId="08DE1169" wp14:editId="4A4E8EE8">
                  <wp:extent cx="2725476" cy="1793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3876" t="31949" r="13240" b="17876"/>
                          <a:stretch/>
                        </pic:blipFill>
                        <pic:spPr bwMode="auto">
                          <a:xfrm>
                            <a:off x="0" y="0"/>
                            <a:ext cx="2725476" cy="1793630"/>
                          </a:xfrm>
                          <a:prstGeom prst="rect">
                            <a:avLst/>
                          </a:prstGeom>
                          <a:noFill/>
                          <a:ln>
                            <a:noFill/>
                          </a:ln>
                          <a:extLst>
                            <a:ext uri="{53640926-AAD7-44D8-BBD7-CCE9431645EC}">
                              <a14:shadowObscured xmlns:a14="http://schemas.microsoft.com/office/drawing/2010/main"/>
                            </a:ext>
                          </a:extLst>
                        </pic:spPr>
                      </pic:pic>
                    </a:graphicData>
                  </a:graphic>
                </wp:inline>
              </w:drawing>
            </w:r>
          </w:p>
          <w:p w14:paraId="66467F79" w14:textId="77777777" w:rsidR="00385D19" w:rsidRDefault="00385D19" w:rsidP="005A56B9">
            <w:pPr>
              <w:jc w:val="center"/>
              <w:rPr>
                <w:rFonts w:ascii="Times New Roman" w:hAnsi="Times New Roman"/>
                <w:lang w:val="en-US"/>
              </w:rPr>
            </w:pPr>
          </w:p>
          <w:p w14:paraId="39953E6B" w14:textId="63872795" w:rsidR="00385D19" w:rsidRDefault="00385D19" w:rsidP="005A56B9">
            <w:pPr>
              <w:rPr>
                <w:rFonts w:ascii="Times New Roman" w:hAnsi="Times New Roman"/>
                <w:lang w:val="en-US"/>
              </w:rPr>
            </w:pPr>
            <w:r w:rsidRPr="00CE57CF">
              <w:rPr>
                <w:rFonts w:ascii="Times New Roman" w:hAnsi="Times New Roman"/>
                <w:b/>
              </w:rPr>
              <w:t xml:space="preserve">Figure </w:t>
            </w:r>
            <w:r>
              <w:rPr>
                <w:rFonts w:ascii="Times New Roman" w:hAnsi="Times New Roman"/>
                <w:b/>
              </w:rPr>
              <w:t>2</w:t>
            </w:r>
            <w:r w:rsidRPr="00CE57CF">
              <w:rPr>
                <w:rFonts w:ascii="Times New Roman" w:hAnsi="Times New Roman"/>
                <w:b/>
              </w:rPr>
              <w:t xml:space="preserve">. </w:t>
            </w:r>
            <w:r>
              <w:rPr>
                <w:rFonts w:ascii="Times New Roman" w:hAnsi="Times New Roman"/>
              </w:rPr>
              <w:t>Sessile drop method of liquid on the sample surface</w:t>
            </w:r>
          </w:p>
          <w:p w14:paraId="2D885335" w14:textId="77777777" w:rsidR="00385D19" w:rsidRDefault="00385D19" w:rsidP="005A56B9">
            <w:pPr>
              <w:jc w:val="center"/>
              <w:rPr>
                <w:rFonts w:ascii="Times New Roman" w:hAnsi="Times New Roman"/>
                <w:lang w:val="en-US"/>
              </w:rPr>
            </w:pPr>
          </w:p>
        </w:tc>
      </w:tr>
    </w:tbl>
    <w:p w14:paraId="58166B27" w14:textId="77777777" w:rsidR="00385D19" w:rsidRDefault="00385D19" w:rsidP="00385D19">
      <w:pPr>
        <w:jc w:val="both"/>
        <w:rPr>
          <w:rFonts w:ascii="Times New Roman" w:hAnsi="Times New Roman"/>
          <w:lang w:val="en-US"/>
        </w:rPr>
      </w:pPr>
    </w:p>
    <w:p w14:paraId="77369B99" w14:textId="77777777" w:rsidR="00385D19" w:rsidRPr="00385D19" w:rsidRDefault="00385D19" w:rsidP="00385D19">
      <w:pPr>
        <w:pStyle w:val="BodytextIndented"/>
      </w:pPr>
    </w:p>
    <w:p w14:paraId="4C92A263" w14:textId="00F33F28" w:rsidR="008617B0" w:rsidRDefault="007142B6" w:rsidP="008617B0">
      <w:pPr>
        <w:pStyle w:val="BodytextIndented"/>
      </w:pPr>
      <w:r w:rsidRPr="007142B6">
        <w:t>The surface free energy (SFE) and its components were calculated using</w:t>
      </w:r>
      <w:r>
        <w:t xml:space="preserve"> </w:t>
      </w:r>
      <w:proofErr w:type="spellStart"/>
      <w:r>
        <w:t>Surfaceware</w:t>
      </w:r>
      <w:proofErr w:type="spellEnd"/>
      <w:r>
        <w:t xml:space="preserve"> 8 software with different methods, </w:t>
      </w:r>
      <w:proofErr w:type="spellStart"/>
      <w:r w:rsidRPr="007142B6">
        <w:t>Girifalco</w:t>
      </w:r>
      <w:proofErr w:type="spellEnd"/>
      <w:r w:rsidRPr="007142B6">
        <w:t>-Good-</w:t>
      </w:r>
      <w:proofErr w:type="spellStart"/>
      <w:r w:rsidRPr="007142B6">
        <w:t>Fowkes</w:t>
      </w:r>
      <w:proofErr w:type="spellEnd"/>
      <w:r w:rsidRPr="007142B6">
        <w:t>-Young</w:t>
      </w:r>
      <w:r>
        <w:t xml:space="preserve"> (GGFY)</w:t>
      </w:r>
      <w:r w:rsidRPr="007142B6">
        <w:t>, Owens-Wendt</w:t>
      </w:r>
      <w:r>
        <w:t xml:space="preserve"> (OW)</w:t>
      </w:r>
      <w:r w:rsidRPr="007142B6">
        <w:t>, and van Oss-</w:t>
      </w:r>
      <w:proofErr w:type="spellStart"/>
      <w:r w:rsidRPr="007142B6">
        <w:t>Chaudhury</w:t>
      </w:r>
      <w:proofErr w:type="spellEnd"/>
      <w:r w:rsidRPr="007142B6">
        <w:t>-Good</w:t>
      </w:r>
      <w:r>
        <w:t xml:space="preserve"> (</w:t>
      </w:r>
      <w:proofErr w:type="spellStart"/>
      <w:r>
        <w:t>vOCG</w:t>
      </w:r>
      <w:proofErr w:type="spellEnd"/>
      <w:r>
        <w:t xml:space="preserve">). </w:t>
      </w:r>
      <w:r>
        <w:rPr>
          <w:lang w:eastAsia="id-ID"/>
        </w:rPr>
        <w:t>W</w:t>
      </w:r>
      <w:r w:rsidRPr="00164B51">
        <w:rPr>
          <w:lang w:val="id-ID" w:eastAsia="id-ID"/>
        </w:rPr>
        <w:t xml:space="preserve">ater with </w:t>
      </w:r>
      <w:r>
        <w:rPr>
          <w:lang w:val="id-ID" w:eastAsia="id-ID"/>
        </w:rPr>
        <w:t xml:space="preserve">a </w:t>
      </w:r>
      <w:r w:rsidRPr="00164B51">
        <w:rPr>
          <w:lang w:val="id-ID" w:eastAsia="id-ID"/>
        </w:rPr>
        <w:t xml:space="preserve">known total liquid SFE value </w:t>
      </w:r>
      <w:r>
        <w:rPr>
          <w:lang w:val="id-ID" w:eastAsia="id-ID"/>
        </w:rPr>
        <w:t xml:space="preserve">of </w:t>
      </w:r>
      <w:r w:rsidRPr="00164B51">
        <w:rPr>
          <w:lang w:val="id-ID"/>
        </w:rPr>
        <w:t>72.8 mJ/m</w:t>
      </w:r>
      <w:r w:rsidRPr="00164B51">
        <w:rPr>
          <w:vertAlign w:val="superscript"/>
          <w:lang w:val="id-ID"/>
        </w:rPr>
        <w:t>2</w:t>
      </w:r>
      <w:r>
        <w:t xml:space="preserve"> was used for </w:t>
      </w:r>
      <w:r w:rsidRPr="00164B51">
        <w:rPr>
          <w:lang w:val="id-ID" w:eastAsia="id-ID"/>
        </w:rPr>
        <w:t>GGFY</w:t>
      </w:r>
      <w:r>
        <w:rPr>
          <w:lang w:eastAsia="id-ID"/>
        </w:rPr>
        <w:t xml:space="preserve"> method.</w:t>
      </w:r>
      <w:r w:rsidRPr="00164B51">
        <w:rPr>
          <w:lang w:val="id-ID"/>
        </w:rPr>
        <w:t xml:space="preserve"> </w:t>
      </w:r>
      <w:r w:rsidRPr="00164B51">
        <w:rPr>
          <w:lang w:val="id-ID" w:eastAsia="zh-CN"/>
        </w:rPr>
        <w:t xml:space="preserve">The probe liquid parameters used for the determination of the </w:t>
      </w:r>
      <w:r>
        <w:rPr>
          <w:lang w:eastAsia="zh-CN"/>
        </w:rPr>
        <w:t xml:space="preserve">printed and unprinted </w:t>
      </w:r>
      <w:r w:rsidRPr="00164B51">
        <w:rPr>
          <w:lang w:val="id-ID" w:eastAsia="zh-CN"/>
        </w:rPr>
        <w:t xml:space="preserve">surface energy are listed in tables 2 and 3, for Owen-Wendt and vOCG, respectively. </w:t>
      </w:r>
    </w:p>
    <w:p w14:paraId="2BDE9BE2" w14:textId="77777777" w:rsidR="008617B0" w:rsidRPr="007142B6" w:rsidRDefault="008617B0" w:rsidP="008617B0">
      <w:pPr>
        <w:pStyle w:val="BodytextIndented"/>
      </w:pPr>
    </w:p>
    <w:tbl>
      <w:tblPr>
        <w:tblW w:w="6804" w:type="dxa"/>
        <w:jc w:val="center"/>
        <w:tblBorders>
          <w:top w:val="single" w:sz="4" w:space="0" w:color="auto"/>
          <w:bottom w:val="single" w:sz="4" w:space="0" w:color="auto"/>
        </w:tblBorders>
        <w:tblLayout w:type="fixed"/>
        <w:tblLook w:val="04A0" w:firstRow="1" w:lastRow="0" w:firstColumn="1" w:lastColumn="0" w:noHBand="0" w:noVBand="1"/>
      </w:tblPr>
      <w:tblGrid>
        <w:gridCol w:w="2552"/>
        <w:gridCol w:w="1417"/>
        <w:gridCol w:w="1560"/>
        <w:gridCol w:w="1275"/>
      </w:tblGrid>
      <w:tr w:rsidR="007142B6" w:rsidRPr="00164B51" w14:paraId="29722A84" w14:textId="77777777" w:rsidTr="007142B6">
        <w:trPr>
          <w:jc w:val="center"/>
        </w:trPr>
        <w:tc>
          <w:tcPr>
            <w:tcW w:w="6804" w:type="dxa"/>
            <w:gridSpan w:val="4"/>
            <w:tcBorders>
              <w:top w:val="nil"/>
              <w:bottom w:val="nil"/>
            </w:tcBorders>
          </w:tcPr>
          <w:p w14:paraId="5215CD4F" w14:textId="3EBAD0C7" w:rsidR="007142B6" w:rsidRPr="007142B6" w:rsidRDefault="007142B6" w:rsidP="007142B6">
            <w:pPr>
              <w:pStyle w:val="TableCaption"/>
              <w:spacing w:before="240" w:after="200"/>
              <w:ind w:right="192"/>
              <w:rPr>
                <w:rFonts w:ascii="Times New Roman" w:hAnsi="Times New Roman"/>
              </w:rPr>
            </w:pPr>
            <w:r w:rsidRPr="00164B51">
              <w:rPr>
                <w:rFonts w:ascii="Times New Roman" w:hAnsi="Times New Roman"/>
                <w:b/>
              </w:rPr>
              <w:t xml:space="preserve">Table </w:t>
            </w:r>
            <w:r>
              <w:rPr>
                <w:rFonts w:ascii="Times New Roman" w:hAnsi="Times New Roman"/>
                <w:b/>
              </w:rPr>
              <w:t>3</w:t>
            </w:r>
            <w:r w:rsidRPr="00164B51">
              <w:rPr>
                <w:rFonts w:ascii="Times New Roman" w:hAnsi="Times New Roman"/>
                <w:b/>
              </w:rPr>
              <w:t>.</w:t>
            </w:r>
            <w:r w:rsidRPr="00164B51">
              <w:rPr>
                <w:rFonts w:ascii="Times New Roman" w:hAnsi="Times New Roman"/>
              </w:rPr>
              <w:t xml:space="preserve"> </w:t>
            </w:r>
            <w:r>
              <w:rPr>
                <w:rFonts w:ascii="Times New Roman" w:hAnsi="Times New Roman"/>
              </w:rPr>
              <w:t>T</w:t>
            </w:r>
            <w:r w:rsidRPr="00164B51">
              <w:rPr>
                <w:rFonts w:ascii="Times New Roman" w:hAnsi="Times New Roman"/>
                <w:lang w:val="id-ID"/>
              </w:rPr>
              <w:t xml:space="preserve">he probe liquids used for </w:t>
            </w:r>
            <w:r>
              <w:rPr>
                <w:rFonts w:ascii="Times New Roman" w:hAnsi="Times New Roman"/>
              </w:rPr>
              <w:t>Surface Energy</w:t>
            </w:r>
            <w:r w:rsidRPr="00164B51">
              <w:rPr>
                <w:rFonts w:ascii="Times New Roman" w:hAnsi="Times New Roman"/>
                <w:lang w:val="id-ID"/>
              </w:rPr>
              <w:t xml:space="preserve"> </w:t>
            </w:r>
            <w:r>
              <w:rPr>
                <w:rFonts w:ascii="Times New Roman" w:hAnsi="Times New Roman"/>
              </w:rPr>
              <w:t>calculation</w:t>
            </w:r>
            <w:r w:rsidRPr="00164B51">
              <w:rPr>
                <w:rFonts w:ascii="Times New Roman" w:hAnsi="Times New Roman"/>
                <w:lang w:val="id-ID"/>
              </w:rPr>
              <w:t xml:space="preserve"> according to the Owen-Wendt method</w:t>
            </w:r>
            <w:r>
              <w:rPr>
                <w:rFonts w:ascii="Times New Roman" w:hAnsi="Times New Roman"/>
              </w:rPr>
              <w:t xml:space="preserve"> </w:t>
            </w:r>
            <w:r>
              <w:rPr>
                <w:rFonts w:ascii="Times New Roman" w:hAnsi="Times New Roman"/>
              </w:rPr>
              <w:fldChar w:fldCharType="begin" w:fldLock="1"/>
            </w:r>
            <w:r w:rsidR="00970160">
              <w:rPr>
                <w:rFonts w:ascii="Times New Roman" w:hAnsi="Times New Roman"/>
              </w:rPr>
              <w:instrText>ADDIN CSL_CITATION {"citationItems":[{"id":"ITEM-1","itemData":{"DOI":"10.1088/1755-1315/65/1/012044","ISSN":"17551315","abstract":"Study of the size effect of natural fiber from oil palm empty fruit bunches (OPEFB) as filler, onto the contact angle and surface free energy of fiber reinforced biocomposites has been done. The OPEFB fibers were prepared by mechanical milling and sieving to obtain various sizes of fiber (long-fiber, medium-fiber, short-fiber, and microparticle). The biocomposites has been produced by extrusion using single-screw extruder with EFB fiber as filler, recycled Acrylonitrile Butadiene Styrene (ABS) polymer as matrix, and primary antioxidant, acid scavanger, and coupling agent as additives. The obtained biocomposites in form of granular, were made into test piece by injection molding method. Contact angles of water, methanol, and hexane on the surface of biocomposites at room temperature were measured using Phoenix 300 Contact Angle Analyzer. The surface free energy (SFE) and their components were calculated using three previous known methods (Girifalco-Good-Fowkes-Young (GGFY), Owens-Wendt, and van Oss-Chaudhury-Good (vOCG)). The results showed that total SFE of Recycled ABS as control was about 24.38 mJ/m2, and SFE of biocomposites was lower than control, decreased with decreasing of EFB fiber size as biocomposites filler. The statistical analysis proved that there are no statistically significant differences in the value of the SFE calculated with the three different methods.","author":[{"dropping-particle":"","family":"Suryadi","given":"G. S.","non-dropping-particle":"","parse-names":false,"suffix":""},{"dropping-particle":"","family":"Nikmatin","given":"S.","non-dropping-particle":"","parse-names":false,"suffix":""},{"dropping-particle":"","family":"Sudaryanto","given":"","non-dropping-particle":"","parse-names":false,"suffix":""},{"dropping-particle":"","family":"Irmansyah","given":"","non-dropping-particle":"","parse-names":false,"suffix":""},{"dropping-particle":"","family":"Sukaryo","given":"S. G.","non-dropping-particle":"","parse-names":false,"suffix":""}],"container-title":"IOP Conference Series: Earth and Environmental Science","id":"ITEM-1","issued":{"date-parts":[["2017"]]},"page":"012044","title":"Surface free energy analysis of oil palm empty fruit bunches fiber reinforced biocomposites","type":"article-journal","volume":"65"},"uris":["http://www.mendeley.com/documents/?uuid=1c4ef211-6613-4d26-9dc5-216572162203"]},{"id":"ITEM-2","itemData":{"DOI":"10.11113/jt.v79.10233","ISSN":"01279696","abstract":"Study of the size effect of natural fibre from oil palm empty fruit bunches (OPEFB) as filler, onto the mechanical and physical properties of fibre reinforced biocomposites based on recycled Acrylonitrile Butadiene Styrene (ABS) has been done. The OPEFB fibres were prepared by mechanical milling and sieving to obtain medium-fibre (20 mesh) and short-fibre (100 mesh). The biocomposites have been produced by extrusion using single-screw extruder method. Mechanical properties and S of biocomposites were evaluated and compared with glass fibre (GF) filled composite which is commonly used in plastics industrial applications. The result showed that the impact strength increased with the decreasing of OPEFB fibre size, while the Young’s modulus decreased. Other mechanical properties of biocomposites with short-fibre (RABS/SF) and medium-fibre (RABS/MF) filler were not significantly different at 95% confidence interval. Impact strength of short-fibre filled biocomposite was higher than glass fibre filled composites. The surface free energy of biocomposites lower than glass fibre filled composites, but its dispersive components are higher, indicating more hydrophobic feature of the surface. The fabricated micro-fibre of OPEFB can be used as viable alternative to substitute glass fibre as filler materials of composites.","author":[{"dropping-particle":"","family":"Suryadi","given":"Gema Sukmawati","non-dropping-particle":"","parse-names":false,"suffix":""},{"dropping-particle":"","family":"Nikmatin","given":"Siti","non-dropping-particle":"","parse-names":false,"suffix":""},{"dropping-particle":"","family":"Sudaryanto","given":"A.","non-dropping-particle":"","parse-names":false,"suffix":""},{"dropping-particle":"","family":"Irmansyah","given":"A.","non-dropping-particle":"","parse-names":false,"suffix":""}],"container-title":"Jurnal Teknologi","id":"ITEM-2","issue":"4","issued":{"date-parts":[["2017"]]},"page":"97-105","title":"Mechanical properties and surface free energy of oil palm empty fruit bunches fibre reinforced biocomposites as glass fibre substitution","type":"article-journal","volume":"79"},"uris":["http://www.mendeley.com/documents/?uuid=d47966dd-84c0-41da-aac0-8c05e28a3f72"]}],"mendeley":{"formattedCitation":"[7,8]","plainTextFormattedCitation":"[7,8]","previouslyFormattedCitation":"[7,8]"},"properties":{"noteIndex":0},"schema":"https://github.com/citation-style-language/schema/raw/master/csl-citation.json"}</w:instrText>
            </w:r>
            <w:r>
              <w:rPr>
                <w:rFonts w:ascii="Times New Roman" w:hAnsi="Times New Roman"/>
              </w:rPr>
              <w:fldChar w:fldCharType="separate"/>
            </w:r>
            <w:r w:rsidR="00970160" w:rsidRPr="00970160">
              <w:rPr>
                <w:rFonts w:ascii="Times New Roman" w:hAnsi="Times New Roman"/>
                <w:noProof/>
              </w:rPr>
              <w:t>[7,8]</w:t>
            </w:r>
            <w:r>
              <w:rPr>
                <w:rFonts w:ascii="Times New Roman" w:hAnsi="Times New Roman"/>
              </w:rPr>
              <w:fldChar w:fldCharType="end"/>
            </w:r>
          </w:p>
        </w:tc>
      </w:tr>
      <w:tr w:rsidR="007142B6" w:rsidRPr="00164B51" w14:paraId="058E076C" w14:textId="77777777" w:rsidTr="007142B6">
        <w:trPr>
          <w:jc w:val="center"/>
        </w:trPr>
        <w:tc>
          <w:tcPr>
            <w:tcW w:w="2552" w:type="dxa"/>
            <w:tcBorders>
              <w:top w:val="nil"/>
              <w:bottom w:val="single" w:sz="4" w:space="0" w:color="auto"/>
            </w:tcBorders>
          </w:tcPr>
          <w:p w14:paraId="1BD5C320" w14:textId="77777777" w:rsidR="007142B6" w:rsidRPr="00164B51" w:rsidRDefault="007142B6" w:rsidP="005A56B9">
            <w:pPr>
              <w:spacing w:before="40" w:after="40"/>
              <w:rPr>
                <w:color w:val="000000"/>
                <w:sz w:val="2"/>
                <w:szCs w:val="2"/>
              </w:rPr>
            </w:pPr>
          </w:p>
        </w:tc>
        <w:tc>
          <w:tcPr>
            <w:tcW w:w="1417" w:type="dxa"/>
            <w:tcBorders>
              <w:top w:val="nil"/>
              <w:bottom w:val="single" w:sz="4" w:space="0" w:color="auto"/>
            </w:tcBorders>
          </w:tcPr>
          <w:p w14:paraId="72AB6CCD" w14:textId="77777777" w:rsidR="007142B6" w:rsidRPr="00164B51" w:rsidRDefault="007142B6" w:rsidP="005A56B9">
            <w:pPr>
              <w:spacing w:before="40" w:after="40"/>
              <w:ind w:left="28"/>
              <w:rPr>
                <w:color w:val="000000"/>
                <w:sz w:val="2"/>
                <w:szCs w:val="2"/>
              </w:rPr>
            </w:pPr>
          </w:p>
        </w:tc>
        <w:tc>
          <w:tcPr>
            <w:tcW w:w="1560" w:type="dxa"/>
            <w:tcBorders>
              <w:top w:val="nil"/>
              <w:bottom w:val="single" w:sz="4" w:space="0" w:color="auto"/>
            </w:tcBorders>
          </w:tcPr>
          <w:p w14:paraId="3579EDEF" w14:textId="77777777" w:rsidR="007142B6" w:rsidRPr="00164B51" w:rsidRDefault="007142B6" w:rsidP="005A56B9">
            <w:pPr>
              <w:spacing w:before="40" w:after="40"/>
              <w:ind w:left="28"/>
              <w:rPr>
                <w:color w:val="000000"/>
                <w:sz w:val="2"/>
                <w:szCs w:val="2"/>
              </w:rPr>
            </w:pPr>
          </w:p>
        </w:tc>
        <w:tc>
          <w:tcPr>
            <w:tcW w:w="1275" w:type="dxa"/>
            <w:tcBorders>
              <w:top w:val="nil"/>
              <w:bottom w:val="single" w:sz="4" w:space="0" w:color="auto"/>
            </w:tcBorders>
          </w:tcPr>
          <w:p w14:paraId="21A9AE3C" w14:textId="77777777" w:rsidR="007142B6" w:rsidRPr="00164B51" w:rsidRDefault="007142B6" w:rsidP="005A56B9">
            <w:pPr>
              <w:spacing w:before="40" w:after="40"/>
              <w:ind w:left="28"/>
              <w:rPr>
                <w:color w:val="000000"/>
                <w:sz w:val="2"/>
                <w:szCs w:val="2"/>
              </w:rPr>
            </w:pPr>
          </w:p>
        </w:tc>
      </w:tr>
      <w:tr w:rsidR="007142B6" w:rsidRPr="00164B51" w14:paraId="028497AD" w14:textId="77777777" w:rsidTr="007142B6">
        <w:trPr>
          <w:jc w:val="center"/>
        </w:trPr>
        <w:tc>
          <w:tcPr>
            <w:tcW w:w="2552" w:type="dxa"/>
            <w:tcBorders>
              <w:top w:val="nil"/>
              <w:bottom w:val="single" w:sz="4" w:space="0" w:color="auto"/>
            </w:tcBorders>
          </w:tcPr>
          <w:p w14:paraId="34BF629F" w14:textId="77777777" w:rsidR="007142B6" w:rsidRPr="00164B51" w:rsidRDefault="007142B6" w:rsidP="005A56B9">
            <w:pPr>
              <w:ind w:left="28" w:right="-44"/>
              <w:jc w:val="center"/>
              <w:rPr>
                <w:bCs/>
                <w:sz w:val="20"/>
                <w:lang w:val="id-ID"/>
              </w:rPr>
            </w:pPr>
            <w:r w:rsidRPr="00164B51">
              <w:rPr>
                <w:bCs/>
                <w:sz w:val="20"/>
                <w:lang w:val="id-ID"/>
              </w:rPr>
              <w:t>Liquid</w:t>
            </w:r>
          </w:p>
        </w:tc>
        <w:tc>
          <w:tcPr>
            <w:tcW w:w="1417" w:type="dxa"/>
            <w:tcBorders>
              <w:top w:val="nil"/>
              <w:bottom w:val="single" w:sz="4" w:space="0" w:color="auto"/>
            </w:tcBorders>
          </w:tcPr>
          <w:p w14:paraId="2D3743EE" w14:textId="77777777" w:rsidR="007142B6" w:rsidRPr="007142B6" w:rsidRDefault="005A56B9" w:rsidP="005A56B9">
            <w:pPr>
              <w:ind w:left="28" w:right="146"/>
              <w:jc w:val="center"/>
              <w:rPr>
                <w:i/>
                <w:iCs/>
                <w:color w:val="000000"/>
                <w:sz w:val="20"/>
                <w:lang w:val="id-ID"/>
              </w:rPr>
            </w:pPr>
            <m:oMathPara>
              <m:oMath>
                <m:sSub>
                  <m:sSubPr>
                    <m:ctrlPr>
                      <w:rPr>
                        <w:rFonts w:ascii="Cambria Math" w:hAnsi="Cambria Math"/>
                        <w:i/>
                        <w:iCs/>
                        <w:color w:val="000000"/>
                        <w:sz w:val="20"/>
                        <w:lang w:val="id-ID"/>
                      </w:rPr>
                    </m:ctrlPr>
                  </m:sSubPr>
                  <m:e>
                    <m:r>
                      <w:rPr>
                        <w:rFonts w:ascii="Cambria Math" w:hAnsi="Cambria Math"/>
                        <w:color w:val="000000"/>
                        <w:sz w:val="20"/>
                        <w:lang w:val="id-ID"/>
                      </w:rPr>
                      <m:t>γ</m:t>
                    </m:r>
                  </m:e>
                  <m:sub>
                    <m:r>
                      <w:rPr>
                        <w:rFonts w:ascii="Cambria Math" w:hAnsi="Cambria Math"/>
                        <w:color w:val="000000"/>
                        <w:sz w:val="20"/>
                        <w:lang w:val="id-ID"/>
                      </w:rPr>
                      <m:t>l</m:t>
                    </m:r>
                  </m:sub>
                </m:sSub>
              </m:oMath>
            </m:oMathPara>
          </w:p>
        </w:tc>
        <w:tc>
          <w:tcPr>
            <w:tcW w:w="1560" w:type="dxa"/>
            <w:tcBorders>
              <w:top w:val="nil"/>
              <w:bottom w:val="single" w:sz="4" w:space="0" w:color="auto"/>
            </w:tcBorders>
          </w:tcPr>
          <w:p w14:paraId="3C35D6F4" w14:textId="77777777" w:rsidR="007142B6" w:rsidRPr="00164B51" w:rsidRDefault="005A56B9" w:rsidP="005A56B9">
            <w:pPr>
              <w:ind w:left="28" w:right="146"/>
              <w:jc w:val="center"/>
              <w:rPr>
                <w:iCs/>
                <w:color w:val="000000"/>
                <w:sz w:val="20"/>
                <w:lang w:val="id-ID"/>
              </w:rPr>
            </w:pPr>
            <m:oMathPara>
              <m:oMath>
                <m:sSubSup>
                  <m:sSubSupPr>
                    <m:ctrlPr>
                      <w:rPr>
                        <w:rFonts w:ascii="Cambria Math" w:hAnsi="Cambria Math"/>
                        <w:i/>
                        <w:iCs/>
                        <w:color w:val="000000"/>
                        <w:sz w:val="20"/>
                        <w:lang w:val="id-ID"/>
                      </w:rPr>
                    </m:ctrlPr>
                  </m:sSubSupPr>
                  <m:e>
                    <m:r>
                      <w:rPr>
                        <w:rFonts w:ascii="Cambria Math" w:hAnsi="Cambria Math"/>
                        <w:color w:val="000000"/>
                        <w:sz w:val="20"/>
                        <w:lang w:val="id-ID"/>
                      </w:rPr>
                      <m:t>γ</m:t>
                    </m:r>
                  </m:e>
                  <m:sub>
                    <m:r>
                      <w:rPr>
                        <w:rFonts w:ascii="Cambria Math" w:hAnsi="Cambria Math"/>
                        <w:color w:val="000000"/>
                        <w:sz w:val="20"/>
                        <w:lang w:val="id-ID"/>
                      </w:rPr>
                      <m:t>l</m:t>
                    </m:r>
                  </m:sub>
                  <m:sup>
                    <m:r>
                      <w:rPr>
                        <w:rFonts w:ascii="Cambria Math" w:hAnsi="Cambria Math"/>
                        <w:color w:val="000000"/>
                        <w:sz w:val="20"/>
                        <w:lang w:val="id-ID"/>
                      </w:rPr>
                      <m:t>p</m:t>
                    </m:r>
                  </m:sup>
                </m:sSubSup>
              </m:oMath>
            </m:oMathPara>
          </w:p>
        </w:tc>
        <w:tc>
          <w:tcPr>
            <w:tcW w:w="1275" w:type="dxa"/>
            <w:tcBorders>
              <w:top w:val="nil"/>
              <w:bottom w:val="single" w:sz="4" w:space="0" w:color="auto"/>
            </w:tcBorders>
          </w:tcPr>
          <w:p w14:paraId="78843224" w14:textId="77777777" w:rsidR="007142B6" w:rsidRPr="00164B51" w:rsidRDefault="005A56B9" w:rsidP="005A56B9">
            <w:pPr>
              <w:ind w:left="28"/>
              <w:jc w:val="center"/>
              <w:rPr>
                <w:iCs/>
                <w:color w:val="000000"/>
                <w:sz w:val="20"/>
                <w:lang w:val="id-ID"/>
              </w:rPr>
            </w:pPr>
            <m:oMathPara>
              <m:oMath>
                <m:sSubSup>
                  <m:sSubSupPr>
                    <m:ctrlPr>
                      <w:rPr>
                        <w:rFonts w:ascii="Cambria Math" w:hAnsi="Cambria Math"/>
                        <w:i/>
                        <w:iCs/>
                        <w:color w:val="000000"/>
                        <w:sz w:val="20"/>
                        <w:lang w:val="id-ID"/>
                      </w:rPr>
                    </m:ctrlPr>
                  </m:sSubSupPr>
                  <m:e>
                    <m:r>
                      <w:rPr>
                        <w:rFonts w:ascii="Cambria Math" w:hAnsi="Cambria Math"/>
                        <w:color w:val="000000"/>
                        <w:sz w:val="20"/>
                        <w:lang w:val="id-ID"/>
                      </w:rPr>
                      <m:t>γ</m:t>
                    </m:r>
                  </m:e>
                  <m:sub>
                    <m:r>
                      <w:rPr>
                        <w:rFonts w:ascii="Cambria Math" w:hAnsi="Cambria Math"/>
                        <w:color w:val="000000"/>
                        <w:sz w:val="20"/>
                        <w:lang w:val="id-ID"/>
                      </w:rPr>
                      <m:t>l</m:t>
                    </m:r>
                  </m:sub>
                  <m:sup>
                    <m:r>
                      <w:rPr>
                        <w:rFonts w:ascii="Cambria Math" w:hAnsi="Cambria Math"/>
                        <w:color w:val="000000"/>
                        <w:sz w:val="20"/>
                        <w:lang w:val="id-ID"/>
                      </w:rPr>
                      <m:t>d</m:t>
                    </m:r>
                  </m:sup>
                </m:sSubSup>
              </m:oMath>
            </m:oMathPara>
          </w:p>
        </w:tc>
      </w:tr>
      <w:tr w:rsidR="007142B6" w:rsidRPr="00164B51" w14:paraId="280C93FD" w14:textId="77777777" w:rsidTr="007142B6">
        <w:trPr>
          <w:jc w:val="center"/>
        </w:trPr>
        <w:tc>
          <w:tcPr>
            <w:tcW w:w="2552" w:type="dxa"/>
            <w:tcBorders>
              <w:top w:val="single" w:sz="4" w:space="0" w:color="auto"/>
              <w:bottom w:val="nil"/>
            </w:tcBorders>
            <w:vAlign w:val="bottom"/>
          </w:tcPr>
          <w:p w14:paraId="33BB806B" w14:textId="77777777" w:rsidR="007142B6" w:rsidRPr="00164B51" w:rsidRDefault="007142B6" w:rsidP="005A56B9">
            <w:pPr>
              <w:ind w:right="11" w:firstLine="28"/>
              <w:jc w:val="center"/>
              <w:rPr>
                <w:b/>
                <w:iCs/>
                <w:color w:val="000000"/>
                <w:sz w:val="20"/>
                <w:lang w:val="id-ID"/>
              </w:rPr>
            </w:pPr>
            <w:r w:rsidRPr="00164B51">
              <w:rPr>
                <w:b/>
                <w:iCs/>
                <w:color w:val="000000"/>
                <w:sz w:val="20"/>
                <w:lang w:val="id-ID"/>
              </w:rPr>
              <w:t>Water</w:t>
            </w:r>
          </w:p>
        </w:tc>
        <w:tc>
          <w:tcPr>
            <w:tcW w:w="1417" w:type="dxa"/>
            <w:tcBorders>
              <w:top w:val="single" w:sz="4" w:space="0" w:color="auto"/>
              <w:bottom w:val="nil"/>
            </w:tcBorders>
            <w:vAlign w:val="bottom"/>
          </w:tcPr>
          <w:p w14:paraId="3B3A6808" w14:textId="77777777" w:rsidR="007142B6" w:rsidRPr="00164B51" w:rsidRDefault="007142B6" w:rsidP="005A56B9">
            <w:pPr>
              <w:ind w:left="28"/>
              <w:jc w:val="center"/>
              <w:rPr>
                <w:iCs/>
                <w:color w:val="000000"/>
                <w:sz w:val="20"/>
                <w:lang w:val="id-ID"/>
              </w:rPr>
            </w:pPr>
            <w:r w:rsidRPr="00164B51">
              <w:rPr>
                <w:iCs/>
                <w:color w:val="000000"/>
                <w:sz w:val="20"/>
                <w:lang w:val="id-ID"/>
              </w:rPr>
              <w:t>72.8</w:t>
            </w:r>
          </w:p>
        </w:tc>
        <w:tc>
          <w:tcPr>
            <w:tcW w:w="1560" w:type="dxa"/>
            <w:tcBorders>
              <w:top w:val="single" w:sz="4" w:space="0" w:color="auto"/>
              <w:bottom w:val="nil"/>
            </w:tcBorders>
            <w:vAlign w:val="bottom"/>
          </w:tcPr>
          <w:p w14:paraId="4AB5DF9C" w14:textId="77777777" w:rsidR="007142B6" w:rsidRPr="00164B51" w:rsidRDefault="007142B6" w:rsidP="005A56B9">
            <w:pPr>
              <w:ind w:firstLine="28"/>
              <w:jc w:val="center"/>
              <w:rPr>
                <w:iCs/>
                <w:color w:val="000000"/>
                <w:sz w:val="20"/>
                <w:lang w:val="id-ID"/>
              </w:rPr>
            </w:pPr>
            <w:r w:rsidRPr="00164B51">
              <w:rPr>
                <w:iCs/>
                <w:color w:val="000000"/>
                <w:sz w:val="20"/>
                <w:lang w:val="id-ID"/>
              </w:rPr>
              <w:t>21.8</w:t>
            </w:r>
          </w:p>
        </w:tc>
        <w:tc>
          <w:tcPr>
            <w:tcW w:w="1275" w:type="dxa"/>
            <w:tcBorders>
              <w:top w:val="single" w:sz="4" w:space="0" w:color="auto"/>
              <w:bottom w:val="nil"/>
            </w:tcBorders>
            <w:vAlign w:val="bottom"/>
          </w:tcPr>
          <w:p w14:paraId="3E50424F" w14:textId="77777777" w:rsidR="007142B6" w:rsidRPr="00164B51" w:rsidRDefault="007142B6" w:rsidP="005A56B9">
            <w:pPr>
              <w:ind w:left="28"/>
              <w:jc w:val="center"/>
              <w:rPr>
                <w:iCs/>
                <w:color w:val="000000"/>
                <w:sz w:val="20"/>
                <w:lang w:val="id-ID"/>
              </w:rPr>
            </w:pPr>
            <w:r w:rsidRPr="00164B51">
              <w:rPr>
                <w:iCs/>
                <w:color w:val="000000"/>
                <w:sz w:val="20"/>
                <w:lang w:val="id-ID"/>
              </w:rPr>
              <w:t>51</w:t>
            </w:r>
          </w:p>
        </w:tc>
      </w:tr>
      <w:tr w:rsidR="007142B6" w:rsidRPr="00164B51" w14:paraId="11E283ED" w14:textId="77777777" w:rsidTr="007142B6">
        <w:trPr>
          <w:jc w:val="center"/>
        </w:trPr>
        <w:tc>
          <w:tcPr>
            <w:tcW w:w="2552" w:type="dxa"/>
            <w:tcBorders>
              <w:top w:val="nil"/>
              <w:bottom w:val="single" w:sz="4" w:space="0" w:color="auto"/>
            </w:tcBorders>
            <w:vAlign w:val="bottom"/>
          </w:tcPr>
          <w:p w14:paraId="059608BC" w14:textId="77777777" w:rsidR="007142B6" w:rsidRPr="00164B51" w:rsidRDefault="007142B6" w:rsidP="005A56B9">
            <w:pPr>
              <w:ind w:right="11" w:firstLine="28"/>
              <w:jc w:val="center"/>
              <w:rPr>
                <w:b/>
                <w:iCs/>
                <w:color w:val="000000"/>
                <w:sz w:val="20"/>
                <w:lang w:val="id-ID"/>
              </w:rPr>
            </w:pPr>
            <w:r w:rsidRPr="00164B51">
              <w:rPr>
                <w:b/>
                <w:iCs/>
                <w:color w:val="000000"/>
                <w:sz w:val="20"/>
                <w:lang w:val="id-ID"/>
              </w:rPr>
              <w:t>Hexane</w:t>
            </w:r>
          </w:p>
        </w:tc>
        <w:tc>
          <w:tcPr>
            <w:tcW w:w="1417" w:type="dxa"/>
            <w:tcBorders>
              <w:top w:val="nil"/>
              <w:bottom w:val="single" w:sz="4" w:space="0" w:color="auto"/>
            </w:tcBorders>
            <w:vAlign w:val="bottom"/>
          </w:tcPr>
          <w:p w14:paraId="67D9D422" w14:textId="77777777" w:rsidR="007142B6" w:rsidRPr="00164B51" w:rsidRDefault="007142B6" w:rsidP="005A56B9">
            <w:pPr>
              <w:ind w:left="28"/>
              <w:jc w:val="center"/>
              <w:rPr>
                <w:iCs/>
                <w:color w:val="000000"/>
                <w:sz w:val="20"/>
                <w:lang w:val="id-ID"/>
              </w:rPr>
            </w:pPr>
            <w:r w:rsidRPr="00164B51">
              <w:rPr>
                <w:iCs/>
                <w:color w:val="000000"/>
                <w:sz w:val="20"/>
                <w:lang w:val="id-ID"/>
              </w:rPr>
              <w:t>18.4</w:t>
            </w:r>
          </w:p>
        </w:tc>
        <w:tc>
          <w:tcPr>
            <w:tcW w:w="1560" w:type="dxa"/>
            <w:tcBorders>
              <w:top w:val="nil"/>
              <w:bottom w:val="single" w:sz="4" w:space="0" w:color="auto"/>
            </w:tcBorders>
            <w:vAlign w:val="bottom"/>
          </w:tcPr>
          <w:p w14:paraId="2AAC1344" w14:textId="77777777" w:rsidR="007142B6" w:rsidRPr="00164B51" w:rsidRDefault="007142B6" w:rsidP="005A56B9">
            <w:pPr>
              <w:ind w:firstLine="28"/>
              <w:jc w:val="center"/>
              <w:rPr>
                <w:iCs/>
                <w:color w:val="000000"/>
                <w:sz w:val="20"/>
                <w:lang w:val="id-ID"/>
              </w:rPr>
            </w:pPr>
            <w:r w:rsidRPr="00164B51">
              <w:rPr>
                <w:iCs/>
                <w:color w:val="000000"/>
                <w:sz w:val="20"/>
                <w:lang w:val="id-ID"/>
              </w:rPr>
              <w:t>18.4</w:t>
            </w:r>
          </w:p>
        </w:tc>
        <w:tc>
          <w:tcPr>
            <w:tcW w:w="1275" w:type="dxa"/>
            <w:tcBorders>
              <w:top w:val="nil"/>
              <w:bottom w:val="single" w:sz="4" w:space="0" w:color="auto"/>
            </w:tcBorders>
            <w:vAlign w:val="bottom"/>
          </w:tcPr>
          <w:p w14:paraId="266BD54C" w14:textId="77777777" w:rsidR="007142B6" w:rsidRPr="00164B51" w:rsidRDefault="007142B6" w:rsidP="005A56B9">
            <w:pPr>
              <w:ind w:left="28"/>
              <w:jc w:val="center"/>
              <w:rPr>
                <w:iCs/>
                <w:color w:val="000000"/>
                <w:sz w:val="20"/>
                <w:lang w:val="id-ID"/>
              </w:rPr>
            </w:pPr>
            <w:r w:rsidRPr="00164B51">
              <w:rPr>
                <w:iCs/>
                <w:color w:val="000000"/>
                <w:sz w:val="20"/>
                <w:lang w:val="id-ID"/>
              </w:rPr>
              <w:t>0</w:t>
            </w:r>
          </w:p>
        </w:tc>
      </w:tr>
    </w:tbl>
    <w:p w14:paraId="0C346BBC" w14:textId="77777777" w:rsidR="007142B6" w:rsidRPr="007142B6" w:rsidRDefault="007142B6" w:rsidP="007142B6">
      <w:pPr>
        <w:pStyle w:val="BodytextIndented"/>
      </w:pPr>
    </w:p>
    <w:tbl>
      <w:tblPr>
        <w:tblW w:w="7938" w:type="dxa"/>
        <w:jc w:val="center"/>
        <w:tblBorders>
          <w:top w:val="single" w:sz="4" w:space="0" w:color="auto"/>
          <w:bottom w:val="single" w:sz="4" w:space="0" w:color="auto"/>
        </w:tblBorders>
        <w:tblLayout w:type="fixed"/>
        <w:tblLook w:val="04A0" w:firstRow="1" w:lastRow="0" w:firstColumn="1" w:lastColumn="0" w:noHBand="0" w:noVBand="1"/>
      </w:tblPr>
      <w:tblGrid>
        <w:gridCol w:w="2268"/>
        <w:gridCol w:w="1134"/>
        <w:gridCol w:w="1134"/>
        <w:gridCol w:w="1134"/>
        <w:gridCol w:w="1134"/>
        <w:gridCol w:w="851"/>
        <w:gridCol w:w="283"/>
      </w:tblGrid>
      <w:tr w:rsidR="007142B6" w:rsidRPr="00164B51" w14:paraId="2C9291A0" w14:textId="77777777" w:rsidTr="007142B6">
        <w:trPr>
          <w:gridAfter w:val="1"/>
          <w:wAfter w:w="283" w:type="dxa"/>
          <w:jc w:val="center"/>
        </w:trPr>
        <w:tc>
          <w:tcPr>
            <w:tcW w:w="7655" w:type="dxa"/>
            <w:gridSpan w:val="6"/>
            <w:tcBorders>
              <w:top w:val="nil"/>
              <w:bottom w:val="nil"/>
            </w:tcBorders>
          </w:tcPr>
          <w:p w14:paraId="3D2AC349" w14:textId="22CDEAEF" w:rsidR="007142B6" w:rsidRPr="007142B6" w:rsidRDefault="007142B6" w:rsidP="005A56B9">
            <w:pPr>
              <w:pStyle w:val="TableCaption"/>
              <w:spacing w:before="240" w:after="200"/>
              <w:rPr>
                <w:rFonts w:ascii="Times New Roman" w:hAnsi="Times New Roman"/>
              </w:rPr>
            </w:pPr>
            <w:r w:rsidRPr="00164B51">
              <w:rPr>
                <w:rFonts w:ascii="Times New Roman" w:hAnsi="Times New Roman"/>
                <w:b/>
              </w:rPr>
              <w:t xml:space="preserve">Table </w:t>
            </w:r>
            <w:r>
              <w:rPr>
                <w:rFonts w:ascii="Times New Roman" w:hAnsi="Times New Roman"/>
                <w:b/>
              </w:rPr>
              <w:t>4</w:t>
            </w:r>
            <w:r w:rsidRPr="00164B51">
              <w:rPr>
                <w:rFonts w:ascii="Times New Roman" w:hAnsi="Times New Roman"/>
                <w:b/>
              </w:rPr>
              <w:t>.</w:t>
            </w:r>
            <w:r w:rsidRPr="00164B51">
              <w:rPr>
                <w:rFonts w:ascii="Times New Roman" w:hAnsi="Times New Roman"/>
              </w:rPr>
              <w:t xml:space="preserve"> </w:t>
            </w:r>
            <w:r>
              <w:rPr>
                <w:rFonts w:ascii="Times New Roman" w:hAnsi="Times New Roman"/>
              </w:rPr>
              <w:t>T</w:t>
            </w:r>
            <w:r w:rsidRPr="00164B51">
              <w:rPr>
                <w:rFonts w:ascii="Times New Roman" w:hAnsi="Times New Roman"/>
                <w:lang w:val="id-ID"/>
              </w:rPr>
              <w:t xml:space="preserve">he probe liquids used for </w:t>
            </w:r>
            <w:r>
              <w:rPr>
                <w:rFonts w:ascii="Times New Roman" w:hAnsi="Times New Roman"/>
              </w:rPr>
              <w:t>Surface Energy calculation</w:t>
            </w:r>
            <w:r w:rsidRPr="00164B51">
              <w:rPr>
                <w:rFonts w:ascii="Times New Roman" w:hAnsi="Times New Roman"/>
                <w:lang w:val="id-ID"/>
              </w:rPr>
              <w:t xml:space="preserve"> according to the vOCG method</w:t>
            </w:r>
            <w:r>
              <w:rPr>
                <w:rFonts w:ascii="Times New Roman" w:hAnsi="Times New Roman"/>
              </w:rPr>
              <w:t xml:space="preserve"> </w:t>
            </w:r>
            <w:r>
              <w:rPr>
                <w:rFonts w:ascii="Times New Roman" w:hAnsi="Times New Roman"/>
              </w:rPr>
              <w:fldChar w:fldCharType="begin" w:fldLock="1"/>
            </w:r>
            <w:r w:rsidR="00970160">
              <w:rPr>
                <w:rFonts w:ascii="Times New Roman" w:hAnsi="Times New Roman"/>
              </w:rPr>
              <w:instrText>ADDIN CSL_CITATION {"citationItems":[{"id":"ITEM-1","itemData":{"DOI":"10.1088/1755-1315/65/1/012044","ISSN":"17551315","abstract":"Study of the size effect of natural fiber from oil palm empty fruit bunches (OPEFB) as filler, onto the contact angle and surface free energy of fiber reinforced biocomposites has been done. The OPEFB fibers were prepared by mechanical milling and sieving to obtain various sizes of fiber (long-fiber, medium-fiber, short-fiber, and microparticle). The biocomposites has been produced by extrusion using single-screw extruder with EFB fiber as filler, recycled Acrylonitrile Butadiene Styrene (ABS) polymer as matrix, and primary antioxidant, acid scavanger, and coupling agent as additives. The obtained biocomposites in form of granular, were made into test piece by injection molding method. Contact angles of water, methanol, and hexane on the surface of biocomposites at room temperature were measured using Phoenix 300 Contact Angle Analyzer. The surface free energy (SFE) and their components were calculated using three previous known methods (Girifalco-Good-Fowkes-Young (GGFY), Owens-Wendt, and van Oss-Chaudhury-Good (vOCG)). The results showed that total SFE of Recycled ABS as control was about 24.38 mJ/m2, and SFE of biocomposites was lower than control, decreased with decreasing of EFB fiber size as biocomposites filler. The statistical analysis proved that there are no statistically significant differences in the value of the SFE calculated with the three different methods.","author":[{"dropping-particle":"","family":"Suryadi","given":"G. S.","non-dropping-particle":"","parse-names":false,"suffix":""},{"dropping-particle":"","family":"Nikmatin","given":"S.","non-dropping-particle":"","parse-names":false,"suffix":""},{"dropping-particle":"","family":"Sudaryanto","given":"","non-dropping-particle":"","parse-names":false,"suffix":""},{"dropping-particle":"","family":"Irmansyah","given":"","non-dropping-particle":"","parse-names":false,"suffix":""},{"dropping-particle":"","family":"Sukaryo","given":"S. G.","non-dropping-particle":"","parse-names":false,"suffix":""}],"container-title":"IOP Conference Series: Earth and Environmental Science","id":"ITEM-1","issued":{"date-parts":[["2017"]]},"page":"012044","title":"Surface free energy analysis of oil palm empty fruit bunches fiber reinforced biocomposites","type":"article-journal","volume":"65"},"uris":["http://www.mendeley.com/documents/?uuid=1c4ef211-6613-4d26-9dc5-216572162203"]},{"id":"ITEM-2","itemData":{"DOI":"10.11113/jt.v79.10233","ISSN":"01279696","abstract":"Study of the size effect of natural fibre from oil palm empty fruit bunches (OPEFB) as filler, onto the mechanical and physical properties of fibre reinforced biocomposites based on recycled Acrylonitrile Butadiene Styrene (ABS) has been done. The OPEFB fibres were prepared by mechanical milling and sieving to obtain medium-fibre (20 mesh) and short-fibre (100 mesh). The biocomposites have been produced by extrusion using single-screw extruder method. Mechanical properties and S of biocomposites were evaluated and compared with glass fibre (GF) filled composite which is commonly used in plastics industrial applications. The result showed that the impact strength increased with the decreasing of OPEFB fibre size, while the Young’s modulus decreased. Other mechanical properties of biocomposites with short-fibre (RABS/SF) and medium-fibre (RABS/MF) filler were not significantly different at 95% confidence interval. Impact strength of short-fibre filled biocomposite was higher than glass fibre filled composites. The surface free energy of biocomposites lower than glass fibre filled composites, but its dispersive components are higher, indicating more hydrophobic feature of the surface. The fabricated micro-fibre of OPEFB can be used as viable alternative to substitute glass fibre as filler materials of composites.","author":[{"dropping-particle":"","family":"Suryadi","given":"Gema Sukmawati","non-dropping-particle":"","parse-names":false,"suffix":""},{"dropping-particle":"","family":"Nikmatin","given":"Siti","non-dropping-particle":"","parse-names":false,"suffix":""},{"dropping-particle":"","family":"Sudaryanto","given":"A.","non-dropping-particle":"","parse-names":false,"suffix":""},{"dropping-particle":"","family":"Irmansyah","given":"A.","non-dropping-particle":"","parse-names":false,"suffix":""}],"container-title":"Jurnal Teknologi","id":"ITEM-2","issue":"4","issued":{"date-parts":[["2017"]]},"page":"97-105","title":"Mechanical properties and surface free energy of oil palm empty fruit bunches fibre reinforced biocomposites as glass fibre substitution","type":"article-journal","volume":"79"},"uris":["http://www.mendeley.com/documents/?uuid=d47966dd-84c0-41da-aac0-8c05e28a3f72"]}],"mendeley":{"formattedCitation":"[7,8]","plainTextFormattedCitation":"[7,8]","previouslyFormattedCitation":"[7,8]"},"properties":{"noteIndex":0},"schema":"https://github.com/citation-style-language/schema/raw/master/csl-citation.json"}</w:instrText>
            </w:r>
            <w:r>
              <w:rPr>
                <w:rFonts w:ascii="Times New Roman" w:hAnsi="Times New Roman"/>
              </w:rPr>
              <w:fldChar w:fldCharType="separate"/>
            </w:r>
            <w:r w:rsidR="00970160" w:rsidRPr="00970160">
              <w:rPr>
                <w:rFonts w:ascii="Times New Roman" w:hAnsi="Times New Roman"/>
                <w:noProof/>
              </w:rPr>
              <w:t>[7,8]</w:t>
            </w:r>
            <w:r>
              <w:rPr>
                <w:rFonts w:ascii="Times New Roman" w:hAnsi="Times New Roman"/>
              </w:rPr>
              <w:fldChar w:fldCharType="end"/>
            </w:r>
          </w:p>
        </w:tc>
      </w:tr>
      <w:tr w:rsidR="007142B6" w:rsidRPr="00164B51" w14:paraId="18E6F42E" w14:textId="77777777" w:rsidTr="005A56B9">
        <w:trPr>
          <w:jc w:val="center"/>
        </w:trPr>
        <w:tc>
          <w:tcPr>
            <w:tcW w:w="2268" w:type="dxa"/>
            <w:tcBorders>
              <w:top w:val="nil"/>
              <w:bottom w:val="single" w:sz="4" w:space="0" w:color="auto"/>
            </w:tcBorders>
          </w:tcPr>
          <w:p w14:paraId="0DE97341" w14:textId="77777777" w:rsidR="007142B6" w:rsidRPr="00164B51" w:rsidRDefault="007142B6" w:rsidP="005A56B9">
            <w:pPr>
              <w:spacing w:before="40" w:after="40"/>
              <w:rPr>
                <w:color w:val="000000"/>
                <w:sz w:val="2"/>
                <w:szCs w:val="2"/>
              </w:rPr>
            </w:pPr>
          </w:p>
        </w:tc>
        <w:tc>
          <w:tcPr>
            <w:tcW w:w="1134" w:type="dxa"/>
            <w:tcBorders>
              <w:top w:val="nil"/>
              <w:bottom w:val="single" w:sz="4" w:space="0" w:color="auto"/>
            </w:tcBorders>
          </w:tcPr>
          <w:p w14:paraId="4FF74D11" w14:textId="77777777" w:rsidR="007142B6" w:rsidRPr="00164B51" w:rsidRDefault="007142B6" w:rsidP="005A56B9">
            <w:pPr>
              <w:spacing w:before="40" w:after="40"/>
              <w:ind w:left="28"/>
              <w:rPr>
                <w:color w:val="000000"/>
                <w:sz w:val="2"/>
                <w:szCs w:val="2"/>
              </w:rPr>
            </w:pPr>
          </w:p>
        </w:tc>
        <w:tc>
          <w:tcPr>
            <w:tcW w:w="1134" w:type="dxa"/>
            <w:tcBorders>
              <w:top w:val="nil"/>
              <w:bottom w:val="single" w:sz="4" w:space="0" w:color="auto"/>
            </w:tcBorders>
          </w:tcPr>
          <w:p w14:paraId="5D5477D1" w14:textId="77777777" w:rsidR="007142B6" w:rsidRPr="00164B51" w:rsidRDefault="007142B6" w:rsidP="005A56B9">
            <w:pPr>
              <w:spacing w:before="40" w:after="40"/>
              <w:ind w:left="28"/>
              <w:rPr>
                <w:color w:val="000000"/>
                <w:sz w:val="2"/>
                <w:szCs w:val="2"/>
              </w:rPr>
            </w:pPr>
          </w:p>
        </w:tc>
        <w:tc>
          <w:tcPr>
            <w:tcW w:w="1134" w:type="dxa"/>
            <w:tcBorders>
              <w:top w:val="nil"/>
              <w:bottom w:val="single" w:sz="4" w:space="0" w:color="auto"/>
            </w:tcBorders>
          </w:tcPr>
          <w:p w14:paraId="0C856352" w14:textId="77777777" w:rsidR="007142B6" w:rsidRPr="00164B51" w:rsidRDefault="007142B6" w:rsidP="005A56B9">
            <w:pPr>
              <w:spacing w:before="40" w:after="40"/>
              <w:ind w:left="28"/>
              <w:rPr>
                <w:color w:val="000000"/>
                <w:sz w:val="2"/>
                <w:szCs w:val="2"/>
              </w:rPr>
            </w:pPr>
          </w:p>
        </w:tc>
        <w:tc>
          <w:tcPr>
            <w:tcW w:w="1134" w:type="dxa"/>
            <w:tcBorders>
              <w:top w:val="nil"/>
              <w:bottom w:val="single" w:sz="4" w:space="0" w:color="auto"/>
            </w:tcBorders>
          </w:tcPr>
          <w:p w14:paraId="744004D2" w14:textId="77777777" w:rsidR="007142B6" w:rsidRPr="00164B51" w:rsidRDefault="007142B6" w:rsidP="005A56B9">
            <w:pPr>
              <w:spacing w:before="40" w:after="40"/>
              <w:ind w:left="28"/>
              <w:rPr>
                <w:color w:val="000000"/>
                <w:sz w:val="2"/>
                <w:szCs w:val="2"/>
              </w:rPr>
            </w:pPr>
          </w:p>
        </w:tc>
        <w:tc>
          <w:tcPr>
            <w:tcW w:w="1134" w:type="dxa"/>
            <w:gridSpan w:val="2"/>
            <w:tcBorders>
              <w:top w:val="nil"/>
              <w:bottom w:val="single" w:sz="4" w:space="0" w:color="auto"/>
            </w:tcBorders>
          </w:tcPr>
          <w:p w14:paraId="5705E9CB" w14:textId="77777777" w:rsidR="007142B6" w:rsidRPr="00164B51" w:rsidRDefault="007142B6" w:rsidP="005A56B9">
            <w:pPr>
              <w:spacing w:before="40" w:after="40"/>
              <w:ind w:left="28"/>
              <w:rPr>
                <w:color w:val="000000"/>
                <w:sz w:val="2"/>
                <w:szCs w:val="2"/>
              </w:rPr>
            </w:pPr>
          </w:p>
        </w:tc>
      </w:tr>
      <w:tr w:rsidR="007142B6" w:rsidRPr="00164B51" w14:paraId="0A095371" w14:textId="77777777" w:rsidTr="005A56B9">
        <w:trPr>
          <w:jc w:val="center"/>
        </w:trPr>
        <w:tc>
          <w:tcPr>
            <w:tcW w:w="2268" w:type="dxa"/>
            <w:tcBorders>
              <w:top w:val="nil"/>
              <w:bottom w:val="single" w:sz="4" w:space="0" w:color="auto"/>
            </w:tcBorders>
          </w:tcPr>
          <w:p w14:paraId="6F323D9C" w14:textId="77777777" w:rsidR="007142B6" w:rsidRPr="00164B51" w:rsidRDefault="007142B6" w:rsidP="005A56B9">
            <w:pPr>
              <w:ind w:left="28" w:right="-44"/>
              <w:jc w:val="center"/>
              <w:rPr>
                <w:bCs/>
                <w:sz w:val="20"/>
                <w:lang w:val="id-ID"/>
              </w:rPr>
            </w:pPr>
            <w:r w:rsidRPr="00164B51">
              <w:rPr>
                <w:bCs/>
                <w:sz w:val="20"/>
                <w:lang w:val="id-ID"/>
              </w:rPr>
              <w:t>Liquid</w:t>
            </w:r>
          </w:p>
        </w:tc>
        <w:tc>
          <w:tcPr>
            <w:tcW w:w="1134" w:type="dxa"/>
            <w:tcBorders>
              <w:top w:val="nil"/>
              <w:bottom w:val="single" w:sz="4" w:space="0" w:color="auto"/>
            </w:tcBorders>
          </w:tcPr>
          <w:p w14:paraId="75726CA6" w14:textId="77777777" w:rsidR="007142B6" w:rsidRPr="00164B51" w:rsidRDefault="005A56B9" w:rsidP="005A56B9">
            <w:pPr>
              <w:ind w:left="28" w:right="146"/>
              <w:jc w:val="center"/>
              <w:rPr>
                <w:iCs/>
                <w:color w:val="000000"/>
                <w:sz w:val="20"/>
                <w:lang w:val="id-ID"/>
              </w:rPr>
            </w:pPr>
            <m:oMathPara>
              <m:oMath>
                <m:sSub>
                  <m:sSubPr>
                    <m:ctrlPr>
                      <w:rPr>
                        <w:rFonts w:ascii="Cambria Math" w:hAnsi="Cambria Math"/>
                        <w:i/>
                        <w:iCs/>
                        <w:color w:val="000000"/>
                        <w:sz w:val="20"/>
                        <w:lang w:val="id-ID"/>
                      </w:rPr>
                    </m:ctrlPr>
                  </m:sSubPr>
                  <m:e>
                    <m:r>
                      <w:rPr>
                        <w:rFonts w:ascii="Cambria Math" w:hAnsi="Cambria Math"/>
                        <w:color w:val="000000"/>
                        <w:sz w:val="20"/>
                        <w:lang w:val="id-ID"/>
                      </w:rPr>
                      <m:t>γ</m:t>
                    </m:r>
                  </m:e>
                  <m:sub>
                    <m:r>
                      <w:rPr>
                        <w:rFonts w:ascii="Cambria Math" w:hAnsi="Cambria Math"/>
                        <w:color w:val="000000"/>
                        <w:sz w:val="20"/>
                        <w:lang w:val="id-ID"/>
                      </w:rPr>
                      <m:t>l</m:t>
                    </m:r>
                  </m:sub>
                </m:sSub>
              </m:oMath>
            </m:oMathPara>
          </w:p>
        </w:tc>
        <w:tc>
          <w:tcPr>
            <w:tcW w:w="1134" w:type="dxa"/>
            <w:tcBorders>
              <w:top w:val="nil"/>
              <w:bottom w:val="single" w:sz="4" w:space="0" w:color="auto"/>
            </w:tcBorders>
          </w:tcPr>
          <w:p w14:paraId="41BF1A8F" w14:textId="77777777" w:rsidR="007142B6" w:rsidRPr="00164B51" w:rsidRDefault="005A56B9" w:rsidP="005A56B9">
            <w:pPr>
              <w:ind w:left="28" w:right="146"/>
              <w:jc w:val="center"/>
              <w:rPr>
                <w:iCs/>
                <w:color w:val="000000"/>
                <w:sz w:val="20"/>
                <w:lang w:val="id-ID"/>
              </w:rPr>
            </w:pPr>
            <m:oMathPara>
              <m:oMath>
                <m:sSubSup>
                  <m:sSubSupPr>
                    <m:ctrlPr>
                      <w:rPr>
                        <w:rFonts w:ascii="Cambria Math" w:hAnsi="Cambria Math"/>
                        <w:i/>
                        <w:iCs/>
                        <w:color w:val="000000"/>
                        <w:sz w:val="20"/>
                        <w:lang w:val="id-ID"/>
                      </w:rPr>
                    </m:ctrlPr>
                  </m:sSubSupPr>
                  <m:e>
                    <m:r>
                      <w:rPr>
                        <w:rFonts w:ascii="Cambria Math" w:hAnsi="Cambria Math"/>
                        <w:color w:val="000000"/>
                        <w:sz w:val="20"/>
                        <w:lang w:val="id-ID"/>
                      </w:rPr>
                      <m:t>γ</m:t>
                    </m:r>
                  </m:e>
                  <m:sub>
                    <m:r>
                      <w:rPr>
                        <w:rFonts w:ascii="Cambria Math" w:hAnsi="Cambria Math"/>
                        <w:color w:val="000000"/>
                        <w:sz w:val="20"/>
                        <w:lang w:val="id-ID"/>
                      </w:rPr>
                      <m:t>l</m:t>
                    </m:r>
                  </m:sub>
                  <m:sup>
                    <m:r>
                      <w:rPr>
                        <w:rFonts w:ascii="Cambria Math" w:hAnsi="Cambria Math"/>
                        <w:color w:val="000000"/>
                        <w:sz w:val="20"/>
                        <w:lang w:val="id-ID"/>
                      </w:rPr>
                      <m:t>LW</m:t>
                    </m:r>
                  </m:sup>
                </m:sSubSup>
              </m:oMath>
            </m:oMathPara>
          </w:p>
        </w:tc>
        <w:tc>
          <w:tcPr>
            <w:tcW w:w="1134" w:type="dxa"/>
            <w:tcBorders>
              <w:top w:val="nil"/>
              <w:bottom w:val="single" w:sz="4" w:space="0" w:color="auto"/>
            </w:tcBorders>
          </w:tcPr>
          <w:p w14:paraId="5B6ABC56" w14:textId="77777777" w:rsidR="007142B6" w:rsidRPr="00164B51" w:rsidRDefault="005A56B9" w:rsidP="005A56B9">
            <w:pPr>
              <w:ind w:left="28"/>
              <w:jc w:val="center"/>
              <w:rPr>
                <w:iCs/>
                <w:color w:val="000000"/>
                <w:sz w:val="20"/>
                <w:lang w:val="id-ID"/>
              </w:rPr>
            </w:pPr>
            <m:oMathPara>
              <m:oMath>
                <m:sSubSup>
                  <m:sSubSupPr>
                    <m:ctrlPr>
                      <w:rPr>
                        <w:rFonts w:ascii="Cambria Math" w:hAnsi="Cambria Math"/>
                        <w:i/>
                        <w:iCs/>
                        <w:color w:val="000000"/>
                        <w:sz w:val="20"/>
                        <w:lang w:val="id-ID"/>
                      </w:rPr>
                    </m:ctrlPr>
                  </m:sSubSupPr>
                  <m:e>
                    <m:r>
                      <w:rPr>
                        <w:rFonts w:ascii="Cambria Math" w:hAnsi="Cambria Math"/>
                        <w:color w:val="000000"/>
                        <w:sz w:val="20"/>
                        <w:lang w:val="id-ID"/>
                      </w:rPr>
                      <m:t>γ</m:t>
                    </m:r>
                  </m:e>
                  <m:sub>
                    <m:r>
                      <w:rPr>
                        <w:rFonts w:ascii="Cambria Math" w:hAnsi="Cambria Math"/>
                        <w:color w:val="000000"/>
                        <w:sz w:val="20"/>
                        <w:lang w:val="id-ID"/>
                      </w:rPr>
                      <m:t>l</m:t>
                    </m:r>
                  </m:sub>
                  <m:sup>
                    <m:r>
                      <w:rPr>
                        <w:rFonts w:ascii="Cambria Math" w:hAnsi="Cambria Math"/>
                        <w:color w:val="000000"/>
                        <w:sz w:val="20"/>
                        <w:lang w:val="id-ID"/>
                      </w:rPr>
                      <m:t>AB</m:t>
                    </m:r>
                  </m:sup>
                </m:sSubSup>
              </m:oMath>
            </m:oMathPara>
          </w:p>
        </w:tc>
        <w:tc>
          <w:tcPr>
            <w:tcW w:w="1134" w:type="dxa"/>
            <w:tcBorders>
              <w:top w:val="nil"/>
              <w:bottom w:val="single" w:sz="4" w:space="0" w:color="auto"/>
            </w:tcBorders>
          </w:tcPr>
          <w:p w14:paraId="28C807A9" w14:textId="77777777" w:rsidR="007142B6" w:rsidRPr="00164B51" w:rsidRDefault="005A56B9" w:rsidP="005A56B9">
            <w:pPr>
              <w:ind w:left="28"/>
              <w:jc w:val="center"/>
              <w:rPr>
                <w:iCs/>
                <w:color w:val="000000"/>
                <w:sz w:val="20"/>
                <w:lang w:val="id-ID"/>
              </w:rPr>
            </w:pPr>
            <m:oMathPara>
              <m:oMath>
                <m:sSubSup>
                  <m:sSubSupPr>
                    <m:ctrlPr>
                      <w:rPr>
                        <w:rFonts w:ascii="Cambria Math" w:hAnsi="Cambria Math"/>
                        <w:i/>
                        <w:iCs/>
                        <w:color w:val="000000"/>
                        <w:sz w:val="20"/>
                        <w:lang w:val="id-ID"/>
                      </w:rPr>
                    </m:ctrlPr>
                  </m:sSubSupPr>
                  <m:e>
                    <m:r>
                      <w:rPr>
                        <w:rFonts w:ascii="Cambria Math" w:hAnsi="Cambria Math"/>
                        <w:color w:val="000000"/>
                        <w:sz w:val="20"/>
                        <w:lang w:val="id-ID"/>
                      </w:rPr>
                      <m:t>γ</m:t>
                    </m:r>
                  </m:e>
                  <m:sub>
                    <m:r>
                      <w:rPr>
                        <w:rFonts w:ascii="Cambria Math" w:hAnsi="Cambria Math"/>
                        <w:color w:val="000000"/>
                        <w:sz w:val="20"/>
                        <w:lang w:val="id-ID"/>
                      </w:rPr>
                      <m:t>l</m:t>
                    </m:r>
                  </m:sub>
                  <m:sup>
                    <m:r>
                      <w:rPr>
                        <w:rFonts w:ascii="Cambria Math" w:hAnsi="Cambria Math"/>
                        <w:color w:val="000000"/>
                        <w:sz w:val="20"/>
                        <w:lang w:val="id-ID"/>
                      </w:rPr>
                      <m:t>+</m:t>
                    </m:r>
                  </m:sup>
                </m:sSubSup>
              </m:oMath>
            </m:oMathPara>
          </w:p>
        </w:tc>
        <w:tc>
          <w:tcPr>
            <w:tcW w:w="1134" w:type="dxa"/>
            <w:gridSpan w:val="2"/>
            <w:tcBorders>
              <w:top w:val="nil"/>
              <w:bottom w:val="single" w:sz="4" w:space="0" w:color="auto"/>
            </w:tcBorders>
          </w:tcPr>
          <w:p w14:paraId="1CDA9EC3" w14:textId="77777777" w:rsidR="007142B6" w:rsidRPr="00164B51" w:rsidRDefault="005A56B9" w:rsidP="005A56B9">
            <w:pPr>
              <w:ind w:left="28"/>
              <w:jc w:val="center"/>
              <w:rPr>
                <w:iCs/>
                <w:color w:val="000000"/>
                <w:sz w:val="20"/>
                <w:lang w:val="id-ID"/>
              </w:rPr>
            </w:pPr>
            <m:oMathPara>
              <m:oMath>
                <m:sSubSup>
                  <m:sSubSupPr>
                    <m:ctrlPr>
                      <w:rPr>
                        <w:rFonts w:ascii="Cambria Math" w:hAnsi="Cambria Math"/>
                        <w:i/>
                        <w:iCs/>
                        <w:color w:val="000000"/>
                        <w:sz w:val="20"/>
                        <w:lang w:val="id-ID"/>
                      </w:rPr>
                    </m:ctrlPr>
                  </m:sSubSupPr>
                  <m:e>
                    <m:r>
                      <w:rPr>
                        <w:rFonts w:ascii="Cambria Math" w:hAnsi="Cambria Math"/>
                        <w:color w:val="000000"/>
                        <w:sz w:val="20"/>
                        <w:lang w:val="id-ID"/>
                      </w:rPr>
                      <m:t>γ</m:t>
                    </m:r>
                  </m:e>
                  <m:sub>
                    <m:r>
                      <w:rPr>
                        <w:rFonts w:ascii="Cambria Math" w:hAnsi="Cambria Math"/>
                        <w:color w:val="000000"/>
                        <w:sz w:val="20"/>
                        <w:lang w:val="id-ID"/>
                      </w:rPr>
                      <m:t>l</m:t>
                    </m:r>
                  </m:sub>
                  <m:sup>
                    <m:r>
                      <w:rPr>
                        <w:rFonts w:ascii="Cambria Math" w:hAnsi="Cambria Math"/>
                        <w:color w:val="000000"/>
                        <w:sz w:val="20"/>
                        <w:lang w:val="id-ID"/>
                      </w:rPr>
                      <m:t>-</m:t>
                    </m:r>
                  </m:sup>
                </m:sSubSup>
              </m:oMath>
            </m:oMathPara>
          </w:p>
        </w:tc>
      </w:tr>
      <w:tr w:rsidR="007142B6" w:rsidRPr="00164B51" w14:paraId="14861D49" w14:textId="77777777" w:rsidTr="005A56B9">
        <w:trPr>
          <w:jc w:val="center"/>
        </w:trPr>
        <w:tc>
          <w:tcPr>
            <w:tcW w:w="2268" w:type="dxa"/>
            <w:tcBorders>
              <w:top w:val="single" w:sz="4" w:space="0" w:color="auto"/>
            </w:tcBorders>
            <w:vAlign w:val="bottom"/>
          </w:tcPr>
          <w:p w14:paraId="22D2DD29" w14:textId="77777777" w:rsidR="007142B6" w:rsidRPr="00164B51" w:rsidRDefault="007142B6" w:rsidP="005A56B9">
            <w:pPr>
              <w:ind w:right="11" w:firstLine="28"/>
              <w:jc w:val="center"/>
              <w:rPr>
                <w:b/>
                <w:iCs/>
                <w:color w:val="000000"/>
                <w:sz w:val="20"/>
                <w:lang w:val="id-ID"/>
              </w:rPr>
            </w:pPr>
            <w:r w:rsidRPr="00164B51">
              <w:rPr>
                <w:b/>
                <w:iCs/>
                <w:color w:val="000000"/>
                <w:sz w:val="20"/>
                <w:lang w:val="id-ID"/>
              </w:rPr>
              <w:t>Water</w:t>
            </w:r>
          </w:p>
        </w:tc>
        <w:tc>
          <w:tcPr>
            <w:tcW w:w="1134" w:type="dxa"/>
            <w:tcBorders>
              <w:top w:val="single" w:sz="4" w:space="0" w:color="auto"/>
            </w:tcBorders>
            <w:vAlign w:val="bottom"/>
          </w:tcPr>
          <w:p w14:paraId="0E7B2FD6" w14:textId="77777777" w:rsidR="007142B6" w:rsidRPr="00164B51" w:rsidRDefault="007142B6" w:rsidP="005A56B9">
            <w:pPr>
              <w:ind w:left="28"/>
              <w:jc w:val="center"/>
              <w:rPr>
                <w:iCs/>
                <w:color w:val="000000"/>
                <w:sz w:val="20"/>
                <w:lang w:val="id-ID"/>
              </w:rPr>
            </w:pPr>
            <w:r w:rsidRPr="00164B51">
              <w:rPr>
                <w:iCs/>
                <w:color w:val="000000"/>
                <w:sz w:val="20"/>
                <w:lang w:val="id-ID"/>
              </w:rPr>
              <w:t>72.8</w:t>
            </w:r>
          </w:p>
        </w:tc>
        <w:tc>
          <w:tcPr>
            <w:tcW w:w="1134" w:type="dxa"/>
            <w:tcBorders>
              <w:top w:val="single" w:sz="4" w:space="0" w:color="auto"/>
            </w:tcBorders>
            <w:vAlign w:val="bottom"/>
          </w:tcPr>
          <w:p w14:paraId="26E6D23A" w14:textId="77777777" w:rsidR="007142B6" w:rsidRPr="00164B51" w:rsidRDefault="007142B6" w:rsidP="005A56B9">
            <w:pPr>
              <w:ind w:firstLine="28"/>
              <w:jc w:val="center"/>
              <w:rPr>
                <w:iCs/>
                <w:color w:val="000000"/>
                <w:sz w:val="20"/>
                <w:lang w:val="id-ID"/>
              </w:rPr>
            </w:pPr>
            <w:r w:rsidRPr="00164B51">
              <w:rPr>
                <w:iCs/>
                <w:color w:val="000000"/>
                <w:sz w:val="20"/>
                <w:lang w:val="id-ID"/>
              </w:rPr>
              <w:t>21.8</w:t>
            </w:r>
          </w:p>
        </w:tc>
        <w:tc>
          <w:tcPr>
            <w:tcW w:w="1134" w:type="dxa"/>
            <w:tcBorders>
              <w:top w:val="single" w:sz="4" w:space="0" w:color="auto"/>
            </w:tcBorders>
            <w:vAlign w:val="bottom"/>
          </w:tcPr>
          <w:p w14:paraId="001BB85E" w14:textId="77777777" w:rsidR="007142B6" w:rsidRPr="00164B51" w:rsidRDefault="007142B6" w:rsidP="005A56B9">
            <w:pPr>
              <w:ind w:left="28"/>
              <w:jc w:val="center"/>
              <w:rPr>
                <w:iCs/>
                <w:color w:val="000000"/>
                <w:sz w:val="20"/>
                <w:lang w:val="id-ID"/>
              </w:rPr>
            </w:pPr>
            <w:r w:rsidRPr="00164B51">
              <w:rPr>
                <w:iCs/>
                <w:color w:val="000000"/>
                <w:sz w:val="20"/>
                <w:lang w:val="id-ID"/>
              </w:rPr>
              <w:t>51</w:t>
            </w:r>
          </w:p>
        </w:tc>
        <w:tc>
          <w:tcPr>
            <w:tcW w:w="1134" w:type="dxa"/>
            <w:tcBorders>
              <w:top w:val="single" w:sz="4" w:space="0" w:color="auto"/>
            </w:tcBorders>
          </w:tcPr>
          <w:p w14:paraId="427C9197" w14:textId="77777777" w:rsidR="007142B6" w:rsidRPr="00164B51" w:rsidRDefault="007142B6" w:rsidP="005A56B9">
            <w:pPr>
              <w:ind w:left="28"/>
              <w:jc w:val="center"/>
              <w:rPr>
                <w:iCs/>
                <w:color w:val="000000"/>
                <w:sz w:val="20"/>
                <w:lang w:val="id-ID"/>
              </w:rPr>
            </w:pPr>
            <w:r w:rsidRPr="00164B51">
              <w:rPr>
                <w:iCs/>
                <w:color w:val="000000"/>
                <w:sz w:val="20"/>
                <w:lang w:val="id-ID"/>
              </w:rPr>
              <w:t>25.5</w:t>
            </w:r>
          </w:p>
        </w:tc>
        <w:tc>
          <w:tcPr>
            <w:tcW w:w="1134" w:type="dxa"/>
            <w:gridSpan w:val="2"/>
            <w:tcBorders>
              <w:top w:val="single" w:sz="4" w:space="0" w:color="auto"/>
            </w:tcBorders>
          </w:tcPr>
          <w:p w14:paraId="3FEA2479" w14:textId="77777777" w:rsidR="007142B6" w:rsidRPr="00164B51" w:rsidRDefault="007142B6" w:rsidP="005A56B9">
            <w:pPr>
              <w:ind w:left="28"/>
              <w:jc w:val="center"/>
              <w:rPr>
                <w:iCs/>
                <w:color w:val="000000"/>
                <w:sz w:val="20"/>
                <w:lang w:val="id-ID"/>
              </w:rPr>
            </w:pPr>
            <w:r w:rsidRPr="00164B51">
              <w:rPr>
                <w:iCs/>
                <w:color w:val="000000"/>
                <w:sz w:val="20"/>
                <w:lang w:val="id-ID"/>
              </w:rPr>
              <w:t>25.5</w:t>
            </w:r>
          </w:p>
        </w:tc>
      </w:tr>
      <w:tr w:rsidR="007142B6" w:rsidRPr="00164B51" w14:paraId="4778BA8A" w14:textId="77777777" w:rsidTr="005A56B9">
        <w:trPr>
          <w:jc w:val="center"/>
        </w:trPr>
        <w:tc>
          <w:tcPr>
            <w:tcW w:w="2268" w:type="dxa"/>
            <w:tcBorders>
              <w:bottom w:val="nil"/>
            </w:tcBorders>
            <w:vAlign w:val="bottom"/>
          </w:tcPr>
          <w:p w14:paraId="781E3F80" w14:textId="77777777" w:rsidR="007142B6" w:rsidRPr="00164B51" w:rsidRDefault="007142B6" w:rsidP="005A56B9">
            <w:pPr>
              <w:ind w:right="11" w:firstLine="28"/>
              <w:jc w:val="center"/>
              <w:rPr>
                <w:b/>
                <w:iCs/>
                <w:color w:val="000000"/>
                <w:sz w:val="20"/>
                <w:lang w:val="id-ID"/>
              </w:rPr>
            </w:pPr>
            <w:r w:rsidRPr="00164B51">
              <w:rPr>
                <w:b/>
                <w:iCs/>
                <w:color w:val="000000"/>
                <w:sz w:val="20"/>
                <w:lang w:val="id-ID"/>
              </w:rPr>
              <w:t>Methanol</w:t>
            </w:r>
          </w:p>
        </w:tc>
        <w:tc>
          <w:tcPr>
            <w:tcW w:w="1134" w:type="dxa"/>
            <w:tcBorders>
              <w:bottom w:val="nil"/>
            </w:tcBorders>
            <w:vAlign w:val="bottom"/>
          </w:tcPr>
          <w:p w14:paraId="3B77045E" w14:textId="77777777" w:rsidR="007142B6" w:rsidRPr="00164B51" w:rsidRDefault="007142B6" w:rsidP="005A56B9">
            <w:pPr>
              <w:ind w:left="28"/>
              <w:jc w:val="center"/>
              <w:rPr>
                <w:iCs/>
                <w:color w:val="000000"/>
                <w:sz w:val="20"/>
                <w:lang w:val="id-ID"/>
              </w:rPr>
            </w:pPr>
            <w:r w:rsidRPr="00164B51">
              <w:rPr>
                <w:iCs/>
                <w:color w:val="000000"/>
                <w:sz w:val="20"/>
                <w:lang w:val="id-ID"/>
              </w:rPr>
              <w:t>22.5</w:t>
            </w:r>
          </w:p>
        </w:tc>
        <w:tc>
          <w:tcPr>
            <w:tcW w:w="1134" w:type="dxa"/>
            <w:tcBorders>
              <w:bottom w:val="nil"/>
            </w:tcBorders>
            <w:vAlign w:val="bottom"/>
          </w:tcPr>
          <w:p w14:paraId="5FEF4F28" w14:textId="77777777" w:rsidR="007142B6" w:rsidRPr="00164B51" w:rsidRDefault="007142B6" w:rsidP="005A56B9">
            <w:pPr>
              <w:ind w:firstLine="28"/>
              <w:jc w:val="center"/>
              <w:rPr>
                <w:iCs/>
                <w:color w:val="000000"/>
                <w:sz w:val="20"/>
                <w:lang w:val="id-ID"/>
              </w:rPr>
            </w:pPr>
            <w:r w:rsidRPr="00164B51">
              <w:rPr>
                <w:iCs/>
                <w:color w:val="000000"/>
                <w:sz w:val="20"/>
                <w:lang w:val="id-ID"/>
              </w:rPr>
              <w:t>18.2</w:t>
            </w:r>
          </w:p>
        </w:tc>
        <w:tc>
          <w:tcPr>
            <w:tcW w:w="1134" w:type="dxa"/>
            <w:tcBorders>
              <w:bottom w:val="nil"/>
            </w:tcBorders>
            <w:vAlign w:val="bottom"/>
          </w:tcPr>
          <w:p w14:paraId="7ABC9688" w14:textId="77777777" w:rsidR="007142B6" w:rsidRPr="00164B51" w:rsidRDefault="007142B6" w:rsidP="005A56B9">
            <w:pPr>
              <w:ind w:left="28"/>
              <w:jc w:val="center"/>
              <w:rPr>
                <w:iCs/>
                <w:color w:val="000000"/>
                <w:sz w:val="20"/>
                <w:lang w:val="id-ID"/>
              </w:rPr>
            </w:pPr>
            <w:r w:rsidRPr="00164B51">
              <w:rPr>
                <w:iCs/>
                <w:color w:val="000000"/>
                <w:sz w:val="20"/>
                <w:lang w:val="id-ID"/>
              </w:rPr>
              <w:t>4.3</w:t>
            </w:r>
          </w:p>
        </w:tc>
        <w:tc>
          <w:tcPr>
            <w:tcW w:w="1134" w:type="dxa"/>
            <w:tcBorders>
              <w:bottom w:val="nil"/>
            </w:tcBorders>
          </w:tcPr>
          <w:p w14:paraId="2FE7D9EA" w14:textId="77777777" w:rsidR="007142B6" w:rsidRPr="00164B51" w:rsidRDefault="007142B6" w:rsidP="005A56B9">
            <w:pPr>
              <w:ind w:left="28"/>
              <w:jc w:val="center"/>
              <w:rPr>
                <w:iCs/>
                <w:color w:val="000000"/>
                <w:sz w:val="20"/>
                <w:lang w:val="id-ID"/>
              </w:rPr>
            </w:pPr>
            <w:r w:rsidRPr="00164B51">
              <w:rPr>
                <w:iCs/>
                <w:color w:val="000000"/>
                <w:sz w:val="20"/>
                <w:lang w:val="id-ID"/>
              </w:rPr>
              <w:t>0.06</w:t>
            </w:r>
          </w:p>
        </w:tc>
        <w:tc>
          <w:tcPr>
            <w:tcW w:w="1134" w:type="dxa"/>
            <w:gridSpan w:val="2"/>
            <w:tcBorders>
              <w:bottom w:val="nil"/>
            </w:tcBorders>
          </w:tcPr>
          <w:p w14:paraId="6C9FBF3F" w14:textId="77777777" w:rsidR="007142B6" w:rsidRPr="00164B51" w:rsidRDefault="007142B6" w:rsidP="005A56B9">
            <w:pPr>
              <w:ind w:left="28"/>
              <w:jc w:val="center"/>
              <w:rPr>
                <w:iCs/>
                <w:color w:val="000000"/>
                <w:sz w:val="20"/>
                <w:lang w:val="id-ID"/>
              </w:rPr>
            </w:pPr>
            <w:r w:rsidRPr="00164B51">
              <w:rPr>
                <w:iCs/>
                <w:color w:val="000000"/>
                <w:sz w:val="20"/>
                <w:lang w:val="id-ID"/>
              </w:rPr>
              <w:t>77</w:t>
            </w:r>
          </w:p>
        </w:tc>
      </w:tr>
      <w:tr w:rsidR="007142B6" w:rsidRPr="00164B51" w14:paraId="33E94C4B" w14:textId="77777777" w:rsidTr="005A56B9">
        <w:trPr>
          <w:jc w:val="center"/>
        </w:trPr>
        <w:tc>
          <w:tcPr>
            <w:tcW w:w="2268" w:type="dxa"/>
            <w:tcBorders>
              <w:top w:val="nil"/>
              <w:bottom w:val="single" w:sz="4" w:space="0" w:color="auto"/>
            </w:tcBorders>
            <w:vAlign w:val="bottom"/>
          </w:tcPr>
          <w:p w14:paraId="7D991446" w14:textId="77777777" w:rsidR="007142B6" w:rsidRPr="00164B51" w:rsidRDefault="007142B6" w:rsidP="005A56B9">
            <w:pPr>
              <w:ind w:right="11" w:firstLine="28"/>
              <w:jc w:val="center"/>
              <w:rPr>
                <w:b/>
                <w:iCs/>
                <w:color w:val="000000"/>
                <w:sz w:val="20"/>
                <w:lang w:val="id-ID"/>
              </w:rPr>
            </w:pPr>
            <w:r w:rsidRPr="00164B51">
              <w:rPr>
                <w:b/>
                <w:iCs/>
                <w:color w:val="000000"/>
                <w:sz w:val="20"/>
                <w:lang w:val="id-ID"/>
              </w:rPr>
              <w:t>Hexane</w:t>
            </w:r>
          </w:p>
        </w:tc>
        <w:tc>
          <w:tcPr>
            <w:tcW w:w="1134" w:type="dxa"/>
            <w:tcBorders>
              <w:top w:val="nil"/>
              <w:bottom w:val="single" w:sz="4" w:space="0" w:color="auto"/>
            </w:tcBorders>
            <w:vAlign w:val="bottom"/>
          </w:tcPr>
          <w:p w14:paraId="74ABC0F4" w14:textId="77777777" w:rsidR="007142B6" w:rsidRPr="00164B51" w:rsidRDefault="007142B6" w:rsidP="005A56B9">
            <w:pPr>
              <w:ind w:left="28"/>
              <w:jc w:val="center"/>
              <w:rPr>
                <w:iCs/>
                <w:color w:val="000000"/>
                <w:sz w:val="20"/>
                <w:lang w:val="id-ID"/>
              </w:rPr>
            </w:pPr>
            <w:r w:rsidRPr="00164B51">
              <w:rPr>
                <w:iCs/>
                <w:color w:val="000000"/>
                <w:sz w:val="20"/>
                <w:lang w:val="id-ID"/>
              </w:rPr>
              <w:t>18.4</w:t>
            </w:r>
          </w:p>
        </w:tc>
        <w:tc>
          <w:tcPr>
            <w:tcW w:w="1134" w:type="dxa"/>
            <w:tcBorders>
              <w:top w:val="nil"/>
              <w:bottom w:val="single" w:sz="4" w:space="0" w:color="auto"/>
            </w:tcBorders>
            <w:vAlign w:val="bottom"/>
          </w:tcPr>
          <w:p w14:paraId="7C1656D5" w14:textId="77777777" w:rsidR="007142B6" w:rsidRPr="00164B51" w:rsidRDefault="007142B6" w:rsidP="005A56B9">
            <w:pPr>
              <w:ind w:firstLine="28"/>
              <w:jc w:val="center"/>
              <w:rPr>
                <w:iCs/>
                <w:color w:val="000000"/>
                <w:sz w:val="20"/>
                <w:lang w:val="id-ID"/>
              </w:rPr>
            </w:pPr>
            <w:r w:rsidRPr="00164B51">
              <w:rPr>
                <w:iCs/>
                <w:color w:val="000000"/>
                <w:sz w:val="20"/>
                <w:lang w:val="id-ID"/>
              </w:rPr>
              <w:t>18.4</w:t>
            </w:r>
          </w:p>
        </w:tc>
        <w:tc>
          <w:tcPr>
            <w:tcW w:w="1134" w:type="dxa"/>
            <w:tcBorders>
              <w:top w:val="nil"/>
              <w:bottom w:val="single" w:sz="4" w:space="0" w:color="auto"/>
            </w:tcBorders>
            <w:vAlign w:val="bottom"/>
          </w:tcPr>
          <w:p w14:paraId="000E35E0" w14:textId="77777777" w:rsidR="007142B6" w:rsidRPr="00164B51" w:rsidRDefault="007142B6" w:rsidP="005A56B9">
            <w:pPr>
              <w:ind w:left="28"/>
              <w:jc w:val="center"/>
              <w:rPr>
                <w:iCs/>
                <w:color w:val="000000"/>
                <w:sz w:val="20"/>
                <w:lang w:val="id-ID"/>
              </w:rPr>
            </w:pPr>
            <w:r w:rsidRPr="00164B51">
              <w:rPr>
                <w:iCs/>
                <w:color w:val="000000"/>
                <w:sz w:val="20"/>
                <w:lang w:val="id-ID"/>
              </w:rPr>
              <w:t>0</w:t>
            </w:r>
          </w:p>
        </w:tc>
        <w:tc>
          <w:tcPr>
            <w:tcW w:w="1134" w:type="dxa"/>
            <w:tcBorders>
              <w:top w:val="nil"/>
              <w:bottom w:val="single" w:sz="4" w:space="0" w:color="auto"/>
            </w:tcBorders>
          </w:tcPr>
          <w:p w14:paraId="3C3575AB" w14:textId="77777777" w:rsidR="007142B6" w:rsidRPr="00164B51" w:rsidRDefault="007142B6" w:rsidP="005A56B9">
            <w:pPr>
              <w:ind w:left="28"/>
              <w:jc w:val="center"/>
              <w:rPr>
                <w:iCs/>
                <w:color w:val="000000"/>
                <w:sz w:val="20"/>
                <w:lang w:val="id-ID"/>
              </w:rPr>
            </w:pPr>
            <w:r w:rsidRPr="00164B51">
              <w:rPr>
                <w:iCs/>
                <w:color w:val="000000"/>
                <w:sz w:val="20"/>
                <w:lang w:val="id-ID"/>
              </w:rPr>
              <w:t>0</w:t>
            </w:r>
          </w:p>
        </w:tc>
        <w:tc>
          <w:tcPr>
            <w:tcW w:w="1134" w:type="dxa"/>
            <w:gridSpan w:val="2"/>
            <w:tcBorders>
              <w:top w:val="nil"/>
              <w:bottom w:val="single" w:sz="4" w:space="0" w:color="auto"/>
            </w:tcBorders>
          </w:tcPr>
          <w:p w14:paraId="69EFE9CD" w14:textId="77777777" w:rsidR="007142B6" w:rsidRPr="00164B51" w:rsidRDefault="007142B6" w:rsidP="005A56B9">
            <w:pPr>
              <w:ind w:left="28"/>
              <w:jc w:val="center"/>
              <w:rPr>
                <w:iCs/>
                <w:color w:val="000000"/>
                <w:sz w:val="20"/>
                <w:lang w:val="id-ID"/>
              </w:rPr>
            </w:pPr>
            <w:r w:rsidRPr="00164B51">
              <w:rPr>
                <w:iCs/>
                <w:color w:val="000000"/>
                <w:sz w:val="20"/>
                <w:lang w:val="id-ID"/>
              </w:rPr>
              <w:t>0</w:t>
            </w:r>
          </w:p>
        </w:tc>
      </w:tr>
    </w:tbl>
    <w:p w14:paraId="5D40EB2D" w14:textId="31CDF7AD" w:rsidR="004860CC" w:rsidRDefault="004860CC" w:rsidP="00635501">
      <w:pPr>
        <w:jc w:val="both"/>
        <w:rPr>
          <w:rFonts w:ascii="Times New Roman" w:hAnsi="Times New Roman"/>
          <w:lang w:val="en-US"/>
        </w:rPr>
      </w:pPr>
    </w:p>
    <w:p w14:paraId="437F7FE5" w14:textId="43A9D2E2" w:rsidR="003C64CD" w:rsidRPr="00164B51" w:rsidRDefault="003C64CD" w:rsidP="003C64CD">
      <w:pPr>
        <w:pStyle w:val="Paragraph"/>
        <w:spacing w:after="0"/>
        <w:ind w:firstLine="284"/>
        <w:rPr>
          <w:szCs w:val="22"/>
          <w:lang w:val="id-ID"/>
        </w:rPr>
      </w:pPr>
      <w:r w:rsidRPr="003C64CD">
        <w:rPr>
          <w:szCs w:val="22"/>
        </w:rPr>
        <w:lastRenderedPageBreak/>
        <w:t>The relationship between a static contact angle an</w:t>
      </w:r>
      <w:r>
        <w:rPr>
          <w:szCs w:val="22"/>
        </w:rPr>
        <w:t xml:space="preserve">d </w:t>
      </w:r>
      <w:r w:rsidRPr="003C64CD">
        <w:rPr>
          <w:szCs w:val="22"/>
        </w:rPr>
        <w:t xml:space="preserve">the surface energy forces </w:t>
      </w:r>
      <w:r w:rsidRPr="00164B51">
        <w:rPr>
          <w:szCs w:val="22"/>
        </w:rPr>
        <w:t xml:space="preserve">is due to </w:t>
      </w:r>
      <w:r>
        <w:rPr>
          <w:szCs w:val="22"/>
        </w:rPr>
        <w:t xml:space="preserve">the </w:t>
      </w:r>
      <w:r w:rsidRPr="00164B51">
        <w:rPr>
          <w:szCs w:val="22"/>
        </w:rPr>
        <w:t>Young</w:t>
      </w:r>
      <w:r w:rsidRPr="00164B51">
        <w:rPr>
          <w:szCs w:val="22"/>
          <w:lang w:val="id-ID"/>
        </w:rPr>
        <w:t xml:space="preserve"> equation</w:t>
      </w:r>
      <w:r>
        <w:rPr>
          <w:szCs w:val="22"/>
        </w:rPr>
        <w:t xml:space="preserve"> </w:t>
      </w:r>
      <w:r>
        <w:rPr>
          <w:szCs w:val="22"/>
        </w:rPr>
        <w:fldChar w:fldCharType="begin" w:fldLock="1"/>
      </w:r>
      <w:r w:rsidR="004378BD">
        <w:rPr>
          <w:szCs w:val="22"/>
        </w:rPr>
        <w:instrText>ADDIN CSL_CITATION {"citationItems":[{"id":"ITEM-1","itemData":{"DOI":"10.5962/bhl.title.36978","author":[{"dropping-particle":"","family":"Young","given":"T","non-dropping-particle":"","parse-names":false,"suffix":""}],"container-title":"Philosophical Transactions of the Royal Society of London","id":"ITEM-1","issued":{"date-parts":[["1805"]]},"page":"65","title":"An Essay on the Cohesion of Fluids","type":"article-journal","volume":"95"},"uris":["http://www.mendeley.com/documents/?uuid=dedb7203-ec81-4d68-b7c6-e2fad08c0b2a"]}],"mendeley":{"formattedCitation":"[9]","plainTextFormattedCitation":"[9]","previouslyFormattedCitation":"[9]"},"properties":{"noteIndex":0},"schema":"https://github.com/citation-style-language/schema/raw/master/csl-citation.json"}</w:instrText>
      </w:r>
      <w:r>
        <w:rPr>
          <w:szCs w:val="22"/>
        </w:rPr>
        <w:fldChar w:fldCharType="separate"/>
      </w:r>
      <w:r w:rsidRPr="003C64CD">
        <w:rPr>
          <w:noProof/>
          <w:szCs w:val="22"/>
        </w:rPr>
        <w:t>[9]</w:t>
      </w:r>
      <w:r>
        <w:rPr>
          <w:szCs w:val="22"/>
        </w:rPr>
        <w:fldChar w:fldCharType="end"/>
      </w:r>
      <w:r w:rsidRPr="00164B51">
        <w:rPr>
          <w:szCs w:val="22"/>
        </w:rPr>
        <w:t>. It is given as</w:t>
      </w:r>
      <w:r w:rsidRPr="00164B51">
        <w:rPr>
          <w:szCs w:val="22"/>
          <w:lang w:val="id-ID"/>
        </w:rPr>
        <w:t>:</w:t>
      </w:r>
    </w:p>
    <w:p w14:paraId="0D5A5C1F" w14:textId="77777777" w:rsidR="003C64CD" w:rsidRPr="00164B51" w:rsidRDefault="003C64CD" w:rsidP="003C64CD">
      <w:pPr>
        <w:pStyle w:val="Paragraph"/>
        <w:tabs>
          <w:tab w:val="center" w:pos="4820"/>
          <w:tab w:val="right" w:pos="9071"/>
        </w:tabs>
        <w:spacing w:before="120"/>
      </w:pPr>
      <w:r w:rsidRPr="00164B51">
        <w:rPr>
          <w:bCs w:val="0"/>
          <w:szCs w:val="22"/>
          <w:lang w:val="id-ID"/>
        </w:rPr>
        <w:tab/>
      </w:r>
      <m:oMath>
        <m:sSub>
          <m:sSubPr>
            <m:ctrlPr>
              <w:rPr>
                <w:rFonts w:ascii="Cambria Math" w:eastAsia="AdvTimes" w:hAnsi="Cambria Math"/>
                <w:bCs w:val="0"/>
                <w:i/>
                <w:szCs w:val="22"/>
                <w:lang w:val="id-ID"/>
              </w:rPr>
            </m:ctrlPr>
          </m:sSubPr>
          <m:e>
            <m:r>
              <w:rPr>
                <w:rFonts w:ascii="Cambria Math" w:eastAsia="AdvTimes" w:hAnsi="Cambria Math"/>
                <w:szCs w:val="22"/>
              </w:rPr>
              <m:t>γ</m:t>
            </m:r>
          </m:e>
          <m:sub>
            <m:r>
              <w:rPr>
                <w:rFonts w:ascii="Cambria Math" w:eastAsia="AdvTimes" w:hAnsi="Cambria Math"/>
                <w:szCs w:val="22"/>
              </w:rPr>
              <m:t>l</m:t>
            </m:r>
          </m:sub>
        </m:sSub>
        <m:func>
          <m:funcPr>
            <m:ctrlPr>
              <w:rPr>
                <w:rFonts w:ascii="Cambria Math" w:eastAsia="AdvTimes" w:hAnsi="Cambria Math"/>
                <w:i/>
                <w:szCs w:val="22"/>
              </w:rPr>
            </m:ctrlPr>
          </m:funcPr>
          <m:fName>
            <m:r>
              <m:rPr>
                <m:sty m:val="p"/>
              </m:rPr>
              <w:rPr>
                <w:rFonts w:ascii="Cambria Math" w:eastAsia="AdvTimes" w:hAnsi="Cambria Math"/>
                <w:szCs w:val="22"/>
              </w:rPr>
              <m:t>cos</m:t>
            </m:r>
          </m:fName>
          <m:e>
            <m:r>
              <w:rPr>
                <w:rFonts w:ascii="Cambria Math" w:eastAsia="AdvTimes" w:hAnsi="Cambria Math"/>
                <w:szCs w:val="22"/>
              </w:rPr>
              <m:t>θ</m:t>
            </m:r>
          </m:e>
        </m:func>
        <m:r>
          <w:rPr>
            <w:rFonts w:ascii="Cambria Math" w:eastAsia="AdvTimes" w:hAnsi="Cambria Math"/>
            <w:szCs w:val="22"/>
          </w:rPr>
          <m:t>=</m:t>
        </m:r>
        <m:sSub>
          <m:sSubPr>
            <m:ctrlPr>
              <w:rPr>
                <w:rFonts w:ascii="Cambria Math" w:eastAsia="AdvTimes" w:hAnsi="Cambria Math"/>
                <w:bCs w:val="0"/>
                <w:i/>
                <w:szCs w:val="22"/>
                <w:lang w:val="id-ID"/>
              </w:rPr>
            </m:ctrlPr>
          </m:sSubPr>
          <m:e>
            <m:r>
              <w:rPr>
                <w:rFonts w:ascii="Cambria Math" w:eastAsia="AdvTimes" w:hAnsi="Cambria Math"/>
                <w:szCs w:val="22"/>
              </w:rPr>
              <m:t>γ</m:t>
            </m:r>
          </m:e>
          <m:sub>
            <m:r>
              <w:rPr>
                <w:rFonts w:ascii="Cambria Math" w:eastAsia="AdvTimes" w:hAnsi="Cambria Math"/>
                <w:szCs w:val="22"/>
              </w:rPr>
              <m:t>s</m:t>
            </m:r>
          </m:sub>
        </m:sSub>
        <m:r>
          <w:rPr>
            <w:rFonts w:ascii="Cambria Math" w:eastAsia="AdvTimes" w:hAnsi="Cambria Math"/>
            <w:szCs w:val="22"/>
          </w:rPr>
          <m:t>-</m:t>
        </m:r>
        <m:sSub>
          <m:sSubPr>
            <m:ctrlPr>
              <w:rPr>
                <w:rFonts w:ascii="Cambria Math" w:eastAsia="AdvTimes" w:hAnsi="Cambria Math"/>
                <w:bCs w:val="0"/>
                <w:i/>
                <w:szCs w:val="22"/>
                <w:lang w:val="id-ID"/>
              </w:rPr>
            </m:ctrlPr>
          </m:sSubPr>
          <m:e>
            <m:r>
              <w:rPr>
                <w:rFonts w:ascii="Cambria Math" w:eastAsia="AdvTimes" w:hAnsi="Cambria Math"/>
                <w:szCs w:val="22"/>
              </w:rPr>
              <m:t>γ</m:t>
            </m:r>
          </m:e>
          <m:sub>
            <m:r>
              <w:rPr>
                <w:rFonts w:ascii="Cambria Math" w:eastAsia="AdvTimes" w:hAnsi="Cambria Math"/>
                <w:szCs w:val="22"/>
              </w:rPr>
              <m:t>sl</m:t>
            </m:r>
          </m:sub>
        </m:sSub>
      </m:oMath>
      <w:r w:rsidRPr="00164B51">
        <w:rPr>
          <w:bCs w:val="0"/>
          <w:szCs w:val="22"/>
          <w:lang w:val="id-ID"/>
        </w:rPr>
        <w:tab/>
      </w:r>
      <w:r w:rsidRPr="00164B51">
        <w:t>(</w:t>
      </w:r>
      <w:r w:rsidRPr="00164B51">
        <w:rPr>
          <w:lang w:val="id-ID"/>
        </w:rPr>
        <w:t>1</w:t>
      </w:r>
      <w:r w:rsidRPr="00164B51">
        <w:t>)</w:t>
      </w:r>
    </w:p>
    <w:p w14:paraId="40F92969" w14:textId="77777777" w:rsidR="003C64CD" w:rsidRDefault="003C64CD" w:rsidP="003C64CD">
      <w:pPr>
        <w:pStyle w:val="Paragraph"/>
        <w:spacing w:before="240"/>
        <w:rPr>
          <w:szCs w:val="22"/>
        </w:rPr>
      </w:pPr>
      <w:r w:rsidRPr="00164B51">
        <w:rPr>
          <w:szCs w:val="22"/>
          <w:lang w:val="id-ID"/>
        </w:rPr>
        <w:t xml:space="preserve">where </w:t>
      </w:r>
      <m:oMath>
        <m:sSub>
          <m:sSubPr>
            <m:ctrlPr>
              <w:rPr>
                <w:rFonts w:ascii="Cambria Math" w:eastAsia="AdvTimes" w:hAnsi="Cambria Math"/>
                <w:bCs w:val="0"/>
                <w:i/>
                <w:szCs w:val="22"/>
                <w:lang w:val="id-ID"/>
              </w:rPr>
            </m:ctrlPr>
          </m:sSubPr>
          <m:e>
            <m:r>
              <w:rPr>
                <w:rFonts w:ascii="Cambria Math" w:eastAsia="AdvTimes" w:hAnsi="Cambria Math"/>
                <w:szCs w:val="22"/>
              </w:rPr>
              <m:t>γ</m:t>
            </m:r>
          </m:e>
          <m:sub>
            <m:r>
              <w:rPr>
                <w:rFonts w:ascii="Cambria Math" w:eastAsia="AdvTimes" w:hAnsi="Cambria Math"/>
                <w:szCs w:val="22"/>
              </w:rPr>
              <m:t>l</m:t>
            </m:r>
          </m:sub>
        </m:sSub>
      </m:oMath>
      <w:r w:rsidRPr="00164B51">
        <w:rPr>
          <w:bCs w:val="0"/>
          <w:szCs w:val="22"/>
          <w:lang w:val="id-ID"/>
        </w:rPr>
        <w:t xml:space="preserve"> </w:t>
      </w:r>
      <w:proofErr w:type="gramStart"/>
      <w:r>
        <w:rPr>
          <w:bCs w:val="0"/>
          <w:szCs w:val="22"/>
        </w:rPr>
        <w:t>and</w:t>
      </w:r>
      <w:proofErr w:type="gramEnd"/>
      <w:r>
        <w:rPr>
          <w:bCs w:val="0"/>
          <w:szCs w:val="22"/>
        </w:rPr>
        <w:t xml:space="preserve"> </w:t>
      </w:r>
      <m:oMath>
        <m:sSub>
          <m:sSubPr>
            <m:ctrlPr>
              <w:rPr>
                <w:rFonts w:ascii="Cambria Math" w:eastAsiaTheme="minorHAnsi" w:hAnsi="Cambria Math"/>
                <w:bCs w:val="0"/>
                <w:i/>
                <w:szCs w:val="22"/>
                <w:lang w:val="id-ID"/>
              </w:rPr>
            </m:ctrlPr>
          </m:sSubPr>
          <m:e>
            <m:r>
              <w:rPr>
                <w:rFonts w:ascii="Cambria Math" w:hAnsi="Cambria Math"/>
                <w:szCs w:val="22"/>
              </w:rPr>
              <m:t>γ</m:t>
            </m:r>
          </m:e>
          <m:sub>
            <m:r>
              <w:rPr>
                <w:rFonts w:ascii="Cambria Math" w:hAnsi="Cambria Math"/>
                <w:szCs w:val="22"/>
              </w:rPr>
              <m:t>s</m:t>
            </m:r>
          </m:sub>
        </m:sSub>
      </m:oMath>
      <w:r>
        <w:rPr>
          <w:bCs w:val="0"/>
          <w:szCs w:val="22"/>
        </w:rPr>
        <w:t xml:space="preserve"> </w:t>
      </w:r>
      <w:r w:rsidRPr="00164B51">
        <w:rPr>
          <w:bCs w:val="0"/>
          <w:szCs w:val="22"/>
          <w:lang w:val="id-ID"/>
        </w:rPr>
        <w:t xml:space="preserve">denotes SFE of liquid </w:t>
      </w:r>
      <w:r>
        <w:rPr>
          <w:bCs w:val="0"/>
          <w:szCs w:val="22"/>
        </w:rPr>
        <w:t xml:space="preserve">and solid, respectively. </w:t>
      </w:r>
      <m:oMath>
        <m:sSub>
          <m:sSubPr>
            <m:ctrlPr>
              <w:rPr>
                <w:rFonts w:ascii="Cambria Math" w:eastAsia="AdvTimes" w:hAnsi="Cambria Math"/>
                <w:bCs w:val="0"/>
                <w:i/>
                <w:szCs w:val="22"/>
                <w:lang w:val="id-ID"/>
              </w:rPr>
            </m:ctrlPr>
          </m:sSubPr>
          <m:e>
            <m:r>
              <w:rPr>
                <w:rFonts w:ascii="Cambria Math" w:eastAsia="AdvTimes" w:hAnsi="Cambria Math"/>
                <w:szCs w:val="22"/>
              </w:rPr>
              <m:t>γ</m:t>
            </m:r>
          </m:e>
          <m:sub>
            <m:r>
              <w:rPr>
                <w:rFonts w:ascii="Cambria Math" w:eastAsia="AdvTimes" w:hAnsi="Cambria Math"/>
                <w:szCs w:val="22"/>
              </w:rPr>
              <m:t>sl</m:t>
            </m:r>
          </m:sub>
        </m:sSub>
      </m:oMath>
      <w:r w:rsidRPr="00164B51">
        <w:rPr>
          <w:bCs w:val="0"/>
          <w:szCs w:val="22"/>
          <w:lang w:val="id-ID"/>
        </w:rPr>
        <w:t xml:space="preserve"> means </w:t>
      </w:r>
      <w:r w:rsidRPr="00164B51">
        <w:rPr>
          <w:szCs w:val="22"/>
        </w:rPr>
        <w:t xml:space="preserve">the interfacial free energy between the solid and </w:t>
      </w:r>
      <m:oMath>
        <m:r>
          <w:rPr>
            <w:rFonts w:ascii="Cambria Math" w:eastAsia="AdvTimes" w:hAnsi="Cambria Math"/>
            <w:szCs w:val="22"/>
          </w:rPr>
          <m:t>θ</m:t>
        </m:r>
      </m:oMath>
      <w:r w:rsidRPr="00164B51">
        <w:rPr>
          <w:szCs w:val="22"/>
          <w:lang w:val="id-ID"/>
        </w:rPr>
        <w:t xml:space="preserve"> </w:t>
      </w:r>
      <w:r>
        <w:rPr>
          <w:szCs w:val="22"/>
        </w:rPr>
        <w:t>is the contact angle.</w:t>
      </w:r>
    </w:p>
    <w:p w14:paraId="2518065F" w14:textId="58CB82A3" w:rsidR="00DF0A72" w:rsidRDefault="00DF0A72" w:rsidP="00DF0A72">
      <w:pPr>
        <w:pStyle w:val="Paragraph"/>
        <w:spacing w:after="0"/>
        <w:jc w:val="center"/>
      </w:pPr>
      <w:r>
        <w:rPr>
          <w:noProof/>
          <w:lang w:val="id-ID" w:eastAsia="id-ID"/>
        </w:rPr>
        <w:drawing>
          <wp:inline distT="0" distB="0" distL="0" distR="0" wp14:anchorId="3D807E77" wp14:editId="6350C467">
            <wp:extent cx="2298920" cy="12041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7392" cy="1208634"/>
                    </a:xfrm>
                    <a:prstGeom prst="rect">
                      <a:avLst/>
                    </a:prstGeom>
                  </pic:spPr>
                </pic:pic>
              </a:graphicData>
            </a:graphic>
          </wp:inline>
        </w:drawing>
      </w:r>
    </w:p>
    <w:p w14:paraId="125F8E65" w14:textId="35C9712E" w:rsidR="00EF3D32" w:rsidRDefault="00EF3D32" w:rsidP="00DF0A72">
      <w:pPr>
        <w:pStyle w:val="Paragraph"/>
        <w:spacing w:after="0"/>
        <w:jc w:val="center"/>
      </w:pPr>
      <w:r w:rsidRPr="00CE57CF">
        <w:rPr>
          <w:b/>
        </w:rPr>
        <w:t xml:space="preserve">Figure </w:t>
      </w:r>
      <w:r w:rsidR="00385D19">
        <w:rPr>
          <w:b/>
        </w:rPr>
        <w:t>3</w:t>
      </w:r>
      <w:r w:rsidRPr="00CE57CF">
        <w:rPr>
          <w:b/>
        </w:rPr>
        <w:t xml:space="preserve">. </w:t>
      </w:r>
      <w:r w:rsidRPr="00EF3D32">
        <w:t>Contact angle of a liquid on a solid surface</w:t>
      </w:r>
    </w:p>
    <w:p w14:paraId="4D639AAE" w14:textId="77777777" w:rsidR="00DF0A72" w:rsidRDefault="00DF0A72" w:rsidP="003C64CD">
      <w:pPr>
        <w:pStyle w:val="Paragraph"/>
        <w:spacing w:after="0"/>
        <w:ind w:firstLine="284"/>
      </w:pPr>
    </w:p>
    <w:p w14:paraId="67F0F275" w14:textId="25B93644" w:rsidR="003C64CD" w:rsidRDefault="003C64CD" w:rsidP="003C64CD">
      <w:pPr>
        <w:pStyle w:val="Paragraph"/>
        <w:spacing w:after="0"/>
        <w:ind w:firstLine="284"/>
      </w:pPr>
      <w:r>
        <w:t xml:space="preserve">According to </w:t>
      </w:r>
      <w:proofErr w:type="spellStart"/>
      <w:r w:rsidRPr="007142B6">
        <w:t>Girifalco</w:t>
      </w:r>
      <w:proofErr w:type="spellEnd"/>
      <w:r w:rsidRPr="007142B6">
        <w:t>-Good-</w:t>
      </w:r>
      <w:proofErr w:type="spellStart"/>
      <w:r w:rsidRPr="007142B6">
        <w:t>Fowkes</w:t>
      </w:r>
      <w:proofErr w:type="spellEnd"/>
      <w:r w:rsidRPr="007142B6">
        <w:t>-Young</w:t>
      </w:r>
      <w:r>
        <w:t xml:space="preserve"> method, t</w:t>
      </w:r>
      <w:r w:rsidRPr="003C64CD">
        <w:t>he surface energy was calculated</w:t>
      </w:r>
      <w:r>
        <w:t xml:space="preserve"> by presented equation</w:t>
      </w:r>
      <w:r w:rsidR="00972313">
        <w:t xml:space="preserve"> </w:t>
      </w:r>
      <w:r w:rsidR="004378BD">
        <w:fldChar w:fldCharType="begin" w:fldLock="1"/>
      </w:r>
      <w:r w:rsidR="00025262">
        <w:instrText>ADDIN CSL_CITATION {"citationItems":[{"id":"ITEM-1","itemData":{"ISBN":"0-8412-0044-0, 0-8412-2212-6","ISSN":"0022-3654","abstract":"A theory is proposed by which the surface free energy of certain solids can be estimated from the contact angles of liquids on them. The method is verified using contact angle and surface tension data from the literature, for benzene and 0- methylnaphthalene on liquid and solid fractions of a fluorinated lubricating oil. The method is then applied to data on the contact angles of various liquids on Teflon and on an octadeeylamine monolayer. The surface temions of these sollds are estimated to be, respectively, about 28 and 30 ergs/cm.2 A theoretical basis is given for the method of Fox and Zisman, of plotting the cosine of the contact angle 8 us. the surface tension of the liquid, to obtain the “critical surface tenbioii” (at which 0 == 0) which gives an approximation to the surface tension of the solid.","author":[{"dropping-particle":"","family":"Good","given":"R. J.","non-dropping-particle":"","parse-names":false,"suffix":""},{"dropping-particle":"","family":"Girifalco","given":"L. a.","non-dropping-particle":"","parse-names":false,"suffix":""}],"container-title":"J. Phys. Chem.","id":"ITEM-1","issue":"13","issued":{"date-parts":[["1960"]]},"page":"561-565","title":"A theory for estimation of surface and interfacial energies.","type":"article-journal","volume":"24"},"uris":["http://www.mendeley.com/documents/?uuid=2f0f9e49-42c9-42a1-a128-5dfe59b05eed"]},{"id":"ITEM-2","itemData":{"DOI":"10.1109/CHICC.2008.4605198","ISBN":"9787900719706","abstract":"The limitation of Mean Shift algorithm under crossing occlusion is analyzed. To solve this problem, a new tracking algorithm using Mean Shift with RBF neural network is proposed. According to the formal information about the object's location, the iteration start position is found with RBF neural network. And the object's real center is calculated by Mean Shift algorithm. Experimental results show that the proposal algorithm is stable to solve the crossing occlusion problem, and the iteration number is reduced.","author":[{"dropping-particle":"","family":"Fowkes","given":"Frederick M","non-dropping-particle":"","parse-names":false,"suffix":""}],"container-title":"INDUSTRIAL AND ENGINEERING CHEMISTRY","id":"ITEM-2","issued":{"date-parts":[["1964"]]},"page":"40","title":"Attractive Forces at Interfaces","type":"article-journal","volume":"56"},"uris":["http://www.mendeley.com/documents/?uuid=1910227b-a98d-4bd5-925a-1586d5e2e28e"]}],"mendeley":{"formattedCitation":"[10,11]","plainTextFormattedCitation":"[10,11]","previouslyFormattedCitation":"[10,11]"},"properties":{"noteIndex":0},"schema":"https://github.com/citation-style-language/schema/raw/master/csl-citation.json"}</w:instrText>
      </w:r>
      <w:r w:rsidR="004378BD">
        <w:fldChar w:fldCharType="separate"/>
      </w:r>
      <w:r w:rsidR="004378BD" w:rsidRPr="004378BD">
        <w:rPr>
          <w:noProof/>
        </w:rPr>
        <w:t>[10,11]</w:t>
      </w:r>
      <w:r w:rsidR="004378BD">
        <w:fldChar w:fldCharType="end"/>
      </w:r>
      <w:r>
        <w:t>:</w:t>
      </w:r>
    </w:p>
    <w:p w14:paraId="1C126F40" w14:textId="3CEC2962" w:rsidR="003C64CD" w:rsidRPr="00164B51" w:rsidRDefault="003C64CD" w:rsidP="003C64CD">
      <w:pPr>
        <w:pStyle w:val="Paragraph"/>
        <w:tabs>
          <w:tab w:val="center" w:pos="4820"/>
          <w:tab w:val="right" w:pos="9071"/>
        </w:tabs>
        <w:rPr>
          <w:bCs w:val="0"/>
          <w:szCs w:val="22"/>
          <w:lang w:val="id-ID"/>
        </w:rPr>
      </w:pPr>
      <w:r w:rsidRPr="00164B51">
        <w:rPr>
          <w:szCs w:val="22"/>
          <w:lang w:val="id-ID"/>
        </w:rPr>
        <w:tab/>
      </w:r>
      <m:oMath>
        <m:func>
          <m:funcPr>
            <m:ctrlPr>
              <w:rPr>
                <w:rFonts w:ascii="Cambria Math" w:hAnsi="Cambria Math"/>
                <w:i/>
                <w:szCs w:val="22"/>
              </w:rPr>
            </m:ctrlPr>
          </m:funcPr>
          <m:fName>
            <m:r>
              <m:rPr>
                <m:sty m:val="p"/>
              </m:rPr>
              <w:rPr>
                <w:rFonts w:ascii="Cambria Math" w:hAnsi="Cambria Math"/>
                <w:szCs w:val="22"/>
              </w:rPr>
              <m:t>cos</m:t>
            </m:r>
          </m:fName>
          <m:e>
            <m:r>
              <w:rPr>
                <w:rFonts w:ascii="Cambria Math" w:hAnsi="Cambria Math"/>
                <w:szCs w:val="22"/>
              </w:rPr>
              <m:t>θ</m:t>
            </m:r>
          </m:e>
        </m:func>
        <m:r>
          <w:rPr>
            <w:rFonts w:ascii="Cambria Math" w:hAnsi="Cambria Math"/>
            <w:szCs w:val="22"/>
          </w:rPr>
          <m:t>=-1+</m:t>
        </m:r>
        <m:f>
          <m:fPr>
            <m:type m:val="skw"/>
            <m:ctrlPr>
              <w:rPr>
                <w:rFonts w:ascii="Cambria Math" w:eastAsiaTheme="minorHAnsi" w:hAnsi="Cambria Math"/>
                <w:bCs w:val="0"/>
                <w:i/>
                <w:szCs w:val="22"/>
                <w:lang w:val="id-ID"/>
              </w:rPr>
            </m:ctrlPr>
          </m:fPr>
          <m:num>
            <m:r>
              <w:rPr>
                <w:rFonts w:ascii="Cambria Math" w:hAnsi="Cambria Math"/>
                <w:szCs w:val="22"/>
              </w:rPr>
              <m:t>2</m:t>
            </m:r>
            <m:sSup>
              <m:sSupPr>
                <m:ctrlPr>
                  <w:rPr>
                    <w:rFonts w:ascii="Cambria Math" w:eastAsiaTheme="minorHAnsi" w:hAnsi="Cambria Math"/>
                    <w:bCs w:val="0"/>
                    <w:i/>
                    <w:szCs w:val="22"/>
                    <w:lang w:val="id-ID"/>
                  </w:rPr>
                </m:ctrlPr>
              </m:sSupPr>
              <m:e>
                <m:d>
                  <m:dPr>
                    <m:ctrlPr>
                      <w:rPr>
                        <w:rFonts w:ascii="Cambria Math" w:eastAsiaTheme="minorHAnsi" w:hAnsi="Cambria Math"/>
                        <w:bCs w:val="0"/>
                        <w:i/>
                        <w:szCs w:val="22"/>
                        <w:lang w:val="id-ID"/>
                      </w:rPr>
                    </m:ctrlPr>
                  </m:dPr>
                  <m:e>
                    <m:sSubSup>
                      <m:sSubSupPr>
                        <m:ctrlPr>
                          <w:rPr>
                            <w:rFonts w:ascii="Cambria Math" w:eastAsiaTheme="minorEastAsia" w:hAnsi="Cambria Math"/>
                            <w:bCs w:val="0"/>
                            <w:i/>
                            <w:szCs w:val="22"/>
                            <w:lang w:val="id-ID"/>
                          </w:rPr>
                        </m:ctrlPr>
                      </m:sSubSupPr>
                      <m:e>
                        <m:r>
                          <w:rPr>
                            <w:rFonts w:ascii="Cambria Math" w:eastAsiaTheme="minorEastAsia" w:hAnsi="Cambria Math"/>
                            <w:szCs w:val="22"/>
                          </w:rPr>
                          <m:t>γ</m:t>
                        </m:r>
                      </m:e>
                      <m:sub>
                        <m:r>
                          <w:rPr>
                            <w:rFonts w:ascii="Cambria Math" w:eastAsiaTheme="minorEastAsia" w:hAnsi="Cambria Math"/>
                            <w:szCs w:val="22"/>
                          </w:rPr>
                          <m:t>s</m:t>
                        </m:r>
                      </m:sub>
                      <m:sup>
                        <m:r>
                          <w:rPr>
                            <w:rFonts w:ascii="Cambria Math" w:eastAsiaTheme="minorEastAsia" w:hAnsi="Cambria Math"/>
                            <w:szCs w:val="22"/>
                          </w:rPr>
                          <m:t>d</m:t>
                        </m:r>
                      </m:sup>
                    </m:sSubSup>
                    <m:sSubSup>
                      <m:sSubSupPr>
                        <m:ctrlPr>
                          <w:rPr>
                            <w:rFonts w:ascii="Cambria Math" w:eastAsiaTheme="minorEastAsia" w:hAnsi="Cambria Math"/>
                            <w:bCs w:val="0"/>
                            <w:i/>
                            <w:szCs w:val="22"/>
                            <w:lang w:val="id-ID"/>
                          </w:rPr>
                        </m:ctrlPr>
                      </m:sSubSupPr>
                      <m:e>
                        <m:r>
                          <w:rPr>
                            <w:rFonts w:ascii="Cambria Math" w:eastAsiaTheme="minorEastAsia" w:hAnsi="Cambria Math"/>
                            <w:szCs w:val="22"/>
                          </w:rPr>
                          <m:t>γ</m:t>
                        </m:r>
                      </m:e>
                      <m:sub>
                        <m:r>
                          <w:rPr>
                            <w:rFonts w:ascii="Cambria Math" w:eastAsiaTheme="minorEastAsia" w:hAnsi="Cambria Math"/>
                            <w:szCs w:val="22"/>
                          </w:rPr>
                          <m:t>l</m:t>
                        </m:r>
                      </m:sub>
                      <m:sup>
                        <m:r>
                          <w:rPr>
                            <w:rFonts w:ascii="Cambria Math" w:eastAsiaTheme="minorEastAsia" w:hAnsi="Cambria Math"/>
                            <w:szCs w:val="22"/>
                          </w:rPr>
                          <m:t>d</m:t>
                        </m:r>
                      </m:sup>
                    </m:sSubSup>
                  </m:e>
                </m:d>
              </m:e>
              <m:sup>
                <m:r>
                  <w:rPr>
                    <w:rFonts w:ascii="Cambria Math" w:hAnsi="Cambria Math"/>
                    <w:szCs w:val="22"/>
                  </w:rPr>
                  <m:t>1/2</m:t>
                </m:r>
              </m:sup>
            </m:sSup>
          </m:num>
          <m:den>
            <m:sSub>
              <m:sSubPr>
                <m:ctrlPr>
                  <w:rPr>
                    <w:rFonts w:ascii="Cambria Math" w:eastAsiaTheme="minorHAnsi" w:hAnsi="Cambria Math"/>
                    <w:bCs w:val="0"/>
                    <w:i/>
                    <w:szCs w:val="22"/>
                    <w:lang w:val="id-ID"/>
                  </w:rPr>
                </m:ctrlPr>
              </m:sSubPr>
              <m:e>
                <m:r>
                  <w:rPr>
                    <w:rFonts w:ascii="Cambria Math" w:hAnsi="Cambria Math"/>
                    <w:szCs w:val="22"/>
                  </w:rPr>
                  <m:t>γ</m:t>
                </m:r>
              </m:e>
              <m:sub>
                <m:r>
                  <w:rPr>
                    <w:rFonts w:ascii="Cambria Math" w:hAnsi="Cambria Math"/>
                    <w:szCs w:val="22"/>
                  </w:rPr>
                  <m:t>l</m:t>
                </m:r>
              </m:sub>
            </m:sSub>
          </m:den>
        </m:f>
      </m:oMath>
      <w:r w:rsidRPr="00164B51">
        <w:rPr>
          <w:bCs w:val="0"/>
          <w:szCs w:val="22"/>
          <w:lang w:val="id-ID"/>
        </w:rPr>
        <w:tab/>
        <w:t>(</w:t>
      </w:r>
      <w:r>
        <w:rPr>
          <w:bCs w:val="0"/>
          <w:szCs w:val="22"/>
        </w:rPr>
        <w:t>2</w:t>
      </w:r>
      <w:r w:rsidRPr="00164B51">
        <w:rPr>
          <w:bCs w:val="0"/>
          <w:szCs w:val="22"/>
          <w:lang w:val="id-ID"/>
        </w:rPr>
        <w:t>)</w:t>
      </w:r>
    </w:p>
    <w:p w14:paraId="3CFBA2F9" w14:textId="0682AA07" w:rsidR="00025262" w:rsidRDefault="003C64CD" w:rsidP="007021DC">
      <w:pPr>
        <w:pStyle w:val="Paragraph"/>
        <w:spacing w:after="0"/>
        <w:rPr>
          <w:rFonts w:eastAsia="AdvTimes"/>
          <w:szCs w:val="22"/>
          <w:lang w:eastAsia="zh-CN"/>
        </w:rPr>
      </w:pPr>
      <w:proofErr w:type="gramStart"/>
      <w:r w:rsidRPr="00164B51">
        <w:rPr>
          <w:szCs w:val="22"/>
        </w:rPr>
        <w:t>where</w:t>
      </w:r>
      <w:proofErr w:type="gramEnd"/>
      <w:r w:rsidRPr="00164B51">
        <w:rPr>
          <w:szCs w:val="22"/>
        </w:rPr>
        <w:t xml:space="preserve"> </w:t>
      </w:r>
      <m:oMath>
        <m:sSub>
          <m:sSubPr>
            <m:ctrlPr>
              <w:rPr>
                <w:rFonts w:ascii="Cambria Math" w:eastAsiaTheme="minorHAnsi" w:hAnsi="Cambria Math"/>
                <w:bCs w:val="0"/>
                <w:i/>
                <w:szCs w:val="22"/>
                <w:lang w:val="id-ID"/>
              </w:rPr>
            </m:ctrlPr>
          </m:sSubPr>
          <m:e>
            <m:r>
              <w:rPr>
                <w:rFonts w:ascii="Cambria Math" w:hAnsi="Cambria Math"/>
                <w:szCs w:val="22"/>
              </w:rPr>
              <m:t>γ</m:t>
            </m:r>
          </m:e>
          <m:sub>
            <m:r>
              <w:rPr>
                <w:rFonts w:ascii="Cambria Math" w:hAnsi="Cambria Math"/>
                <w:szCs w:val="22"/>
              </w:rPr>
              <m:t>l</m:t>
            </m:r>
          </m:sub>
        </m:sSub>
        <m:r>
          <w:rPr>
            <w:rFonts w:ascii="Cambria Math" w:eastAsiaTheme="minorHAnsi" w:hAnsi="Cambria Math"/>
            <w:szCs w:val="22"/>
            <w:lang w:val="id-ID"/>
          </w:rPr>
          <m:t>=</m:t>
        </m:r>
        <m:sSubSup>
          <m:sSubSupPr>
            <m:ctrlPr>
              <w:rPr>
                <w:rFonts w:ascii="Cambria Math" w:eastAsiaTheme="minorEastAsia" w:hAnsi="Cambria Math"/>
                <w:bCs w:val="0"/>
                <w:i/>
                <w:szCs w:val="22"/>
                <w:lang w:val="id-ID"/>
              </w:rPr>
            </m:ctrlPr>
          </m:sSubSupPr>
          <m:e>
            <m:r>
              <w:rPr>
                <w:rFonts w:ascii="Cambria Math" w:eastAsiaTheme="minorEastAsia" w:hAnsi="Cambria Math"/>
                <w:szCs w:val="22"/>
              </w:rPr>
              <m:t>γ</m:t>
            </m:r>
          </m:e>
          <m:sub>
            <m:r>
              <w:rPr>
                <w:rFonts w:ascii="Cambria Math" w:eastAsiaTheme="minorEastAsia" w:hAnsi="Cambria Math"/>
                <w:szCs w:val="22"/>
              </w:rPr>
              <m:t>l</m:t>
            </m:r>
          </m:sub>
          <m:sup>
            <m:r>
              <w:rPr>
                <w:rFonts w:ascii="Cambria Math" w:eastAsiaTheme="minorEastAsia" w:hAnsi="Cambria Math"/>
                <w:szCs w:val="22"/>
              </w:rPr>
              <m:t>d</m:t>
            </m:r>
          </m:sup>
        </m:sSubSup>
        <m:r>
          <w:rPr>
            <w:rFonts w:ascii="Cambria Math" w:eastAsiaTheme="minorEastAsia" w:hAnsi="Cambria Math"/>
            <w:szCs w:val="22"/>
            <w:lang w:val="id-ID"/>
          </w:rPr>
          <m:t>+</m:t>
        </m:r>
        <m:sSubSup>
          <m:sSubSupPr>
            <m:ctrlPr>
              <w:rPr>
                <w:rFonts w:ascii="Cambria Math" w:eastAsiaTheme="minorEastAsia" w:hAnsi="Cambria Math"/>
                <w:bCs w:val="0"/>
                <w:i/>
                <w:szCs w:val="22"/>
                <w:lang w:val="id-ID"/>
              </w:rPr>
            </m:ctrlPr>
          </m:sSubSupPr>
          <m:e>
            <m:r>
              <w:rPr>
                <w:rFonts w:ascii="Cambria Math" w:eastAsiaTheme="minorEastAsia" w:hAnsi="Cambria Math"/>
                <w:szCs w:val="22"/>
              </w:rPr>
              <m:t>γ</m:t>
            </m:r>
          </m:e>
          <m:sub>
            <m:r>
              <w:rPr>
                <w:rFonts w:ascii="Cambria Math" w:eastAsiaTheme="minorEastAsia" w:hAnsi="Cambria Math"/>
                <w:szCs w:val="22"/>
              </w:rPr>
              <m:t>l</m:t>
            </m:r>
          </m:sub>
          <m:sup>
            <m:r>
              <w:rPr>
                <w:rFonts w:ascii="Cambria Math" w:eastAsiaTheme="minorEastAsia" w:hAnsi="Cambria Math"/>
                <w:szCs w:val="22"/>
              </w:rPr>
              <m:t>p</m:t>
            </m:r>
          </m:sup>
        </m:sSubSup>
      </m:oMath>
      <w:r w:rsidRPr="00164B51">
        <w:rPr>
          <w:szCs w:val="22"/>
        </w:rPr>
        <w:t xml:space="preserve"> represents the combined contributions of the dispersion and polar components of the aqueous phase and </w:t>
      </w:r>
      <m:oMath>
        <m:sSubSup>
          <m:sSubSupPr>
            <m:ctrlPr>
              <w:rPr>
                <w:rFonts w:ascii="Cambria Math" w:eastAsiaTheme="minorEastAsia" w:hAnsi="Cambria Math"/>
                <w:bCs w:val="0"/>
                <w:i/>
                <w:szCs w:val="22"/>
                <w:lang w:val="id-ID"/>
              </w:rPr>
            </m:ctrlPr>
          </m:sSubSupPr>
          <m:e>
            <m:r>
              <w:rPr>
                <w:rFonts w:ascii="Cambria Math" w:eastAsiaTheme="minorEastAsia" w:hAnsi="Cambria Math"/>
                <w:szCs w:val="22"/>
              </w:rPr>
              <m:t>γ</m:t>
            </m:r>
          </m:e>
          <m:sub>
            <m:r>
              <w:rPr>
                <w:rFonts w:ascii="Cambria Math" w:eastAsiaTheme="minorEastAsia" w:hAnsi="Cambria Math"/>
                <w:szCs w:val="22"/>
              </w:rPr>
              <m:t>s</m:t>
            </m:r>
          </m:sub>
          <m:sup>
            <m:r>
              <w:rPr>
                <w:rFonts w:ascii="Cambria Math" w:eastAsiaTheme="minorEastAsia" w:hAnsi="Cambria Math"/>
                <w:szCs w:val="22"/>
              </w:rPr>
              <m:t>d</m:t>
            </m:r>
          </m:sup>
        </m:sSubSup>
      </m:oMath>
      <w:r w:rsidRPr="00164B51">
        <w:rPr>
          <w:szCs w:val="22"/>
        </w:rPr>
        <w:t xml:space="preserve"> is the surface energy of the solid having only a dispersion component</w:t>
      </w:r>
      <w:r>
        <w:rPr>
          <w:szCs w:val="22"/>
        </w:rPr>
        <w:t>.</w:t>
      </w:r>
      <w:r w:rsidR="007021DC">
        <w:rPr>
          <w:szCs w:val="22"/>
        </w:rPr>
        <w:t xml:space="preserve"> Then </w:t>
      </w:r>
      <w:r w:rsidR="00025262" w:rsidRPr="00164B51">
        <w:rPr>
          <w:rFonts w:eastAsia="AdvTimes"/>
          <w:szCs w:val="22"/>
          <w:lang w:val="id-ID" w:eastAsia="zh-CN"/>
        </w:rPr>
        <w:t>Owens and Wendt suggested the following form</w:t>
      </w:r>
      <w:r w:rsidR="00025262">
        <w:rPr>
          <w:rFonts w:eastAsia="AdvTimes"/>
          <w:szCs w:val="22"/>
          <w:lang w:eastAsia="zh-CN"/>
        </w:rPr>
        <w:t xml:space="preserve"> </w:t>
      </w:r>
      <w:r w:rsidR="00025262">
        <w:rPr>
          <w:rFonts w:eastAsia="AdvTimes"/>
          <w:szCs w:val="22"/>
          <w:lang w:eastAsia="zh-CN"/>
        </w:rPr>
        <w:fldChar w:fldCharType="begin" w:fldLock="1"/>
      </w:r>
      <w:r w:rsidR="007021DC">
        <w:rPr>
          <w:rFonts w:eastAsia="AdvTimes"/>
          <w:szCs w:val="22"/>
          <w:lang w:eastAsia="zh-CN"/>
        </w:rPr>
        <w:instrText>ADDIN CSL_CITATION {"citationItems":[{"id":"ITEM-1","itemData":{"DOI":"10.1002/app.1969.070130815","ISSN":"10974628","abstract":"A method for measuring the surface energy of solids and for resolving the surface energy into contributions from dispersion an</w:instrText>
      </w:r>
      <w:r w:rsidR="007021DC">
        <w:rPr>
          <w:rFonts w:eastAsia="AdvTimes" w:hint="eastAsia"/>
          <w:szCs w:val="22"/>
          <w:lang w:eastAsia="zh-CN"/>
        </w:rPr>
        <w:instrText>d dipole</w:instrText>
      </w:r>
      <w:r w:rsidR="007021DC">
        <w:rPr>
          <w:rFonts w:eastAsia="AdvTimes" w:hint="eastAsia"/>
          <w:szCs w:val="22"/>
          <w:lang w:eastAsia="zh-CN"/>
        </w:rPr>
        <w:instrText>‐</w:instrText>
      </w:r>
      <w:r w:rsidR="007021DC">
        <w:rPr>
          <w:rFonts w:eastAsia="AdvTimes" w:hint="eastAsia"/>
          <w:szCs w:val="22"/>
          <w:lang w:eastAsia="zh-CN"/>
        </w:rPr>
        <w:instrText xml:space="preserve">hydrogen bonding forces has been developed. It is based on the measurement of contact angles with water and methylene iodide. Good agreement has been obtained with the more laborious </w:instrText>
      </w:r>
      <w:r w:rsidR="007021DC">
        <w:rPr>
          <w:rFonts w:eastAsia="AdvTimes" w:hint="eastAsia"/>
          <w:szCs w:val="22"/>
          <w:lang w:eastAsia="zh-CN"/>
        </w:rPr>
        <w:instrText>γ</w:instrText>
      </w:r>
      <w:r w:rsidR="007021DC">
        <w:rPr>
          <w:rFonts w:eastAsia="AdvTimes" w:hint="eastAsia"/>
          <w:szCs w:val="22"/>
          <w:lang w:eastAsia="zh-CN"/>
        </w:rPr>
        <w:instrText>c method. Evidence for a finite value of liquid</w:instrText>
      </w:r>
      <w:r w:rsidR="007021DC">
        <w:rPr>
          <w:rFonts w:eastAsia="AdvTimes" w:hint="eastAsia"/>
          <w:szCs w:val="22"/>
          <w:lang w:eastAsia="zh-CN"/>
        </w:rPr>
        <w:instrText>‐</w:instrText>
      </w:r>
      <w:r w:rsidR="007021DC">
        <w:rPr>
          <w:rFonts w:eastAsia="AdvTimes" w:hint="eastAsia"/>
          <w:szCs w:val="22"/>
          <w:lang w:eastAsia="zh-CN"/>
        </w:rPr>
        <w:instrText>solid interfac</w:instrText>
      </w:r>
      <w:r w:rsidR="007021DC">
        <w:rPr>
          <w:rFonts w:eastAsia="AdvTimes"/>
          <w:szCs w:val="22"/>
          <w:lang w:eastAsia="zh-CN"/>
        </w:rPr>
        <w:instrText>ial tension at zero contact angle is presented. The method is especially applicable to the surface characterization of polymers. Copyright © 1969 John Wiley &amp; Sons, Inc.","author":[{"dropping-particle":"","family":"Owens","given":"D. K.","non-dropping-particle":"","parse-names":false,"suffix":""},{"dropping-particle":"","family":"Wendt","given":"R. C.","non-dropping-particle":"","parse-names":false,"suffix":""}],"container-title":"Journal of Applied Polymer Science","id":"ITEM-1","issue":"8","issued":{"date-parts":[["1969"]]},"page":"1741-1747","title":"Estimation of the surface free energy of polymers","type":"article-journal","volume":"13"},"uris":["http://www.mendeley.com/documents/?uuid=e9a7ba43-83f1-4512-bfb2-f99db84a09b1"]}],"mendeley":{"formattedCitation":"[12]","plainTextFormattedCitation":"[12]","previouslyFormattedCitation":"[12]"},"properties":{"noteIndex":0},"schema":"https://github.com/citation-style-language/schema/raw/master/csl-citation.json"}</w:instrText>
      </w:r>
      <w:r w:rsidR="00025262">
        <w:rPr>
          <w:rFonts w:eastAsia="AdvTimes"/>
          <w:szCs w:val="22"/>
          <w:lang w:eastAsia="zh-CN"/>
        </w:rPr>
        <w:fldChar w:fldCharType="separate"/>
      </w:r>
      <w:r w:rsidR="00025262" w:rsidRPr="00025262">
        <w:rPr>
          <w:rFonts w:eastAsia="AdvTimes"/>
          <w:noProof/>
          <w:szCs w:val="22"/>
          <w:lang w:eastAsia="zh-CN"/>
        </w:rPr>
        <w:t>[12]</w:t>
      </w:r>
      <w:r w:rsidR="00025262">
        <w:rPr>
          <w:rFonts w:eastAsia="AdvTimes"/>
          <w:szCs w:val="22"/>
          <w:lang w:eastAsia="zh-CN"/>
        </w:rPr>
        <w:fldChar w:fldCharType="end"/>
      </w:r>
      <w:r w:rsidR="00025262">
        <w:rPr>
          <w:rFonts w:eastAsia="AdvTimes"/>
          <w:szCs w:val="22"/>
          <w:lang w:eastAsia="zh-CN"/>
        </w:rPr>
        <w:t>:</w:t>
      </w:r>
    </w:p>
    <w:p w14:paraId="4E1FB5D6" w14:textId="2FB6C0BC" w:rsidR="007021DC" w:rsidRPr="00164B51" w:rsidRDefault="007021DC" w:rsidP="007021DC">
      <w:pPr>
        <w:pStyle w:val="Paragraph"/>
        <w:tabs>
          <w:tab w:val="center" w:pos="4820"/>
          <w:tab w:val="right" w:pos="9071"/>
        </w:tabs>
        <w:spacing w:before="120"/>
        <w:rPr>
          <w:rFonts w:eastAsia="AdvTimes"/>
          <w:szCs w:val="22"/>
          <w:lang w:val="id-ID" w:eastAsia="zh-CN"/>
        </w:rPr>
      </w:pPr>
      <w:r w:rsidRPr="00164B51">
        <w:rPr>
          <w:bCs w:val="0"/>
          <w:szCs w:val="22"/>
          <w:lang w:val="id-ID"/>
        </w:rPr>
        <w:tab/>
      </w:r>
      <m:oMath>
        <m:d>
          <m:dPr>
            <m:ctrlPr>
              <w:rPr>
                <w:rFonts w:ascii="Cambria Math" w:eastAsia="AdvTimes" w:hAnsi="Cambria Math"/>
                <w:i/>
                <w:szCs w:val="22"/>
                <w:lang w:val="id-ID" w:eastAsia="zh-CN"/>
              </w:rPr>
            </m:ctrlPr>
          </m:dPr>
          <m:e>
            <m:r>
              <w:rPr>
                <w:rFonts w:ascii="Cambria Math" w:eastAsia="AdvTimes" w:hAnsi="Cambria Math"/>
                <w:szCs w:val="22"/>
                <w:lang w:val="id-ID" w:eastAsia="zh-CN"/>
              </w:rPr>
              <m:t>1+</m:t>
            </m:r>
            <m:func>
              <m:funcPr>
                <m:ctrlPr>
                  <w:rPr>
                    <w:rFonts w:ascii="Cambria Math" w:eastAsia="AdvTimes" w:hAnsi="Cambria Math"/>
                    <w:i/>
                    <w:szCs w:val="22"/>
                    <w:lang w:val="id-ID" w:eastAsia="zh-CN"/>
                  </w:rPr>
                </m:ctrlPr>
              </m:funcPr>
              <m:fName>
                <m:r>
                  <m:rPr>
                    <m:sty m:val="p"/>
                  </m:rPr>
                  <w:rPr>
                    <w:rFonts w:ascii="Cambria Math" w:eastAsia="AdvTimes" w:hAnsi="Cambria Math"/>
                    <w:szCs w:val="22"/>
                    <w:lang w:val="id-ID" w:eastAsia="zh-CN"/>
                  </w:rPr>
                  <m:t>cos</m:t>
                </m:r>
              </m:fName>
              <m:e>
                <m:r>
                  <w:rPr>
                    <w:rFonts w:ascii="Cambria Math" w:eastAsia="AdvTimes" w:hAnsi="Cambria Math"/>
                    <w:szCs w:val="22"/>
                    <w:lang w:val="id-ID" w:eastAsia="zh-CN"/>
                  </w:rPr>
                  <m:t>θ</m:t>
                </m:r>
              </m:e>
            </m:func>
          </m:e>
        </m:d>
        <m:sSub>
          <m:sSubPr>
            <m:ctrlPr>
              <w:rPr>
                <w:rFonts w:ascii="Cambria Math" w:eastAsia="AdvTimes" w:hAnsi="Cambria Math"/>
                <w:i/>
                <w:szCs w:val="22"/>
                <w:lang w:val="id-ID" w:eastAsia="zh-CN"/>
              </w:rPr>
            </m:ctrlPr>
          </m:sSubPr>
          <m:e>
            <m:r>
              <w:rPr>
                <w:rFonts w:ascii="Cambria Math" w:eastAsia="AdvTimes" w:hAnsi="Cambria Math"/>
                <w:szCs w:val="22"/>
                <w:lang w:val="id-ID" w:eastAsia="zh-CN"/>
              </w:rPr>
              <m:t>γ</m:t>
            </m:r>
          </m:e>
          <m:sub>
            <m:r>
              <w:rPr>
                <w:rFonts w:ascii="Cambria Math" w:eastAsia="AdvTimes" w:hAnsi="Cambria Math"/>
                <w:szCs w:val="22"/>
                <w:lang w:val="id-ID" w:eastAsia="zh-CN"/>
              </w:rPr>
              <m:t>l</m:t>
            </m:r>
          </m:sub>
        </m:sSub>
        <m:r>
          <w:rPr>
            <w:rFonts w:ascii="Cambria Math" w:eastAsia="AdvTimes" w:hAnsi="Cambria Math"/>
            <w:szCs w:val="22"/>
            <w:lang w:val="id-ID" w:eastAsia="zh-CN"/>
          </w:rPr>
          <m:t>=2</m:t>
        </m:r>
        <m:sSup>
          <m:sSupPr>
            <m:ctrlPr>
              <w:rPr>
                <w:rFonts w:ascii="Cambria Math" w:eastAsia="AdvTimes" w:hAnsi="Cambria Math"/>
                <w:i/>
                <w:szCs w:val="22"/>
                <w:lang w:val="id-ID" w:eastAsia="zh-CN"/>
              </w:rPr>
            </m:ctrlPr>
          </m:sSupPr>
          <m:e>
            <m:r>
              <w:rPr>
                <w:rFonts w:ascii="Cambria Math" w:eastAsia="AdvTimes" w:hAnsi="Cambria Math"/>
                <w:szCs w:val="22"/>
                <w:lang w:val="id-ID" w:eastAsia="zh-CN"/>
              </w:rPr>
              <m:t>(</m:t>
            </m:r>
            <m:sSubSup>
              <m:sSubSupPr>
                <m:ctrlPr>
                  <w:rPr>
                    <w:rFonts w:ascii="Cambria Math" w:eastAsia="AdvTimes" w:hAnsi="Cambria Math"/>
                    <w:i/>
                    <w:szCs w:val="22"/>
                    <w:lang w:val="id-ID" w:eastAsia="zh-CN"/>
                  </w:rPr>
                </m:ctrlPr>
              </m:sSubSupPr>
              <m:e>
                <m:r>
                  <w:rPr>
                    <w:rFonts w:ascii="Cambria Math" w:eastAsia="AdvTimes" w:hAnsi="Cambria Math"/>
                    <w:szCs w:val="22"/>
                    <w:lang w:val="id-ID" w:eastAsia="zh-CN"/>
                  </w:rPr>
                  <m:t>γ</m:t>
                </m:r>
              </m:e>
              <m:sub>
                <m:r>
                  <w:rPr>
                    <w:rFonts w:ascii="Cambria Math" w:eastAsia="AdvTimes" w:hAnsi="Cambria Math"/>
                    <w:szCs w:val="22"/>
                    <w:lang w:val="id-ID" w:eastAsia="zh-CN"/>
                  </w:rPr>
                  <m:t>s</m:t>
                </m:r>
              </m:sub>
              <m:sup>
                <m:r>
                  <w:rPr>
                    <w:rFonts w:ascii="Cambria Math" w:eastAsia="AdvTimes" w:hAnsi="Cambria Math"/>
                    <w:szCs w:val="22"/>
                    <w:lang w:val="id-ID" w:eastAsia="zh-CN"/>
                  </w:rPr>
                  <m:t>d</m:t>
                </m:r>
              </m:sup>
            </m:sSubSup>
            <m:sSubSup>
              <m:sSubSupPr>
                <m:ctrlPr>
                  <w:rPr>
                    <w:rFonts w:ascii="Cambria Math" w:eastAsia="AdvTimes" w:hAnsi="Cambria Math"/>
                    <w:i/>
                    <w:szCs w:val="22"/>
                    <w:lang w:val="id-ID" w:eastAsia="zh-CN"/>
                  </w:rPr>
                </m:ctrlPr>
              </m:sSubSupPr>
              <m:e>
                <m:r>
                  <w:rPr>
                    <w:rFonts w:ascii="Cambria Math" w:eastAsia="AdvTimes" w:hAnsi="Cambria Math"/>
                    <w:szCs w:val="22"/>
                    <w:lang w:val="id-ID" w:eastAsia="zh-CN"/>
                  </w:rPr>
                  <m:t>γ</m:t>
                </m:r>
              </m:e>
              <m:sub>
                <m:r>
                  <w:rPr>
                    <w:rFonts w:ascii="Cambria Math" w:eastAsia="AdvTimes" w:hAnsi="Cambria Math"/>
                    <w:szCs w:val="22"/>
                    <w:lang w:val="id-ID" w:eastAsia="zh-CN"/>
                  </w:rPr>
                  <m:t>l</m:t>
                </m:r>
              </m:sub>
              <m:sup>
                <m:r>
                  <w:rPr>
                    <w:rFonts w:ascii="Cambria Math" w:eastAsia="AdvTimes" w:hAnsi="Cambria Math"/>
                    <w:szCs w:val="22"/>
                    <w:lang w:val="id-ID" w:eastAsia="zh-CN"/>
                  </w:rPr>
                  <m:t>d</m:t>
                </m:r>
              </m:sup>
            </m:sSubSup>
            <m:r>
              <w:rPr>
                <w:rFonts w:ascii="Cambria Math" w:eastAsia="AdvTimes" w:hAnsi="Cambria Math"/>
                <w:szCs w:val="22"/>
                <w:lang w:val="id-ID" w:eastAsia="zh-CN"/>
              </w:rPr>
              <m:t>)</m:t>
            </m:r>
          </m:e>
          <m:sup>
            <m:r>
              <w:rPr>
                <w:rFonts w:ascii="Cambria Math" w:eastAsia="AdvTimes" w:hAnsi="Cambria Math"/>
                <w:szCs w:val="22"/>
                <w:lang w:val="id-ID" w:eastAsia="zh-CN"/>
              </w:rPr>
              <m:t>1/2</m:t>
            </m:r>
          </m:sup>
        </m:sSup>
        <m:r>
          <w:rPr>
            <w:rFonts w:ascii="Cambria Math" w:eastAsia="AdvTimes" w:hAnsi="Cambria Math"/>
            <w:szCs w:val="22"/>
            <w:lang w:val="id-ID" w:eastAsia="zh-CN"/>
          </w:rPr>
          <m:t>+2</m:t>
        </m:r>
        <m:sSup>
          <m:sSupPr>
            <m:ctrlPr>
              <w:rPr>
                <w:rFonts w:ascii="Cambria Math" w:eastAsia="AdvTimes" w:hAnsi="Cambria Math"/>
                <w:i/>
                <w:szCs w:val="22"/>
                <w:lang w:val="id-ID" w:eastAsia="zh-CN"/>
              </w:rPr>
            </m:ctrlPr>
          </m:sSupPr>
          <m:e>
            <m:r>
              <w:rPr>
                <w:rFonts w:ascii="Cambria Math" w:eastAsia="AdvTimes" w:hAnsi="Cambria Math"/>
                <w:szCs w:val="22"/>
                <w:lang w:val="id-ID" w:eastAsia="zh-CN"/>
              </w:rPr>
              <m:t>(</m:t>
            </m:r>
            <m:sSubSup>
              <m:sSubSupPr>
                <m:ctrlPr>
                  <w:rPr>
                    <w:rFonts w:ascii="Cambria Math" w:eastAsia="AdvTimes" w:hAnsi="Cambria Math"/>
                    <w:i/>
                    <w:szCs w:val="22"/>
                    <w:lang w:val="id-ID" w:eastAsia="zh-CN"/>
                  </w:rPr>
                </m:ctrlPr>
              </m:sSubSupPr>
              <m:e>
                <m:r>
                  <w:rPr>
                    <w:rFonts w:ascii="Cambria Math" w:eastAsia="AdvTimes" w:hAnsi="Cambria Math"/>
                    <w:szCs w:val="22"/>
                    <w:lang w:val="id-ID" w:eastAsia="zh-CN"/>
                  </w:rPr>
                  <m:t>γ</m:t>
                </m:r>
              </m:e>
              <m:sub>
                <m:r>
                  <w:rPr>
                    <w:rFonts w:ascii="Cambria Math" w:eastAsia="AdvTimes" w:hAnsi="Cambria Math"/>
                    <w:szCs w:val="22"/>
                    <w:lang w:val="id-ID" w:eastAsia="zh-CN"/>
                  </w:rPr>
                  <m:t>s</m:t>
                </m:r>
              </m:sub>
              <m:sup>
                <m:r>
                  <w:rPr>
                    <w:rFonts w:ascii="Cambria Math" w:eastAsia="AdvTimes" w:hAnsi="Cambria Math"/>
                    <w:szCs w:val="22"/>
                    <w:lang w:val="id-ID" w:eastAsia="zh-CN"/>
                  </w:rPr>
                  <m:t>p</m:t>
                </m:r>
              </m:sup>
            </m:sSubSup>
            <m:sSubSup>
              <m:sSubSupPr>
                <m:ctrlPr>
                  <w:rPr>
                    <w:rFonts w:ascii="Cambria Math" w:eastAsia="AdvTimes" w:hAnsi="Cambria Math"/>
                    <w:i/>
                    <w:szCs w:val="22"/>
                    <w:lang w:val="id-ID" w:eastAsia="zh-CN"/>
                  </w:rPr>
                </m:ctrlPr>
              </m:sSubSupPr>
              <m:e>
                <m:r>
                  <w:rPr>
                    <w:rFonts w:ascii="Cambria Math" w:eastAsia="AdvTimes" w:hAnsi="Cambria Math"/>
                    <w:szCs w:val="22"/>
                    <w:lang w:val="id-ID" w:eastAsia="zh-CN"/>
                  </w:rPr>
                  <m:t>γ</m:t>
                </m:r>
              </m:e>
              <m:sub>
                <m:r>
                  <w:rPr>
                    <w:rFonts w:ascii="Cambria Math" w:eastAsia="AdvTimes" w:hAnsi="Cambria Math"/>
                    <w:szCs w:val="22"/>
                    <w:lang w:val="id-ID" w:eastAsia="zh-CN"/>
                  </w:rPr>
                  <m:t>l</m:t>
                </m:r>
              </m:sub>
              <m:sup>
                <m:r>
                  <w:rPr>
                    <w:rFonts w:ascii="Cambria Math" w:eastAsia="AdvTimes" w:hAnsi="Cambria Math"/>
                    <w:szCs w:val="22"/>
                    <w:lang w:val="id-ID" w:eastAsia="zh-CN"/>
                  </w:rPr>
                  <m:t>p</m:t>
                </m:r>
              </m:sup>
            </m:sSubSup>
            <m:r>
              <w:rPr>
                <w:rFonts w:ascii="Cambria Math" w:eastAsia="AdvTimes" w:hAnsi="Cambria Math"/>
                <w:szCs w:val="22"/>
                <w:lang w:val="id-ID" w:eastAsia="zh-CN"/>
              </w:rPr>
              <m:t>)</m:t>
            </m:r>
          </m:e>
          <m:sup>
            <m:r>
              <w:rPr>
                <w:rFonts w:ascii="Cambria Math" w:eastAsia="AdvTimes" w:hAnsi="Cambria Math"/>
                <w:szCs w:val="22"/>
                <w:lang w:val="id-ID" w:eastAsia="zh-CN"/>
              </w:rPr>
              <m:t>1/2</m:t>
            </m:r>
          </m:sup>
        </m:sSup>
      </m:oMath>
      <w:r w:rsidRPr="00164B51">
        <w:rPr>
          <w:rFonts w:eastAsia="AdvTimes"/>
          <w:szCs w:val="22"/>
          <w:lang w:val="id-ID" w:eastAsia="zh-CN"/>
        </w:rPr>
        <w:tab/>
        <w:t>(</w:t>
      </w:r>
      <w:r w:rsidR="00B04458">
        <w:rPr>
          <w:rFonts w:eastAsia="AdvTimes"/>
          <w:szCs w:val="22"/>
          <w:lang w:eastAsia="zh-CN"/>
        </w:rPr>
        <w:t>3</w:t>
      </w:r>
      <w:r w:rsidRPr="00164B51">
        <w:rPr>
          <w:rFonts w:eastAsia="AdvTimes"/>
          <w:szCs w:val="22"/>
          <w:lang w:val="id-ID" w:eastAsia="zh-CN"/>
        </w:rPr>
        <w:t>)</w:t>
      </w:r>
    </w:p>
    <w:p w14:paraId="3B828979" w14:textId="74D17F79" w:rsidR="007021DC" w:rsidRDefault="007021DC" w:rsidP="007021DC">
      <w:pPr>
        <w:pStyle w:val="Paragraph"/>
        <w:spacing w:after="0"/>
        <w:rPr>
          <w:bCs w:val="0"/>
          <w:szCs w:val="22"/>
          <w:lang w:val="en-ID"/>
        </w:rPr>
      </w:pPr>
      <w:proofErr w:type="gramStart"/>
      <w:r w:rsidRPr="00652AF2">
        <w:rPr>
          <w:bCs w:val="0"/>
          <w:szCs w:val="22"/>
          <w:lang w:val="en-ID"/>
        </w:rPr>
        <w:t>where</w:t>
      </w:r>
      <w:proofErr w:type="gramEnd"/>
      <w:r w:rsidRPr="00652AF2">
        <w:rPr>
          <w:bCs w:val="0"/>
          <w:szCs w:val="22"/>
          <w:lang w:val="en-ID"/>
        </w:rPr>
        <w:t xml:space="preserve"> </w:t>
      </w:r>
      <m:oMath>
        <m:sSubSup>
          <m:sSubSupPr>
            <m:ctrlPr>
              <w:rPr>
                <w:rFonts w:ascii="Cambria Math" w:eastAsia="AdvTimes" w:hAnsi="Cambria Math"/>
                <w:i/>
                <w:szCs w:val="22"/>
                <w:lang w:val="id-ID" w:eastAsia="zh-CN"/>
              </w:rPr>
            </m:ctrlPr>
          </m:sSubSupPr>
          <m:e>
            <m:r>
              <w:rPr>
                <w:rFonts w:ascii="Cambria Math" w:eastAsia="AdvTimes" w:hAnsi="Cambria Math"/>
                <w:szCs w:val="22"/>
                <w:lang w:val="id-ID" w:eastAsia="zh-CN"/>
              </w:rPr>
              <m:t>γ</m:t>
            </m:r>
          </m:e>
          <m:sub>
            <m:r>
              <w:rPr>
                <w:rFonts w:ascii="Cambria Math" w:eastAsia="AdvTimes" w:hAnsi="Cambria Math"/>
                <w:szCs w:val="22"/>
                <w:lang w:val="id-ID" w:eastAsia="zh-CN"/>
              </w:rPr>
              <m:t>s</m:t>
            </m:r>
          </m:sub>
          <m:sup>
            <m:r>
              <w:rPr>
                <w:rFonts w:ascii="Cambria Math" w:eastAsia="AdvTimes" w:hAnsi="Cambria Math"/>
                <w:szCs w:val="22"/>
                <w:lang w:val="id-ID" w:eastAsia="zh-CN"/>
              </w:rPr>
              <m:t>d</m:t>
            </m:r>
          </m:sup>
        </m:sSubSup>
      </m:oMath>
      <w:r w:rsidRPr="00652AF2">
        <w:rPr>
          <w:bCs w:val="0"/>
          <w:szCs w:val="22"/>
          <w:lang w:val="en-ID"/>
        </w:rPr>
        <w:t xml:space="preserve"> and </w:t>
      </w:r>
      <m:oMath>
        <m:sSubSup>
          <m:sSubSupPr>
            <m:ctrlPr>
              <w:rPr>
                <w:rFonts w:ascii="Cambria Math" w:eastAsia="AdvTimes" w:hAnsi="Cambria Math"/>
                <w:i/>
                <w:szCs w:val="22"/>
                <w:lang w:val="id-ID" w:eastAsia="zh-CN"/>
              </w:rPr>
            </m:ctrlPr>
          </m:sSubSupPr>
          <m:e>
            <m:r>
              <w:rPr>
                <w:rFonts w:ascii="Cambria Math" w:eastAsia="AdvTimes" w:hAnsi="Cambria Math"/>
                <w:szCs w:val="22"/>
                <w:lang w:val="id-ID" w:eastAsia="zh-CN"/>
              </w:rPr>
              <m:t>γ</m:t>
            </m:r>
          </m:e>
          <m:sub>
            <m:r>
              <w:rPr>
                <w:rFonts w:ascii="Cambria Math" w:eastAsia="AdvTimes" w:hAnsi="Cambria Math"/>
                <w:szCs w:val="22"/>
                <w:lang w:val="id-ID" w:eastAsia="zh-CN"/>
              </w:rPr>
              <m:t>s</m:t>
            </m:r>
          </m:sub>
          <m:sup>
            <m:r>
              <w:rPr>
                <w:rFonts w:ascii="Cambria Math" w:eastAsia="AdvTimes" w:hAnsi="Cambria Math"/>
                <w:szCs w:val="22"/>
                <w:lang w:val="id-ID" w:eastAsia="zh-CN"/>
              </w:rPr>
              <m:t>p</m:t>
            </m:r>
          </m:sup>
        </m:sSubSup>
        <m:r>
          <w:rPr>
            <w:rFonts w:ascii="Cambria Math" w:eastAsia="AdvTimes" w:hAnsi="Cambria Math"/>
            <w:szCs w:val="22"/>
            <w:lang w:val="id-ID" w:eastAsia="zh-CN"/>
          </w:rPr>
          <m:t xml:space="preserve"> </m:t>
        </m:r>
      </m:oMath>
      <w:r w:rsidRPr="00652AF2">
        <w:rPr>
          <w:bCs w:val="0"/>
          <w:szCs w:val="22"/>
          <w:lang w:val="en-ID"/>
        </w:rPr>
        <w:t xml:space="preserve">are the dispersion and polar force components of </w:t>
      </w:r>
      <m:oMath>
        <m:sSub>
          <m:sSubPr>
            <m:ctrlPr>
              <w:rPr>
                <w:rFonts w:ascii="Cambria Math" w:eastAsiaTheme="minorHAnsi" w:hAnsi="Cambria Math"/>
                <w:bCs w:val="0"/>
                <w:i/>
                <w:szCs w:val="22"/>
                <w:lang w:val="id-ID"/>
              </w:rPr>
            </m:ctrlPr>
          </m:sSubPr>
          <m:e>
            <m:r>
              <w:rPr>
                <w:rFonts w:ascii="Cambria Math" w:hAnsi="Cambria Math"/>
                <w:szCs w:val="22"/>
              </w:rPr>
              <m:t>γ</m:t>
            </m:r>
          </m:e>
          <m:sub>
            <m:r>
              <w:rPr>
                <w:rFonts w:ascii="Cambria Math" w:hAnsi="Cambria Math"/>
                <w:szCs w:val="22"/>
              </w:rPr>
              <m:t>s</m:t>
            </m:r>
          </m:sub>
        </m:sSub>
      </m:oMath>
      <w:r w:rsidRPr="00652AF2">
        <w:rPr>
          <w:bCs w:val="0"/>
          <w:szCs w:val="22"/>
          <w:lang w:val="en-ID"/>
        </w:rPr>
        <w:t>,</w:t>
      </w:r>
      <w:r>
        <w:rPr>
          <w:bCs w:val="0"/>
          <w:szCs w:val="22"/>
          <w:lang w:val="en-ID"/>
        </w:rPr>
        <w:t xml:space="preserve"> </w:t>
      </w:r>
      <w:r w:rsidRPr="00652AF2">
        <w:rPr>
          <w:bCs w:val="0"/>
          <w:szCs w:val="22"/>
          <w:lang w:val="en-ID"/>
        </w:rPr>
        <w:t>respectively</w:t>
      </w:r>
      <w:r>
        <w:rPr>
          <w:bCs w:val="0"/>
          <w:szCs w:val="22"/>
          <w:lang w:val="en-ID"/>
        </w:rPr>
        <w:t>.</w:t>
      </w:r>
    </w:p>
    <w:p w14:paraId="32086A27" w14:textId="63EDF8B5" w:rsidR="007021DC" w:rsidRPr="00164B51" w:rsidRDefault="007021DC" w:rsidP="007021DC">
      <w:pPr>
        <w:pStyle w:val="Paragraph"/>
        <w:spacing w:after="0"/>
        <w:ind w:firstLine="284"/>
        <w:rPr>
          <w:szCs w:val="22"/>
          <w:lang w:val="id-ID" w:eastAsia="zh-CN"/>
        </w:rPr>
      </w:pPr>
      <w:r w:rsidRPr="00164B51">
        <w:rPr>
          <w:rFonts w:eastAsia="AdvTimes"/>
          <w:szCs w:val="22"/>
          <w:lang w:val="id-ID" w:eastAsia="zh-CN"/>
        </w:rPr>
        <w:t>The latest version of SFE calculation is the Lifshitz-van der Waals/acid-base approach, initiated by van Oss, Chaudhuri, and Good</w:t>
      </w:r>
      <w:r>
        <w:rPr>
          <w:rFonts w:eastAsia="AdvTimes"/>
          <w:szCs w:val="22"/>
          <w:lang w:eastAsia="zh-CN"/>
        </w:rPr>
        <w:t xml:space="preserve"> </w:t>
      </w:r>
      <w:r>
        <w:rPr>
          <w:rFonts w:eastAsia="AdvTimes"/>
          <w:szCs w:val="22"/>
          <w:lang w:eastAsia="zh-CN"/>
        </w:rPr>
        <w:fldChar w:fldCharType="begin" w:fldLock="1"/>
      </w:r>
      <w:r>
        <w:rPr>
          <w:rFonts w:eastAsia="AdvTimes"/>
          <w:szCs w:val="22"/>
          <w:lang w:eastAsia="zh-CN"/>
        </w:rPr>
        <w:instrText>ADDIN CSL_CITATION {"citationItems":[{"id":"ITEM-1","itemData":{"DOI":"10.1021/cr00088a006","ISSN":"15206890","author":[{"dropping-particle":"","family":"Oss","given":"Carel J.","non-dropping-particle":"van","parse-names":false,"suffix":""},{"dropping-particle":"","family":"Chaudhury","given":"Manoj K.","non-dropping-particle":"","parse-names":false,"suffix":""},{"dropping-particle":"","family":"Good","given":"Robert J.","non-dropping-particle":"","parse-names":false,"suffix":""}],"container-title":"Chemical Reviews","id":"ITEM-1","issue":"6","issued":{"date-parts":[["1988"]]},"page":"927-941","title":"Interfacial Lifshitz—van der Waals and Polar Interactions in Macroscopic Systems","type":"article-journal","volume":"88"},"uris":["http://www.mendeley.com/documents/?uuid=db0561e3-1545-4011-978c-e355c5c04bb6"]}],"mendeley":{"formattedCitation":"[13]","plainTextFormattedCitation":"[13]"},"properties":{"noteIndex":0},"schema":"https://github.com/citation-style-language/schema/raw/master/csl-citation.json"}</w:instrText>
      </w:r>
      <w:r>
        <w:rPr>
          <w:rFonts w:eastAsia="AdvTimes"/>
          <w:szCs w:val="22"/>
          <w:lang w:eastAsia="zh-CN"/>
        </w:rPr>
        <w:fldChar w:fldCharType="separate"/>
      </w:r>
      <w:r w:rsidRPr="007021DC">
        <w:rPr>
          <w:rFonts w:eastAsia="AdvTimes"/>
          <w:noProof/>
          <w:szCs w:val="22"/>
          <w:lang w:eastAsia="zh-CN"/>
        </w:rPr>
        <w:t>[13]</w:t>
      </w:r>
      <w:r>
        <w:rPr>
          <w:rFonts w:eastAsia="AdvTimes"/>
          <w:szCs w:val="22"/>
          <w:lang w:eastAsia="zh-CN"/>
        </w:rPr>
        <w:fldChar w:fldCharType="end"/>
      </w:r>
      <w:r>
        <w:rPr>
          <w:rFonts w:eastAsia="AdvTimes"/>
          <w:szCs w:val="22"/>
          <w:lang w:eastAsia="zh-CN"/>
        </w:rPr>
        <w:t xml:space="preserve">. </w:t>
      </w:r>
      <w:r w:rsidRPr="00164B51">
        <w:rPr>
          <w:rFonts w:eastAsia="AdvTimes"/>
          <w:szCs w:val="22"/>
          <w:lang w:val="id-ID" w:eastAsia="zh-CN"/>
        </w:rPr>
        <w:t xml:space="preserve">This vOCG method </w:t>
      </w:r>
      <w:r w:rsidRPr="00164B51">
        <w:rPr>
          <w:szCs w:val="22"/>
          <w:lang w:val="id-ID" w:eastAsia="zh-CN"/>
        </w:rPr>
        <w:t>split the polar component (</w:t>
      </w:r>
      <m:oMath>
        <m:sSup>
          <m:sSupPr>
            <m:ctrlPr>
              <w:rPr>
                <w:rFonts w:ascii="Cambria Math" w:hAnsi="Cambria Math"/>
                <w:i/>
                <w:szCs w:val="22"/>
                <w:lang w:val="id-ID" w:eastAsia="zh-CN"/>
              </w:rPr>
            </m:ctrlPr>
          </m:sSupPr>
          <m:e>
            <m:r>
              <w:rPr>
                <w:rFonts w:ascii="Cambria Math" w:hAnsi="Cambria Math"/>
                <w:szCs w:val="22"/>
                <w:lang w:val="id-ID" w:eastAsia="zh-CN"/>
              </w:rPr>
              <m:t>γ</m:t>
            </m:r>
          </m:e>
          <m:sup>
            <m:r>
              <w:rPr>
                <w:rFonts w:ascii="Cambria Math" w:hAnsi="Cambria Math"/>
                <w:szCs w:val="22"/>
                <w:lang w:val="id-ID" w:eastAsia="zh-CN"/>
              </w:rPr>
              <m:t>AB</m:t>
            </m:r>
          </m:sup>
        </m:sSup>
        <m:r>
          <w:rPr>
            <w:rFonts w:ascii="Cambria Math" w:hAnsi="Cambria Math"/>
            <w:szCs w:val="22"/>
            <w:lang w:val="id-ID" w:eastAsia="zh-CN"/>
          </w:rPr>
          <m:t>)</m:t>
        </m:r>
      </m:oMath>
      <w:r w:rsidRPr="00164B51">
        <w:rPr>
          <w:szCs w:val="22"/>
          <w:lang w:val="id-ID" w:eastAsia="zh-CN"/>
        </w:rPr>
        <w:t xml:space="preserve">  to the acid component (electron-acceptor: </w:t>
      </w:r>
      <m:oMath>
        <m:sSup>
          <m:sSupPr>
            <m:ctrlPr>
              <w:rPr>
                <w:rFonts w:ascii="Cambria Math" w:hAnsi="Cambria Math"/>
                <w:i/>
                <w:szCs w:val="22"/>
                <w:lang w:val="id-ID" w:eastAsia="zh-CN"/>
              </w:rPr>
            </m:ctrlPr>
          </m:sSupPr>
          <m:e>
            <m:r>
              <w:rPr>
                <w:rFonts w:ascii="Cambria Math" w:hAnsi="Cambria Math"/>
                <w:szCs w:val="22"/>
                <w:lang w:val="id-ID" w:eastAsia="zh-CN"/>
              </w:rPr>
              <m:t>γ</m:t>
            </m:r>
          </m:e>
          <m:sup>
            <m:r>
              <w:rPr>
                <w:rFonts w:ascii="Cambria Math" w:hAnsi="Cambria Math"/>
                <w:szCs w:val="22"/>
                <w:lang w:val="id-ID" w:eastAsia="zh-CN"/>
              </w:rPr>
              <m:t>+</m:t>
            </m:r>
          </m:sup>
        </m:sSup>
      </m:oMath>
      <w:r w:rsidRPr="00164B51">
        <w:rPr>
          <w:szCs w:val="22"/>
          <w:lang w:val="id-ID" w:eastAsia="zh-CN"/>
        </w:rPr>
        <w:t xml:space="preserve">) and the base component (electron-donor: </w:t>
      </w:r>
      <m:oMath>
        <m:sSup>
          <m:sSupPr>
            <m:ctrlPr>
              <w:rPr>
                <w:rFonts w:ascii="Cambria Math" w:hAnsi="Cambria Math"/>
                <w:i/>
                <w:szCs w:val="22"/>
                <w:lang w:val="id-ID" w:eastAsia="zh-CN"/>
              </w:rPr>
            </m:ctrlPr>
          </m:sSupPr>
          <m:e>
            <m:r>
              <w:rPr>
                <w:rFonts w:ascii="Cambria Math" w:hAnsi="Cambria Math"/>
                <w:szCs w:val="22"/>
                <w:lang w:val="id-ID" w:eastAsia="zh-CN"/>
              </w:rPr>
              <m:t>γ</m:t>
            </m:r>
          </m:e>
          <m:sup>
            <m:r>
              <w:rPr>
                <w:rFonts w:ascii="Cambria Math" w:hAnsi="Cambria Math"/>
                <w:szCs w:val="22"/>
                <w:lang w:val="id-ID" w:eastAsia="zh-CN"/>
              </w:rPr>
              <m:t>-</m:t>
            </m:r>
          </m:sup>
        </m:sSup>
      </m:oMath>
      <w:r w:rsidRPr="00164B51">
        <w:rPr>
          <w:szCs w:val="22"/>
          <w:lang w:val="id-ID" w:eastAsia="zh-CN"/>
        </w:rPr>
        <w:t xml:space="preserve">), in such a way that </w:t>
      </w:r>
      <m:oMath>
        <m:sSup>
          <m:sSupPr>
            <m:ctrlPr>
              <w:rPr>
                <w:rFonts w:ascii="Cambria Math" w:hAnsi="Cambria Math"/>
                <w:i/>
                <w:szCs w:val="22"/>
                <w:lang w:val="id-ID" w:eastAsia="zh-CN"/>
              </w:rPr>
            </m:ctrlPr>
          </m:sSupPr>
          <m:e>
            <m:r>
              <w:rPr>
                <w:rFonts w:ascii="Cambria Math" w:hAnsi="Cambria Math"/>
                <w:szCs w:val="22"/>
                <w:lang w:val="id-ID" w:eastAsia="zh-CN"/>
              </w:rPr>
              <m:t>γ</m:t>
            </m:r>
          </m:e>
          <m:sup>
            <m:r>
              <w:rPr>
                <w:rFonts w:ascii="Cambria Math" w:hAnsi="Cambria Math"/>
                <w:szCs w:val="22"/>
                <w:lang w:val="id-ID" w:eastAsia="zh-CN"/>
              </w:rPr>
              <m:t>AB</m:t>
            </m:r>
          </m:sup>
        </m:sSup>
        <m:r>
          <w:rPr>
            <w:rFonts w:ascii="Cambria Math" w:hAnsi="Cambria Math"/>
            <w:szCs w:val="22"/>
            <w:lang w:val="id-ID" w:eastAsia="zh-CN"/>
          </w:rPr>
          <m:t>=2</m:t>
        </m:r>
        <m:sSup>
          <m:sSupPr>
            <m:ctrlPr>
              <w:rPr>
                <w:rFonts w:ascii="Cambria Math" w:hAnsi="Cambria Math"/>
                <w:i/>
                <w:szCs w:val="22"/>
                <w:lang w:val="id-ID" w:eastAsia="zh-CN"/>
              </w:rPr>
            </m:ctrlPr>
          </m:sSupPr>
          <m:e>
            <m:r>
              <w:rPr>
                <w:rFonts w:ascii="Cambria Math" w:hAnsi="Cambria Math"/>
                <w:szCs w:val="22"/>
                <w:lang w:val="id-ID" w:eastAsia="zh-CN"/>
              </w:rPr>
              <m:t>(</m:t>
            </m:r>
            <m:sSup>
              <m:sSupPr>
                <m:ctrlPr>
                  <w:rPr>
                    <w:rFonts w:ascii="Cambria Math" w:hAnsi="Cambria Math"/>
                    <w:i/>
                    <w:szCs w:val="22"/>
                    <w:lang w:val="id-ID" w:eastAsia="zh-CN"/>
                  </w:rPr>
                </m:ctrlPr>
              </m:sSupPr>
              <m:e>
                <m:r>
                  <w:rPr>
                    <w:rFonts w:ascii="Cambria Math" w:hAnsi="Cambria Math"/>
                    <w:szCs w:val="22"/>
                    <w:lang w:val="id-ID" w:eastAsia="zh-CN"/>
                  </w:rPr>
                  <m:t>γ</m:t>
                </m:r>
              </m:e>
              <m:sup>
                <m:r>
                  <w:rPr>
                    <w:rFonts w:ascii="Cambria Math" w:hAnsi="Cambria Math"/>
                    <w:szCs w:val="22"/>
                    <w:lang w:val="id-ID" w:eastAsia="zh-CN"/>
                  </w:rPr>
                  <m:t>+</m:t>
                </m:r>
              </m:sup>
            </m:sSup>
            <m:sSup>
              <m:sSupPr>
                <m:ctrlPr>
                  <w:rPr>
                    <w:rFonts w:ascii="Cambria Math" w:hAnsi="Cambria Math"/>
                    <w:i/>
                    <w:szCs w:val="22"/>
                    <w:lang w:val="id-ID" w:eastAsia="zh-CN"/>
                  </w:rPr>
                </m:ctrlPr>
              </m:sSupPr>
              <m:e>
                <m:r>
                  <w:rPr>
                    <w:rFonts w:ascii="Cambria Math" w:hAnsi="Cambria Math"/>
                    <w:szCs w:val="22"/>
                    <w:lang w:val="id-ID" w:eastAsia="zh-CN"/>
                  </w:rPr>
                  <m:t>γ</m:t>
                </m:r>
              </m:e>
              <m:sup>
                <m:r>
                  <w:rPr>
                    <w:rFonts w:ascii="Cambria Math" w:hAnsi="Cambria Math"/>
                    <w:szCs w:val="22"/>
                    <w:lang w:val="id-ID" w:eastAsia="zh-CN"/>
                  </w:rPr>
                  <m:t>-</m:t>
                </m:r>
              </m:sup>
            </m:sSup>
            <m:r>
              <w:rPr>
                <w:rFonts w:ascii="Cambria Math" w:hAnsi="Cambria Math"/>
                <w:szCs w:val="22"/>
                <w:lang w:val="id-ID" w:eastAsia="zh-CN"/>
              </w:rPr>
              <m:t>)</m:t>
            </m:r>
          </m:e>
          <m:sup>
            <m:r>
              <w:rPr>
                <w:rFonts w:ascii="Cambria Math" w:hAnsi="Cambria Math"/>
                <w:szCs w:val="22"/>
                <w:lang w:val="id-ID" w:eastAsia="zh-CN"/>
              </w:rPr>
              <m:t>1/2</m:t>
            </m:r>
          </m:sup>
        </m:sSup>
      </m:oMath>
      <w:r w:rsidRPr="00164B51">
        <w:rPr>
          <w:szCs w:val="22"/>
          <w:lang w:val="id-ID" w:eastAsia="zh-CN"/>
        </w:rPr>
        <w:t>. This method requires contact angle from three liquids, then the following correlation expressed as:</w:t>
      </w:r>
    </w:p>
    <w:p w14:paraId="07DD362F" w14:textId="2E0F2CF2" w:rsidR="007021DC" w:rsidRPr="00164B51" w:rsidRDefault="007021DC" w:rsidP="007021DC">
      <w:pPr>
        <w:pStyle w:val="Paragraph"/>
        <w:tabs>
          <w:tab w:val="center" w:pos="4820"/>
          <w:tab w:val="right" w:pos="9071"/>
        </w:tabs>
        <w:spacing w:before="120"/>
        <w:rPr>
          <w:bCs w:val="0"/>
          <w:szCs w:val="22"/>
          <w:lang w:val="id-ID"/>
        </w:rPr>
      </w:pPr>
      <w:r w:rsidRPr="00164B51">
        <w:rPr>
          <w:bCs w:val="0"/>
          <w:szCs w:val="22"/>
          <w:lang w:val="id-ID"/>
        </w:rPr>
        <w:tab/>
      </w:r>
      <m:oMath>
        <m:d>
          <m:dPr>
            <m:ctrlPr>
              <w:rPr>
                <w:rFonts w:ascii="Cambria Math" w:eastAsia="AdvTimes" w:hAnsi="Cambria Math"/>
                <w:i/>
                <w:szCs w:val="22"/>
                <w:lang w:val="id-ID" w:eastAsia="zh-CN"/>
              </w:rPr>
            </m:ctrlPr>
          </m:dPr>
          <m:e>
            <m:r>
              <w:rPr>
                <w:rFonts w:ascii="Cambria Math" w:eastAsia="AdvTimes" w:hAnsi="Cambria Math"/>
                <w:szCs w:val="22"/>
                <w:lang w:val="id-ID" w:eastAsia="zh-CN"/>
              </w:rPr>
              <m:t>1+</m:t>
            </m:r>
            <m:func>
              <m:funcPr>
                <m:ctrlPr>
                  <w:rPr>
                    <w:rFonts w:ascii="Cambria Math" w:eastAsia="AdvTimes" w:hAnsi="Cambria Math"/>
                    <w:i/>
                    <w:szCs w:val="22"/>
                    <w:lang w:val="id-ID" w:eastAsia="zh-CN"/>
                  </w:rPr>
                </m:ctrlPr>
              </m:funcPr>
              <m:fName>
                <m:r>
                  <m:rPr>
                    <m:sty m:val="p"/>
                  </m:rPr>
                  <w:rPr>
                    <w:rFonts w:ascii="Cambria Math" w:eastAsia="AdvTimes" w:hAnsi="Cambria Math"/>
                    <w:szCs w:val="22"/>
                    <w:lang w:val="id-ID" w:eastAsia="zh-CN"/>
                  </w:rPr>
                  <m:t>cos</m:t>
                </m:r>
              </m:fName>
              <m:e>
                <m:r>
                  <w:rPr>
                    <w:rFonts w:ascii="Cambria Math" w:eastAsia="AdvTimes" w:hAnsi="Cambria Math"/>
                    <w:szCs w:val="22"/>
                    <w:lang w:val="id-ID" w:eastAsia="zh-CN"/>
                  </w:rPr>
                  <m:t>θ</m:t>
                </m:r>
              </m:e>
            </m:func>
          </m:e>
        </m:d>
        <m:sSub>
          <m:sSubPr>
            <m:ctrlPr>
              <w:rPr>
                <w:rFonts w:ascii="Cambria Math" w:eastAsia="AdvTimes" w:hAnsi="Cambria Math"/>
                <w:i/>
                <w:szCs w:val="22"/>
                <w:lang w:val="id-ID" w:eastAsia="zh-CN"/>
              </w:rPr>
            </m:ctrlPr>
          </m:sSubPr>
          <m:e>
            <m:r>
              <w:rPr>
                <w:rFonts w:ascii="Cambria Math" w:eastAsia="AdvTimes" w:hAnsi="Cambria Math"/>
                <w:szCs w:val="22"/>
                <w:lang w:val="id-ID" w:eastAsia="zh-CN"/>
              </w:rPr>
              <m:t>γ</m:t>
            </m:r>
          </m:e>
          <m:sub>
            <m:r>
              <w:rPr>
                <w:rFonts w:ascii="Cambria Math" w:eastAsia="AdvTimes" w:hAnsi="Cambria Math"/>
                <w:szCs w:val="22"/>
                <w:lang w:val="id-ID" w:eastAsia="zh-CN"/>
              </w:rPr>
              <m:t>l</m:t>
            </m:r>
          </m:sub>
        </m:sSub>
        <m:r>
          <w:rPr>
            <w:rFonts w:ascii="Cambria Math" w:hAnsi="Cambria Math"/>
            <w:szCs w:val="22"/>
          </w:rPr>
          <m:t>=2</m:t>
        </m:r>
        <m:d>
          <m:dPr>
            <m:ctrlPr>
              <w:rPr>
                <w:rFonts w:ascii="Cambria Math" w:eastAsiaTheme="minorHAnsi" w:hAnsi="Cambria Math"/>
                <w:bCs w:val="0"/>
                <w:i/>
                <w:szCs w:val="22"/>
                <w:lang w:val="id-ID"/>
              </w:rPr>
            </m:ctrlPr>
          </m:dPr>
          <m:e>
            <m:rad>
              <m:radPr>
                <m:degHide m:val="1"/>
                <m:ctrlPr>
                  <w:rPr>
                    <w:rFonts w:ascii="Cambria Math" w:hAnsi="Cambria Math"/>
                    <w:i/>
                    <w:szCs w:val="22"/>
                  </w:rPr>
                </m:ctrlPr>
              </m:radPr>
              <m:deg/>
              <m:e>
                <m:sSubSup>
                  <m:sSubSupPr>
                    <m:ctrlPr>
                      <w:rPr>
                        <w:rFonts w:ascii="Cambria Math" w:hAnsi="Cambria Math"/>
                        <w:i/>
                        <w:szCs w:val="22"/>
                      </w:rPr>
                    </m:ctrlPr>
                  </m:sSubSupPr>
                  <m:e>
                    <m:r>
                      <w:rPr>
                        <w:rFonts w:ascii="Cambria Math" w:hAnsi="Cambria Math"/>
                        <w:szCs w:val="22"/>
                      </w:rPr>
                      <m:t>γ</m:t>
                    </m:r>
                  </m:e>
                  <m:sub>
                    <m:r>
                      <w:rPr>
                        <w:rFonts w:ascii="Cambria Math" w:hAnsi="Cambria Math"/>
                        <w:szCs w:val="22"/>
                      </w:rPr>
                      <m:t>s</m:t>
                    </m:r>
                    <m:r>
                      <w:rPr>
                        <w:rFonts w:ascii="Cambria Math" w:hAnsi="Cambria Math"/>
                        <w:color w:val="FFFFFF" w:themeColor="background1"/>
                        <w:szCs w:val="22"/>
                      </w:rPr>
                      <m:t>l</m:t>
                    </m:r>
                  </m:sub>
                  <m:sup>
                    <m:r>
                      <w:rPr>
                        <w:rFonts w:ascii="Cambria Math" w:hAnsi="Cambria Math"/>
                        <w:szCs w:val="22"/>
                      </w:rPr>
                      <m:t>LW</m:t>
                    </m:r>
                  </m:sup>
                </m:sSubSup>
                <m:sSubSup>
                  <m:sSubSupPr>
                    <m:ctrlPr>
                      <w:rPr>
                        <w:rFonts w:ascii="Cambria Math" w:hAnsi="Cambria Math"/>
                        <w:i/>
                        <w:szCs w:val="22"/>
                      </w:rPr>
                    </m:ctrlPr>
                  </m:sSubSupPr>
                  <m:e>
                    <m:r>
                      <w:rPr>
                        <w:rFonts w:ascii="Cambria Math" w:hAnsi="Cambria Math"/>
                        <w:szCs w:val="22"/>
                      </w:rPr>
                      <m:t>γ</m:t>
                    </m:r>
                  </m:e>
                  <m:sub>
                    <m:r>
                      <w:rPr>
                        <w:rFonts w:ascii="Cambria Math" w:hAnsi="Cambria Math"/>
                        <w:szCs w:val="22"/>
                      </w:rPr>
                      <m:t>l</m:t>
                    </m:r>
                  </m:sub>
                  <m:sup>
                    <m:r>
                      <w:rPr>
                        <w:rFonts w:ascii="Cambria Math" w:hAnsi="Cambria Math"/>
                        <w:szCs w:val="22"/>
                      </w:rPr>
                      <m:t>LW</m:t>
                    </m:r>
                  </m:sup>
                </m:sSubSup>
              </m:e>
            </m:rad>
            <m:r>
              <w:rPr>
                <w:rFonts w:ascii="Cambria Math" w:hAnsi="Cambria Math"/>
                <w:szCs w:val="22"/>
              </w:rPr>
              <m:t>+</m:t>
            </m:r>
            <m:rad>
              <m:radPr>
                <m:degHide m:val="1"/>
                <m:ctrlPr>
                  <w:rPr>
                    <w:rFonts w:ascii="Cambria Math" w:eastAsiaTheme="minorHAnsi" w:hAnsi="Cambria Math"/>
                    <w:bCs w:val="0"/>
                    <w:i/>
                    <w:szCs w:val="22"/>
                    <w:lang w:val="id-ID"/>
                  </w:rPr>
                </m:ctrlPr>
              </m:radPr>
              <m:deg/>
              <m:e>
                <m:sSubSup>
                  <m:sSubSupPr>
                    <m:ctrlPr>
                      <w:rPr>
                        <w:rFonts w:ascii="Cambria Math" w:eastAsiaTheme="minorHAnsi" w:hAnsi="Cambria Math"/>
                        <w:bCs w:val="0"/>
                        <w:i/>
                        <w:szCs w:val="22"/>
                        <w:lang w:val="id-ID"/>
                      </w:rPr>
                    </m:ctrlPr>
                  </m:sSubSupPr>
                  <m:e>
                    <m:r>
                      <w:rPr>
                        <w:rFonts w:ascii="Cambria Math" w:eastAsiaTheme="minorHAnsi" w:hAnsi="Cambria Math"/>
                        <w:szCs w:val="22"/>
                        <w:lang w:val="id-ID"/>
                      </w:rPr>
                      <m:t>γ</m:t>
                    </m:r>
                  </m:e>
                  <m:sub>
                    <m:r>
                      <w:rPr>
                        <w:rFonts w:ascii="Cambria Math" w:eastAsiaTheme="minorHAnsi" w:hAnsi="Cambria Math"/>
                        <w:szCs w:val="22"/>
                        <w:lang w:val="id-ID"/>
                      </w:rPr>
                      <m:t>s</m:t>
                    </m:r>
                  </m:sub>
                  <m:sup>
                    <m:r>
                      <w:rPr>
                        <w:rFonts w:ascii="Cambria Math" w:eastAsiaTheme="minorHAnsi" w:hAnsi="Cambria Math"/>
                        <w:szCs w:val="22"/>
                        <w:lang w:val="id-ID"/>
                      </w:rPr>
                      <m:t>+</m:t>
                    </m:r>
                  </m:sup>
                </m:sSubSup>
                <m:sSubSup>
                  <m:sSubSupPr>
                    <m:ctrlPr>
                      <w:rPr>
                        <w:rFonts w:ascii="Cambria Math" w:eastAsiaTheme="minorHAnsi" w:hAnsi="Cambria Math"/>
                        <w:bCs w:val="0"/>
                        <w:i/>
                        <w:szCs w:val="22"/>
                        <w:lang w:val="id-ID"/>
                      </w:rPr>
                    </m:ctrlPr>
                  </m:sSubSupPr>
                  <m:e>
                    <m:r>
                      <w:rPr>
                        <w:rFonts w:ascii="Cambria Math" w:eastAsiaTheme="minorHAnsi" w:hAnsi="Cambria Math"/>
                        <w:szCs w:val="22"/>
                        <w:lang w:val="id-ID"/>
                      </w:rPr>
                      <m:t>γ</m:t>
                    </m:r>
                  </m:e>
                  <m:sub>
                    <m:r>
                      <w:rPr>
                        <w:rFonts w:ascii="Cambria Math" w:eastAsiaTheme="minorHAnsi" w:hAnsi="Cambria Math"/>
                        <w:szCs w:val="22"/>
                        <w:lang w:val="id-ID"/>
                      </w:rPr>
                      <m:t>l</m:t>
                    </m:r>
                  </m:sub>
                  <m:sup>
                    <m:r>
                      <w:rPr>
                        <w:rFonts w:ascii="Cambria Math" w:eastAsiaTheme="minorHAnsi" w:hAnsi="Cambria Math"/>
                        <w:szCs w:val="22"/>
                        <w:lang w:val="id-ID"/>
                      </w:rPr>
                      <m:t>-</m:t>
                    </m:r>
                  </m:sup>
                </m:sSubSup>
              </m:e>
            </m:rad>
            <m:r>
              <w:rPr>
                <w:rFonts w:ascii="Cambria Math" w:eastAsiaTheme="minorHAnsi" w:hAnsi="Cambria Math"/>
                <w:szCs w:val="22"/>
                <w:lang w:val="id-ID"/>
              </w:rPr>
              <m:t>+</m:t>
            </m:r>
            <m:rad>
              <m:radPr>
                <m:degHide m:val="1"/>
                <m:ctrlPr>
                  <w:rPr>
                    <w:rFonts w:ascii="Cambria Math" w:eastAsiaTheme="minorHAnsi" w:hAnsi="Cambria Math"/>
                    <w:bCs w:val="0"/>
                    <w:i/>
                    <w:szCs w:val="22"/>
                    <w:lang w:val="id-ID"/>
                  </w:rPr>
                </m:ctrlPr>
              </m:radPr>
              <m:deg/>
              <m:e>
                <m:sSubSup>
                  <m:sSubSupPr>
                    <m:ctrlPr>
                      <w:rPr>
                        <w:rFonts w:ascii="Cambria Math" w:eastAsiaTheme="minorHAnsi" w:hAnsi="Cambria Math"/>
                        <w:bCs w:val="0"/>
                        <w:i/>
                        <w:szCs w:val="22"/>
                        <w:lang w:val="id-ID"/>
                      </w:rPr>
                    </m:ctrlPr>
                  </m:sSubSupPr>
                  <m:e>
                    <m:r>
                      <w:rPr>
                        <w:rFonts w:ascii="Cambria Math" w:eastAsiaTheme="minorHAnsi" w:hAnsi="Cambria Math"/>
                        <w:szCs w:val="22"/>
                        <w:lang w:val="id-ID"/>
                      </w:rPr>
                      <m:t>γ</m:t>
                    </m:r>
                  </m:e>
                  <m:sub>
                    <m:r>
                      <w:rPr>
                        <w:rFonts w:ascii="Cambria Math" w:eastAsiaTheme="minorHAnsi" w:hAnsi="Cambria Math"/>
                        <w:szCs w:val="22"/>
                        <w:lang w:val="id-ID"/>
                      </w:rPr>
                      <m:t>s</m:t>
                    </m:r>
                  </m:sub>
                  <m:sup>
                    <m:r>
                      <w:rPr>
                        <w:rFonts w:ascii="Cambria Math" w:eastAsiaTheme="minorHAnsi" w:hAnsi="Cambria Math"/>
                        <w:szCs w:val="22"/>
                        <w:lang w:val="id-ID"/>
                      </w:rPr>
                      <m:t>-</m:t>
                    </m:r>
                  </m:sup>
                </m:sSubSup>
                <m:sSubSup>
                  <m:sSubSupPr>
                    <m:ctrlPr>
                      <w:rPr>
                        <w:rFonts w:ascii="Cambria Math" w:eastAsiaTheme="minorHAnsi" w:hAnsi="Cambria Math"/>
                        <w:bCs w:val="0"/>
                        <w:i/>
                        <w:szCs w:val="22"/>
                        <w:lang w:val="id-ID"/>
                      </w:rPr>
                    </m:ctrlPr>
                  </m:sSubSupPr>
                  <m:e>
                    <m:r>
                      <w:rPr>
                        <w:rFonts w:ascii="Cambria Math" w:eastAsiaTheme="minorHAnsi" w:hAnsi="Cambria Math"/>
                        <w:szCs w:val="22"/>
                        <w:lang w:val="id-ID"/>
                      </w:rPr>
                      <m:t>γ</m:t>
                    </m:r>
                  </m:e>
                  <m:sub>
                    <m:r>
                      <w:rPr>
                        <w:rFonts w:ascii="Cambria Math" w:eastAsiaTheme="minorHAnsi" w:hAnsi="Cambria Math"/>
                        <w:szCs w:val="22"/>
                        <w:lang w:val="id-ID"/>
                      </w:rPr>
                      <m:t>l</m:t>
                    </m:r>
                  </m:sub>
                  <m:sup>
                    <m:r>
                      <w:rPr>
                        <w:rFonts w:ascii="Cambria Math" w:eastAsiaTheme="minorHAnsi" w:hAnsi="Cambria Math"/>
                        <w:szCs w:val="22"/>
                        <w:lang w:val="id-ID"/>
                      </w:rPr>
                      <m:t>+</m:t>
                    </m:r>
                  </m:sup>
                </m:sSubSup>
              </m:e>
            </m:rad>
          </m:e>
        </m:d>
      </m:oMath>
      <w:r w:rsidRPr="00164B51">
        <w:rPr>
          <w:bCs w:val="0"/>
          <w:szCs w:val="22"/>
          <w:lang w:val="id-ID"/>
        </w:rPr>
        <w:tab/>
        <w:t>(</w:t>
      </w:r>
      <w:r w:rsidR="00B04458">
        <w:rPr>
          <w:bCs w:val="0"/>
          <w:szCs w:val="22"/>
        </w:rPr>
        <w:t>4</w:t>
      </w:r>
      <w:r w:rsidRPr="00164B51">
        <w:rPr>
          <w:bCs w:val="0"/>
          <w:szCs w:val="22"/>
          <w:lang w:val="id-ID"/>
        </w:rPr>
        <w:t>)</w:t>
      </w:r>
    </w:p>
    <w:p w14:paraId="50B5D2B5" w14:textId="77777777" w:rsidR="00635501" w:rsidRPr="00001042" w:rsidRDefault="00635501" w:rsidP="00E459E1">
      <w:pPr>
        <w:pStyle w:val="Section"/>
        <w:rPr>
          <w:lang w:val="en-US"/>
        </w:rPr>
      </w:pPr>
      <w:r w:rsidRPr="00001042">
        <w:rPr>
          <w:lang w:val="en-US"/>
        </w:rPr>
        <w:t>Result</w:t>
      </w:r>
      <w:r w:rsidR="00F4289D">
        <w:rPr>
          <w:lang w:val="en-US"/>
        </w:rPr>
        <w:t>s</w:t>
      </w:r>
      <w:r w:rsidRPr="00001042">
        <w:rPr>
          <w:lang w:val="en-US"/>
        </w:rPr>
        <w:t xml:space="preserve"> and Discussion</w:t>
      </w:r>
    </w:p>
    <w:p w14:paraId="4FD58652" w14:textId="7DAF8731" w:rsidR="00AC5E89" w:rsidRDefault="008617B0" w:rsidP="00AC5E89">
      <w:pPr>
        <w:jc w:val="both"/>
        <w:rPr>
          <w:rFonts w:ascii="Times New Roman" w:hAnsi="Times New Roman"/>
          <w:noProof/>
          <w:lang w:val="en-US" w:eastAsia="id-ID"/>
        </w:rPr>
      </w:pPr>
      <w:r w:rsidRPr="008617B0">
        <w:rPr>
          <w:rFonts w:ascii="Times New Roman" w:hAnsi="Times New Roman"/>
          <w:noProof/>
          <w:lang w:val="en-US" w:eastAsia="id-ID"/>
        </w:rPr>
        <w:t>Contact angles of the test liquids (water, methanol</w:t>
      </w:r>
      <w:r>
        <w:rPr>
          <w:rFonts w:ascii="Times New Roman" w:hAnsi="Times New Roman"/>
          <w:noProof/>
          <w:lang w:val="en-US" w:eastAsia="id-ID"/>
        </w:rPr>
        <w:t>,</w:t>
      </w:r>
      <w:r w:rsidRPr="008617B0">
        <w:rPr>
          <w:rFonts w:ascii="Times New Roman" w:hAnsi="Times New Roman"/>
          <w:noProof/>
          <w:lang w:val="en-US" w:eastAsia="id-ID"/>
        </w:rPr>
        <w:t xml:space="preserve"> and hexane) on the</w:t>
      </w:r>
      <w:r>
        <w:rPr>
          <w:rFonts w:ascii="Times New Roman" w:hAnsi="Times New Roman"/>
          <w:noProof/>
          <w:lang w:val="en-US" w:eastAsia="id-ID"/>
        </w:rPr>
        <w:t xml:space="preserve"> surface of</w:t>
      </w:r>
      <w:r w:rsidRPr="008617B0">
        <w:rPr>
          <w:rFonts w:ascii="Times New Roman" w:hAnsi="Times New Roman"/>
          <w:noProof/>
          <w:lang w:val="en-US" w:eastAsia="id-ID"/>
        </w:rPr>
        <w:t xml:space="preserve"> </w:t>
      </w:r>
      <w:r>
        <w:rPr>
          <w:rFonts w:ascii="Times New Roman" w:hAnsi="Times New Roman"/>
          <w:noProof/>
          <w:lang w:val="en-US" w:eastAsia="id-ID"/>
        </w:rPr>
        <w:t>the unprinted paper</w:t>
      </w:r>
      <w:r w:rsidRPr="008617B0">
        <w:rPr>
          <w:rFonts w:ascii="Times New Roman" w:hAnsi="Times New Roman"/>
          <w:noProof/>
          <w:lang w:val="en-US" w:eastAsia="id-ID"/>
        </w:rPr>
        <w:t xml:space="preserve">, </w:t>
      </w:r>
      <w:r>
        <w:rPr>
          <w:rFonts w:ascii="Times New Roman" w:hAnsi="Times New Roman"/>
          <w:noProof/>
          <w:lang w:val="en-US" w:eastAsia="id-ID"/>
        </w:rPr>
        <w:t>printed FAME-LO</w:t>
      </w:r>
      <w:r w:rsidRPr="008617B0">
        <w:rPr>
          <w:rFonts w:ascii="Times New Roman" w:hAnsi="Times New Roman"/>
          <w:noProof/>
          <w:lang w:val="en-US" w:eastAsia="id-ID"/>
        </w:rPr>
        <w:t xml:space="preserve">, </w:t>
      </w:r>
      <w:r>
        <w:rPr>
          <w:rFonts w:ascii="Times New Roman" w:hAnsi="Times New Roman"/>
          <w:noProof/>
          <w:lang w:val="en-US" w:eastAsia="id-ID"/>
        </w:rPr>
        <w:t>FAME-SO</w:t>
      </w:r>
      <w:r w:rsidRPr="008617B0">
        <w:rPr>
          <w:rFonts w:ascii="Times New Roman" w:hAnsi="Times New Roman"/>
          <w:noProof/>
          <w:lang w:val="en-US" w:eastAsia="id-ID"/>
        </w:rPr>
        <w:t>,</w:t>
      </w:r>
      <w:r>
        <w:rPr>
          <w:rFonts w:ascii="Times New Roman" w:hAnsi="Times New Roman"/>
          <w:noProof/>
          <w:lang w:val="en-US" w:eastAsia="id-ID"/>
        </w:rPr>
        <w:t xml:space="preserve"> </w:t>
      </w:r>
      <w:r w:rsidRPr="008617B0">
        <w:rPr>
          <w:rFonts w:ascii="Times New Roman" w:hAnsi="Times New Roman"/>
          <w:noProof/>
          <w:lang w:val="en-US" w:eastAsia="id-ID"/>
        </w:rPr>
        <w:t xml:space="preserve">and </w:t>
      </w:r>
      <w:r>
        <w:rPr>
          <w:rFonts w:ascii="Times New Roman" w:hAnsi="Times New Roman"/>
          <w:noProof/>
          <w:lang w:val="en-US" w:eastAsia="id-ID"/>
        </w:rPr>
        <w:t>conventional ink</w:t>
      </w:r>
      <w:r w:rsidR="009A10AA">
        <w:rPr>
          <w:rFonts w:ascii="Times New Roman" w:hAnsi="Times New Roman"/>
          <w:noProof/>
          <w:lang w:val="en-US" w:eastAsia="id-ID"/>
        </w:rPr>
        <w:t>s</w:t>
      </w:r>
      <w:r w:rsidRPr="008617B0">
        <w:rPr>
          <w:rFonts w:ascii="Times New Roman" w:hAnsi="Times New Roman"/>
          <w:noProof/>
          <w:lang w:val="en-US" w:eastAsia="id-ID"/>
        </w:rPr>
        <w:t xml:space="preserve"> as control </w:t>
      </w:r>
      <w:r w:rsidR="009A10AA">
        <w:rPr>
          <w:rFonts w:ascii="Times New Roman" w:hAnsi="Times New Roman"/>
          <w:noProof/>
          <w:lang w:val="en-US" w:eastAsia="id-ID"/>
        </w:rPr>
        <w:t>are</w:t>
      </w:r>
      <w:r w:rsidRPr="008617B0">
        <w:rPr>
          <w:rFonts w:ascii="Times New Roman" w:hAnsi="Times New Roman"/>
          <w:noProof/>
          <w:lang w:val="en-US" w:eastAsia="id-ID"/>
        </w:rPr>
        <w:t xml:space="preserve"> given in </w:t>
      </w:r>
      <w:r w:rsidR="009A10AA">
        <w:rPr>
          <w:rFonts w:ascii="Times New Roman" w:hAnsi="Times New Roman"/>
          <w:noProof/>
          <w:lang w:val="en-US" w:eastAsia="id-ID"/>
        </w:rPr>
        <w:t>Figure</w:t>
      </w:r>
      <w:r w:rsidRPr="008617B0">
        <w:rPr>
          <w:rFonts w:ascii="Times New Roman" w:hAnsi="Times New Roman"/>
          <w:noProof/>
          <w:lang w:val="en-US" w:eastAsia="id-ID"/>
        </w:rPr>
        <w:t xml:space="preserve"> </w:t>
      </w:r>
      <w:r w:rsidR="00EF3D32">
        <w:rPr>
          <w:rFonts w:ascii="Times New Roman" w:hAnsi="Times New Roman"/>
          <w:noProof/>
          <w:lang w:val="en-US" w:eastAsia="id-ID"/>
        </w:rPr>
        <w:t>4</w:t>
      </w:r>
      <w:r w:rsidRPr="008617B0">
        <w:rPr>
          <w:rFonts w:ascii="Times New Roman" w:hAnsi="Times New Roman"/>
          <w:noProof/>
          <w:lang w:val="en-US" w:eastAsia="id-ID"/>
        </w:rPr>
        <w:t xml:space="preserve">. The value of each contact angle was the average of three droplets. </w:t>
      </w:r>
      <w:r w:rsidR="009A10AA" w:rsidRPr="009A10AA">
        <w:rPr>
          <w:rFonts w:ascii="Times New Roman" w:hAnsi="Times New Roman"/>
          <w:noProof/>
          <w:lang w:val="en-US" w:eastAsia="id-ID"/>
        </w:rPr>
        <w:t>Contact angle measurement show</w:t>
      </w:r>
      <w:r w:rsidR="009A10AA">
        <w:rPr>
          <w:rFonts w:ascii="Times New Roman" w:hAnsi="Times New Roman"/>
          <w:noProof/>
          <w:lang w:val="en-US" w:eastAsia="id-ID"/>
        </w:rPr>
        <w:t>s</w:t>
      </w:r>
      <w:r w:rsidR="009A10AA" w:rsidRPr="009A10AA">
        <w:rPr>
          <w:rFonts w:ascii="Times New Roman" w:hAnsi="Times New Roman"/>
          <w:noProof/>
          <w:lang w:val="en-US" w:eastAsia="id-ID"/>
        </w:rPr>
        <w:t xml:space="preserve"> the wetting performance of</w:t>
      </w:r>
      <w:r w:rsidR="009A10AA">
        <w:rPr>
          <w:rFonts w:ascii="Times New Roman" w:hAnsi="Times New Roman"/>
          <w:noProof/>
          <w:lang w:val="en-US" w:eastAsia="id-ID"/>
        </w:rPr>
        <w:t xml:space="preserve"> liquids applied to solid</w:t>
      </w:r>
      <w:r w:rsidR="009A10AA" w:rsidRPr="009A10AA">
        <w:rPr>
          <w:rFonts w:ascii="Times New Roman" w:hAnsi="Times New Roman"/>
          <w:noProof/>
          <w:lang w:val="en-US" w:eastAsia="id-ID"/>
        </w:rPr>
        <w:t xml:space="preserve"> </w:t>
      </w:r>
      <w:r w:rsidR="009A10AA">
        <w:rPr>
          <w:rFonts w:ascii="Times New Roman" w:hAnsi="Times New Roman"/>
          <w:noProof/>
          <w:lang w:val="en-US" w:eastAsia="id-ID"/>
        </w:rPr>
        <w:t>surfaces</w:t>
      </w:r>
      <w:r w:rsidR="009A10AA" w:rsidRPr="009A10AA">
        <w:rPr>
          <w:rFonts w:ascii="Times New Roman" w:hAnsi="Times New Roman"/>
          <w:noProof/>
          <w:lang w:val="en-US" w:eastAsia="id-ID"/>
        </w:rPr>
        <w:t xml:space="preserve"> </w:t>
      </w:r>
      <w:r w:rsidR="009A10AA">
        <w:rPr>
          <w:rFonts w:ascii="Times New Roman" w:hAnsi="Times New Roman"/>
          <w:noProof/>
          <w:lang w:val="en-US" w:eastAsia="id-ID"/>
        </w:rPr>
        <w:t>and</w:t>
      </w:r>
      <w:r w:rsidR="009A10AA" w:rsidRPr="009A10AA">
        <w:rPr>
          <w:rFonts w:ascii="Times New Roman" w:hAnsi="Times New Roman"/>
          <w:noProof/>
          <w:lang w:val="en-US" w:eastAsia="id-ID"/>
        </w:rPr>
        <w:t xml:space="preserve"> describ</w:t>
      </w:r>
      <w:r w:rsidR="009A10AA">
        <w:rPr>
          <w:rFonts w:ascii="Times New Roman" w:hAnsi="Times New Roman"/>
          <w:noProof/>
          <w:lang w:val="en-US" w:eastAsia="id-ID"/>
        </w:rPr>
        <w:t>es</w:t>
      </w:r>
      <w:r w:rsidR="009A10AA" w:rsidRPr="009A10AA">
        <w:rPr>
          <w:rFonts w:ascii="Times New Roman" w:hAnsi="Times New Roman"/>
          <w:noProof/>
          <w:lang w:val="en-US" w:eastAsia="id-ID"/>
        </w:rPr>
        <w:t xml:space="preserve"> the hydrophobic or hydrophilic behavior of a materia</w:t>
      </w:r>
      <w:r w:rsidR="009A10AA">
        <w:rPr>
          <w:rFonts w:ascii="Times New Roman" w:hAnsi="Times New Roman"/>
          <w:noProof/>
          <w:lang w:val="en-US" w:eastAsia="id-ID"/>
        </w:rPr>
        <w:t xml:space="preserve">l </w:t>
      </w:r>
      <w:r w:rsidR="009A10AA">
        <w:rPr>
          <w:rFonts w:ascii="Times New Roman" w:hAnsi="Times New Roman"/>
          <w:noProof/>
          <w:lang w:val="en-US" w:eastAsia="id-ID"/>
        </w:rPr>
        <w:fldChar w:fldCharType="begin" w:fldLock="1"/>
      </w:r>
      <w:r w:rsidR="007021DC">
        <w:rPr>
          <w:rFonts w:ascii="Times New Roman" w:hAnsi="Times New Roman"/>
          <w:noProof/>
          <w:lang w:val="en-US" w:eastAsia="id-ID"/>
        </w:rPr>
        <w:instrText>ADDIN CSL_CITATION {"citationItems":[{"id":"ITEM-1","itemData":{"DOI":"10.35812/CelluloseChemTechnol.2019.53.77","ISSN":"05769787","abstract":"One of the keys to improving print quality is to experimentally characterize the paper surface, structure and printability to obtain quality control mechanisms. In multi-color prints, determining the differences in the acceptance of the next color ink by the surface of the paper or the ink film that was previously printed is important for print quality. The criteria, such as ink setting, adhesion, color, gloss and density, in the printing process, depend on the wettability and absorbency of the paper. The surface structure of the paper is the most important factor in determining the hydrophobic properties. In this study, wetting and absorption dynamics of the printed partially hydrophobized paper surface were investigated. The aim was to measure the effect of the printed ink film on the wetting (surface free energy) and liquid absorption behavior of the paper. Liquid absorption changes on printed/unprinted paper surfaces were measured by the sessile drop method, using a contact angle-measuring device. The surface energies of the papers were calculated and evaluated according to the surface contact angle of the droplet.","author":[{"dropping-particle":"","family":"Aydemir","given":"Cem","non-dropping-particle":"","parse-names":false,"suffix":""},{"dropping-particle":"","family":"Karademir","given":"Ari̇F","non-dropping-particle":"","parse-names":false,"suffix":""},{"dropping-particle":"","family":"İMamoğlu","given":"Sami̇","non-dropping-particle":"","parse-names":false,"suffix":""},{"dropping-particle":"","family":"Altay","given":"Bi̇Lge Nazli","non-dropping-particle":"","parse-names":false,"suffix":""},{"dropping-particle":"","family":"Fleming","given":"Paul D.","non-dropping-particle":"","parse-names":false,"suffix":""},{"dropping-particle":"","family":"Tutak","given":"Dogan","non-dropping-particle":"","parse-names":false,"suffix":""}],"container-title":"Cellulose Chemistry and Technology","id":"ITEM-1","issue":"7-8","issued":{"date-parts":[["2019"]]},"page":"787-794","title":"Investigation of the evolution of hydrophobicity and wettability of paper in multi-color printing process","type":"article-journal","volume":"53"},"uris":["http://www.mendeley.com/documents/?uuid=c3d210b7-eed5-44f7-8785-7dafb2712341"]},{"id":"ITEM-2","itemData":{"DOI":"10.1177/2280800018764761","ISSN":"22808000","PMID":"29618225","abstract":"Introduction: Printing inks oil selection is related to the desired nature of the varnish in the ink production. Petroleum-derived mineral oils and vegetable oils can be used in offset inks. Methods: In this study, the behaviors of vegetable- and mineral oil-based inks on uncoated and coated paper surfaces were investigated in terms of printability. Solid tone test prints were done with offset printing of these inks. Print gloss of the printed samples was measured and a light fastness test was implemented on these samples in order to determine the resistance to fading. Absorption behavior and contact angles of the ink-printed films on the test papers were measured with the sessile water drop method depending on time, and surface energies were calculated. Results: On both paper types, linseed–soybean oil-based vegetable ink gave the highest brightness value. The lowest print gloss results on the paper were obtained from soybean oil-based inks. The lowest color change was recorded with mineral oil-based inks on gloss-coated papers. According to the ink-film–surface relation, when the contact angle is high, surface energy decreases and the absorbency of the ink-film is lower. Conclusions: In this study, the behaviors of vegetable- and mineral oil-based inks on different paper surfaces, and the effect on the quality of printability as well as differences, have been evaluated, taking environmental and health factors into consideration.","author":[{"dropping-particle":"","family":"Aydemir","given":"Cem","non-dropping-particle":"","parse-names":false,"suffix":""},{"dropping-particle":"","family":"Yenidoğan","given":"Semiha","non-dropping-particle":"","parse-names":false,"suffix":""},{"dropping-particle":"","family":"Karademir","given":"Arif","non-dropping-particle":"","parse-names":false,"suffix":""},{"dropping-particle":"","family":"Arman Kandirmaz","given":"Emine","non-dropping-particle":"","parse-names":false,"suffix":""}],"container-title":"Journal of Applied Biomaterials and Functional Materials","id":"ITEM-2","issue":"3","issued":{"date-parts":[["2018"]]},"page":"137-143","title":"The examination of vegetable- and mineral oil-based inks’ effects on print quality: Green printing effects with different oils","type":"article-journal","volume":"16"},"uris":["http://www.mendeley.com/documents/?uuid=25155e9a-6a89-450b-83fa-46732bec9d6a"]}],"mendeley":{"formattedCitation":"[14,15]","plainTextFormattedCitation":"[14,15]","previouslyFormattedCitation":"[13,14]"},"properties":{"noteIndex":0},"schema":"https://github.com/citation-style-language/schema/raw/master/csl-citation.json"}</w:instrText>
      </w:r>
      <w:r w:rsidR="009A10AA">
        <w:rPr>
          <w:rFonts w:ascii="Times New Roman" w:hAnsi="Times New Roman"/>
          <w:noProof/>
          <w:lang w:val="en-US" w:eastAsia="id-ID"/>
        </w:rPr>
        <w:fldChar w:fldCharType="separate"/>
      </w:r>
      <w:r w:rsidR="007021DC" w:rsidRPr="007021DC">
        <w:rPr>
          <w:rFonts w:ascii="Times New Roman" w:hAnsi="Times New Roman"/>
          <w:noProof/>
          <w:lang w:val="en-US" w:eastAsia="id-ID"/>
        </w:rPr>
        <w:t>[14,15]</w:t>
      </w:r>
      <w:r w:rsidR="009A10AA">
        <w:rPr>
          <w:rFonts w:ascii="Times New Roman" w:hAnsi="Times New Roman"/>
          <w:noProof/>
          <w:lang w:val="en-US" w:eastAsia="id-ID"/>
        </w:rPr>
        <w:fldChar w:fldCharType="end"/>
      </w:r>
      <w:r w:rsidR="009A10AA">
        <w:rPr>
          <w:rFonts w:ascii="Times New Roman" w:hAnsi="Times New Roman"/>
          <w:noProof/>
          <w:lang w:val="en-US" w:eastAsia="id-ID"/>
        </w:rPr>
        <w:t>.</w:t>
      </w:r>
      <w:r w:rsidR="002202E4">
        <w:rPr>
          <w:rFonts w:ascii="Times New Roman" w:hAnsi="Times New Roman"/>
          <w:noProof/>
          <w:lang w:val="en-US" w:eastAsia="id-ID"/>
        </w:rPr>
        <w:t xml:space="preserve"> </w:t>
      </w:r>
      <w:r w:rsidRPr="008617B0">
        <w:rPr>
          <w:rFonts w:ascii="Times New Roman" w:hAnsi="Times New Roman"/>
          <w:noProof/>
          <w:lang w:val="en-US" w:eastAsia="id-ID"/>
        </w:rPr>
        <w:t xml:space="preserve">As it can be seen in </w:t>
      </w:r>
      <w:r w:rsidR="009A10AA">
        <w:rPr>
          <w:rFonts w:ascii="Times New Roman" w:hAnsi="Times New Roman"/>
          <w:noProof/>
          <w:lang w:val="en-US" w:eastAsia="id-ID"/>
        </w:rPr>
        <w:t xml:space="preserve">Figure </w:t>
      </w:r>
      <w:r w:rsidR="00EF3D32">
        <w:rPr>
          <w:rFonts w:ascii="Times New Roman" w:hAnsi="Times New Roman"/>
          <w:noProof/>
          <w:lang w:val="en-US" w:eastAsia="id-ID"/>
        </w:rPr>
        <w:t>4</w:t>
      </w:r>
      <w:r w:rsidRPr="008617B0">
        <w:rPr>
          <w:rFonts w:ascii="Times New Roman" w:hAnsi="Times New Roman"/>
          <w:noProof/>
          <w:lang w:val="en-US" w:eastAsia="id-ID"/>
        </w:rPr>
        <w:t>,</w:t>
      </w:r>
      <w:r w:rsidR="009A10AA">
        <w:rPr>
          <w:rFonts w:ascii="Times New Roman" w:hAnsi="Times New Roman"/>
          <w:noProof/>
          <w:lang w:val="en-US" w:eastAsia="id-ID"/>
        </w:rPr>
        <w:t xml:space="preserve"> t</w:t>
      </w:r>
      <w:r w:rsidR="009A10AA" w:rsidRPr="009A10AA">
        <w:rPr>
          <w:rFonts w:ascii="Times New Roman" w:hAnsi="Times New Roman"/>
          <w:noProof/>
          <w:lang w:val="en-US" w:eastAsia="id-ID"/>
        </w:rPr>
        <w:t>he contact angle of the water drops on the</w:t>
      </w:r>
      <w:r w:rsidR="009A10AA">
        <w:rPr>
          <w:rFonts w:ascii="Times New Roman" w:hAnsi="Times New Roman"/>
          <w:noProof/>
          <w:lang w:val="en-US" w:eastAsia="id-ID"/>
        </w:rPr>
        <w:t xml:space="preserve"> </w:t>
      </w:r>
      <w:r w:rsidR="009A10AA" w:rsidRPr="009A10AA">
        <w:rPr>
          <w:rFonts w:ascii="Times New Roman" w:hAnsi="Times New Roman"/>
          <w:noProof/>
          <w:lang w:val="en-US" w:eastAsia="id-ID"/>
        </w:rPr>
        <w:t xml:space="preserve">paper surfaces increased in the printed </w:t>
      </w:r>
      <w:r w:rsidR="009A10AA">
        <w:rPr>
          <w:rFonts w:ascii="Times New Roman" w:hAnsi="Times New Roman"/>
          <w:noProof/>
          <w:lang w:val="en-US" w:eastAsia="id-ID"/>
        </w:rPr>
        <w:t>FAME-LO ink</w:t>
      </w:r>
      <w:r w:rsidR="009A10AA" w:rsidRPr="009A10AA">
        <w:rPr>
          <w:rFonts w:ascii="Times New Roman" w:hAnsi="Times New Roman"/>
          <w:noProof/>
          <w:lang w:val="en-US" w:eastAsia="id-ID"/>
        </w:rPr>
        <w:t xml:space="preserve">. </w:t>
      </w:r>
      <w:r w:rsidR="009A10AA">
        <w:rPr>
          <w:rFonts w:ascii="Times New Roman" w:hAnsi="Times New Roman"/>
          <w:noProof/>
          <w:lang w:val="en-US" w:eastAsia="id-ID"/>
        </w:rPr>
        <w:t>I</w:t>
      </w:r>
      <w:r w:rsidR="009A10AA" w:rsidRPr="009A10AA">
        <w:rPr>
          <w:rFonts w:ascii="Times New Roman" w:hAnsi="Times New Roman"/>
          <w:noProof/>
          <w:lang w:val="en-US" w:eastAsia="id-ID"/>
        </w:rPr>
        <w:t xml:space="preserve">t could be </w:t>
      </w:r>
      <w:r w:rsidR="009A10AA">
        <w:rPr>
          <w:rFonts w:ascii="Times New Roman" w:hAnsi="Times New Roman"/>
          <w:noProof/>
          <w:lang w:val="en-US" w:eastAsia="id-ID"/>
        </w:rPr>
        <w:t>indicated</w:t>
      </w:r>
      <w:r w:rsidR="009A10AA" w:rsidRPr="009A10AA">
        <w:rPr>
          <w:rFonts w:ascii="Times New Roman" w:hAnsi="Times New Roman"/>
          <w:noProof/>
          <w:lang w:val="en-US" w:eastAsia="id-ID"/>
        </w:rPr>
        <w:t xml:space="preserve"> that printed </w:t>
      </w:r>
      <w:r w:rsidR="009A10AA">
        <w:rPr>
          <w:rFonts w:ascii="Times New Roman" w:hAnsi="Times New Roman"/>
          <w:noProof/>
          <w:lang w:val="en-US" w:eastAsia="id-ID"/>
        </w:rPr>
        <w:t xml:space="preserve">FAME-LO ink on </w:t>
      </w:r>
      <w:r w:rsidR="009A10AA" w:rsidRPr="009A10AA">
        <w:rPr>
          <w:rFonts w:ascii="Times New Roman" w:hAnsi="Times New Roman"/>
          <w:noProof/>
          <w:lang w:val="en-US" w:eastAsia="id-ID"/>
        </w:rPr>
        <w:t>paper surfaces ha</w:t>
      </w:r>
      <w:r w:rsidR="009A10AA">
        <w:rPr>
          <w:rFonts w:ascii="Times New Roman" w:hAnsi="Times New Roman"/>
          <w:noProof/>
          <w:lang w:val="en-US" w:eastAsia="id-ID"/>
        </w:rPr>
        <w:t>s</w:t>
      </w:r>
      <w:r w:rsidR="009A10AA" w:rsidRPr="009A10AA">
        <w:rPr>
          <w:rFonts w:ascii="Times New Roman" w:hAnsi="Times New Roman"/>
          <w:noProof/>
          <w:lang w:val="en-US" w:eastAsia="id-ID"/>
        </w:rPr>
        <w:t xml:space="preserve"> greater water resistance than unprinted paper surfaces</w:t>
      </w:r>
      <w:r w:rsidR="009A10AA">
        <w:rPr>
          <w:rFonts w:ascii="Times New Roman" w:hAnsi="Times New Roman"/>
          <w:noProof/>
          <w:lang w:val="en-US" w:eastAsia="id-ID"/>
        </w:rPr>
        <w:t xml:space="preserve"> and other </w:t>
      </w:r>
      <w:r w:rsidR="009A10AA" w:rsidRPr="009A10AA">
        <w:rPr>
          <w:rFonts w:ascii="Times New Roman" w:hAnsi="Times New Roman"/>
          <w:noProof/>
          <w:lang w:val="en-US" w:eastAsia="id-ID"/>
        </w:rPr>
        <w:t>printed ones</w:t>
      </w:r>
      <w:r w:rsidR="00AC5E89">
        <w:rPr>
          <w:rFonts w:ascii="Times New Roman" w:hAnsi="Times New Roman"/>
          <w:noProof/>
          <w:lang w:val="en-US" w:eastAsia="id-ID"/>
        </w:rPr>
        <w:t>. Meanwhile, t</w:t>
      </w:r>
      <w:r w:rsidR="00AC5E89" w:rsidRPr="00AC5E89">
        <w:rPr>
          <w:rFonts w:ascii="Times New Roman" w:hAnsi="Times New Roman"/>
          <w:noProof/>
          <w:lang w:val="en-US" w:eastAsia="id-ID"/>
        </w:rPr>
        <w:t xml:space="preserve">he values of water contact angles indicate that </w:t>
      </w:r>
      <w:r w:rsidR="00AC5E89">
        <w:rPr>
          <w:rFonts w:ascii="Times New Roman" w:hAnsi="Times New Roman"/>
          <w:noProof/>
          <w:lang w:val="en-US" w:eastAsia="id-ID"/>
        </w:rPr>
        <w:t xml:space="preserve">the </w:t>
      </w:r>
      <w:r w:rsidR="00AC5E89" w:rsidRPr="00AC5E89">
        <w:rPr>
          <w:rFonts w:ascii="Times New Roman" w:hAnsi="Times New Roman"/>
          <w:noProof/>
          <w:lang w:val="en-US" w:eastAsia="id-ID"/>
        </w:rPr>
        <w:t xml:space="preserve">lowest wettability was determinate for </w:t>
      </w:r>
      <w:r w:rsidR="00AC5E89" w:rsidRPr="009A10AA">
        <w:rPr>
          <w:rFonts w:ascii="Times New Roman" w:hAnsi="Times New Roman"/>
          <w:noProof/>
          <w:lang w:val="en-US" w:eastAsia="id-ID"/>
        </w:rPr>
        <w:t xml:space="preserve">printed </w:t>
      </w:r>
      <w:r w:rsidR="00AC5E89">
        <w:rPr>
          <w:rFonts w:ascii="Times New Roman" w:hAnsi="Times New Roman"/>
          <w:noProof/>
          <w:lang w:val="en-US" w:eastAsia="id-ID"/>
        </w:rPr>
        <w:t>FAME-LO ink</w:t>
      </w:r>
      <w:r w:rsidR="00AC5E89" w:rsidRPr="00AC5E89">
        <w:rPr>
          <w:rFonts w:ascii="Times New Roman" w:hAnsi="Times New Roman"/>
          <w:noProof/>
          <w:lang w:val="en-US" w:eastAsia="id-ID"/>
        </w:rPr>
        <w:t>.</w:t>
      </w:r>
      <w:r w:rsidR="00AC5E89">
        <w:rPr>
          <w:rFonts w:ascii="Times New Roman" w:hAnsi="Times New Roman"/>
          <w:noProof/>
          <w:lang w:val="en-US" w:eastAsia="id-ID"/>
        </w:rPr>
        <w:t xml:space="preserve"> </w:t>
      </w:r>
      <w:r w:rsidR="00AC5E89" w:rsidRPr="00AC5E89">
        <w:rPr>
          <w:rFonts w:ascii="Times New Roman" w:hAnsi="Times New Roman"/>
          <w:noProof/>
          <w:lang w:val="en-US" w:eastAsia="id-ID"/>
        </w:rPr>
        <w:t>Larger contact angles demonstrate low wettability, whereas smaller contact angles demonstrate high wettability</w:t>
      </w:r>
      <w:r w:rsidR="00AC5E89">
        <w:rPr>
          <w:rFonts w:ascii="Times New Roman" w:hAnsi="Times New Roman"/>
          <w:noProof/>
          <w:lang w:val="en-US" w:eastAsia="id-ID"/>
        </w:rPr>
        <w:t xml:space="preserve"> </w:t>
      </w:r>
      <w:r w:rsidR="00AC5E89">
        <w:rPr>
          <w:rFonts w:ascii="Times New Roman" w:hAnsi="Times New Roman"/>
          <w:noProof/>
          <w:lang w:val="en-US" w:eastAsia="id-ID"/>
        </w:rPr>
        <w:fldChar w:fldCharType="begin" w:fldLock="1"/>
      </w:r>
      <w:r w:rsidR="007021DC">
        <w:rPr>
          <w:rFonts w:ascii="Times New Roman" w:hAnsi="Times New Roman"/>
          <w:noProof/>
          <w:lang w:val="en-US" w:eastAsia="id-ID"/>
        </w:rPr>
        <w:instrText>ADDIN CSL_CITATION {"citationItems":[{"id":"ITEM-1","itemData":{"DOI":"10.1080/10426914.2017.1279323","ISSN":"15322475","abstract":"In printing, the most important element is to obtain the correct substrate and ink combination. Transparent white and opaque white are used for the lightening of printing inks, but they are also an important component for the mixing of inks. The primary objective of this study was to assess the result of using transparent and opaque white in mineral oil-based offset printing inks on the rheological and printability properties of these inks as well as the ideal mixing ratios in terms of print quality. Transparent and opaque white were added into the standard offset magenta ink variable ratios. Differences in ink viscosity, tack, and flow (rheological) values affect such parameters as adhesion, transferability, and printing stability in these inks. Prints were made on matt-coated papers of the same grammage with these inks, and contact angle, solid ink density, color strength, and print gloss values of these ink films were measured. Color differences (ΔEab*) of inks in comparison to the standard ink were calculated and the effects of transparent and opaque white on the rheological and printability properties of the ink were presented. Finally, the ideal mixture ratios of transparent and opaque white into the ink were determined in terms of print quality and recommendations were presented.","author":[{"dropping-particle":"","family":"Aydemir","given":"Cem","non-dropping-particle":"","parse-names":false,"suffix":""},{"dropping-particle":"","family":"Yenidoğan","given":"Semiha","non-dropping-particle":"","parse-names":false,"suffix":""},{"dropping-particle":"","family":"Karademir","given":"Arif","non-dropping-particle":"","parse-names":false,"suffix":""},{"dropping-particle":"","family":"Arman","given":"Emine","non-dropping-particle":"","parse-names":false,"suffix":""}],"container-title":"Materials and Manufacturing Processes","id":"ITEM-1","issue":"11","issued":{"date-parts":[["2017"]]},"page":"1310-1315","publisher":"Taylor &amp; Francis","title":"Effects of color mixing components on offset ink and printing process","type":"article-journal","volume":"32"},"uris":["http://www.mendeley.com/documents/?uuid=faf62485-9ede-4cdd-b35a-f80e14a695bb"]}],"mendeley":{"formattedCitation":"[16]","plainTextFormattedCitation":"[16]","previouslyFormattedCitation":"[15]"},"properties":{"noteIndex":0},"schema":"https://github.com/citation-style-language/schema/raw/master/csl-citation.json"}</w:instrText>
      </w:r>
      <w:r w:rsidR="00AC5E89">
        <w:rPr>
          <w:rFonts w:ascii="Times New Roman" w:hAnsi="Times New Roman"/>
          <w:noProof/>
          <w:lang w:val="en-US" w:eastAsia="id-ID"/>
        </w:rPr>
        <w:fldChar w:fldCharType="separate"/>
      </w:r>
      <w:r w:rsidR="007021DC" w:rsidRPr="007021DC">
        <w:rPr>
          <w:rFonts w:ascii="Times New Roman" w:hAnsi="Times New Roman"/>
          <w:noProof/>
          <w:lang w:val="en-US" w:eastAsia="id-ID"/>
        </w:rPr>
        <w:t>[16]</w:t>
      </w:r>
      <w:r w:rsidR="00AC5E89">
        <w:rPr>
          <w:rFonts w:ascii="Times New Roman" w:hAnsi="Times New Roman"/>
          <w:noProof/>
          <w:lang w:val="en-US" w:eastAsia="id-ID"/>
        </w:rPr>
        <w:fldChar w:fldCharType="end"/>
      </w:r>
      <w:r w:rsidR="00AC5E89">
        <w:rPr>
          <w:rFonts w:ascii="Times New Roman" w:hAnsi="Times New Roman"/>
          <w:noProof/>
          <w:lang w:val="en-US" w:eastAsia="id-ID"/>
        </w:rPr>
        <w:t xml:space="preserve">. Printed FAME-SO and conventional inks have great wettability on coated paper. </w:t>
      </w:r>
      <w:r w:rsidR="00AC5E89" w:rsidRPr="008617B0">
        <w:rPr>
          <w:rFonts w:ascii="Times New Roman" w:hAnsi="Times New Roman"/>
          <w:noProof/>
          <w:lang w:val="en-US" w:eastAsia="id-ID"/>
        </w:rPr>
        <w:t xml:space="preserve">Furthermore, </w:t>
      </w:r>
      <w:r w:rsidR="00AC5E89">
        <w:rPr>
          <w:rFonts w:ascii="Times New Roman" w:hAnsi="Times New Roman"/>
          <w:noProof/>
          <w:lang w:val="en-US" w:eastAsia="id-ID"/>
        </w:rPr>
        <w:t>e</w:t>
      </w:r>
      <w:r w:rsidR="00AC5E89" w:rsidRPr="008617B0">
        <w:rPr>
          <w:rFonts w:ascii="Times New Roman" w:hAnsi="Times New Roman"/>
          <w:noProof/>
          <w:lang w:val="en-US" w:eastAsia="id-ID"/>
        </w:rPr>
        <w:t xml:space="preserve">ither </w:t>
      </w:r>
      <w:r w:rsidR="00AC5E89">
        <w:rPr>
          <w:rFonts w:ascii="Times New Roman" w:hAnsi="Times New Roman"/>
          <w:noProof/>
          <w:lang w:val="en-US" w:eastAsia="id-ID"/>
        </w:rPr>
        <w:t>printed or unprinted paper</w:t>
      </w:r>
      <w:r w:rsidR="00AC5E89" w:rsidRPr="008617B0">
        <w:rPr>
          <w:rFonts w:ascii="Times New Roman" w:hAnsi="Times New Roman"/>
          <w:noProof/>
          <w:lang w:val="en-US" w:eastAsia="id-ID"/>
        </w:rPr>
        <w:t xml:space="preserve"> was nonpolar and hydrophobic materials, due to the droplets of nonpolar liquid (hexane) on its surface </w:t>
      </w:r>
      <w:r w:rsidR="00AC5E89">
        <w:rPr>
          <w:rFonts w:ascii="Times New Roman" w:hAnsi="Times New Roman"/>
          <w:noProof/>
          <w:lang w:val="en-US" w:eastAsia="id-ID"/>
        </w:rPr>
        <w:t>being</w:t>
      </w:r>
      <w:r w:rsidR="00AC5E89" w:rsidRPr="008617B0">
        <w:rPr>
          <w:rFonts w:ascii="Times New Roman" w:hAnsi="Times New Roman"/>
          <w:noProof/>
          <w:lang w:val="en-US" w:eastAsia="id-ID"/>
        </w:rPr>
        <w:t xml:space="preserve"> wet quickly, react</w:t>
      </w:r>
      <w:r w:rsidR="00AC5E89">
        <w:rPr>
          <w:rFonts w:ascii="Times New Roman" w:hAnsi="Times New Roman"/>
          <w:noProof/>
          <w:lang w:val="en-US" w:eastAsia="id-ID"/>
        </w:rPr>
        <w:t>ing</w:t>
      </w:r>
      <w:r w:rsidR="00AC5E89" w:rsidRPr="008617B0">
        <w:rPr>
          <w:rFonts w:ascii="Times New Roman" w:hAnsi="Times New Roman"/>
          <w:noProof/>
          <w:lang w:val="en-US" w:eastAsia="id-ID"/>
        </w:rPr>
        <w:t xml:space="preserve"> to the </w:t>
      </w:r>
      <w:r w:rsidR="00AC5E89">
        <w:rPr>
          <w:rFonts w:ascii="Times New Roman" w:hAnsi="Times New Roman"/>
          <w:noProof/>
          <w:lang w:val="en-US" w:eastAsia="id-ID"/>
        </w:rPr>
        <w:t>sample's</w:t>
      </w:r>
      <w:r w:rsidR="00AC5E89" w:rsidRPr="008617B0">
        <w:rPr>
          <w:rFonts w:ascii="Times New Roman" w:hAnsi="Times New Roman"/>
          <w:noProof/>
          <w:lang w:val="en-US" w:eastAsia="id-ID"/>
        </w:rPr>
        <w:t xml:space="preserve"> surface.</w:t>
      </w:r>
    </w:p>
    <w:p w14:paraId="7A1B3AB2" w14:textId="58FE8CE0" w:rsidR="002202E4" w:rsidRDefault="002202E4" w:rsidP="002202E4">
      <w:pPr>
        <w:rPr>
          <w:b/>
        </w:rPr>
      </w:pPr>
    </w:p>
    <w:p w14:paraId="01A7BA26" w14:textId="77777777" w:rsidR="002202E4" w:rsidRDefault="002202E4" w:rsidP="002202E4">
      <w:pPr>
        <w:rPr>
          <w:b/>
        </w:rPr>
      </w:pPr>
      <w:r>
        <w:rPr>
          <w:b/>
          <w:noProof/>
          <w:lang w:val="id-ID" w:eastAsia="id-ID"/>
        </w:rPr>
        <w:lastRenderedPageBreak/>
        <w:drawing>
          <wp:inline distT="0" distB="0" distL="0" distR="0" wp14:anchorId="72F6AFD7" wp14:editId="7CC4B799">
            <wp:extent cx="5769610" cy="2465407"/>
            <wp:effectExtent l="0" t="0" r="254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A9D0478" w14:textId="77777777" w:rsidR="002202E4" w:rsidRDefault="002202E4" w:rsidP="002202E4">
      <w:pPr>
        <w:rPr>
          <w:b/>
        </w:rPr>
      </w:pPr>
    </w:p>
    <w:p w14:paraId="14C14012" w14:textId="79CCF725" w:rsidR="002202E4" w:rsidRDefault="002202E4" w:rsidP="002202E4">
      <w:pPr>
        <w:jc w:val="center"/>
        <w:rPr>
          <w:lang w:val="id-ID"/>
        </w:rPr>
      </w:pPr>
      <w:r w:rsidRPr="00164B51">
        <w:rPr>
          <w:b/>
        </w:rPr>
        <w:t xml:space="preserve">Figure </w:t>
      </w:r>
      <w:r w:rsidR="00EF3D32">
        <w:rPr>
          <w:b/>
          <w:lang w:val="en-US"/>
        </w:rPr>
        <w:t>4</w:t>
      </w:r>
      <w:r w:rsidRPr="00164B51">
        <w:rPr>
          <w:b/>
        </w:rPr>
        <w:t xml:space="preserve">. </w:t>
      </w:r>
      <w:r w:rsidRPr="00754F95">
        <w:rPr>
          <w:lang w:val="id-ID"/>
        </w:rPr>
        <w:t>Contact angles of the test liquids on the printed and unprinted paper</w:t>
      </w:r>
    </w:p>
    <w:p w14:paraId="41B20380" w14:textId="653D10BA" w:rsidR="00CF6048" w:rsidRDefault="00CF6048" w:rsidP="002202E4">
      <w:pPr>
        <w:jc w:val="center"/>
        <w:rPr>
          <w:lang w:val="id-ID"/>
        </w:rPr>
      </w:pPr>
    </w:p>
    <w:p w14:paraId="083BBA82" w14:textId="77777777" w:rsidR="00CF6048" w:rsidRDefault="00CF6048" w:rsidP="00CF6048">
      <w:pPr>
        <w:ind w:firstLine="284"/>
        <w:jc w:val="both"/>
        <w:rPr>
          <w:noProof/>
        </w:rPr>
      </w:pPr>
    </w:p>
    <w:p w14:paraId="766EB8E8" w14:textId="77777777" w:rsidR="00CF6048" w:rsidRDefault="00CF6048" w:rsidP="00CF6048">
      <w:pPr>
        <w:ind w:firstLine="284"/>
        <w:jc w:val="center"/>
        <w:rPr>
          <w:noProof/>
        </w:rPr>
      </w:pPr>
      <w:r>
        <w:rPr>
          <w:noProof/>
          <w:lang w:val="id-ID" w:eastAsia="id-ID"/>
        </w:rPr>
        <w:drawing>
          <wp:inline distT="0" distB="0" distL="0" distR="0" wp14:anchorId="1A44C9C6" wp14:editId="5BFD630E">
            <wp:extent cx="1003300" cy="1247765"/>
            <wp:effectExtent l="0" t="0" r="6350" b="0"/>
            <wp:docPr id="2" name="Picture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000-000002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000-000002000000}"/>
                        </a:ext>
                      </a:extLst>
                    </pic:cNvPr>
                    <pic:cNvPicPr>
                      <a:picLocks/>
                    </pic:cNvPicPr>
                  </pic:nvPicPr>
                  <pic:blipFill rotWithShape="1">
                    <a:blip r:embed="rId14" cstate="print">
                      <a:extLst>
                        <a:ext uri="{28A0092B-C50C-407E-A947-70E740481C1C}">
                          <a14:useLocalDpi xmlns:a14="http://schemas.microsoft.com/office/drawing/2010/main" val="0"/>
                        </a:ext>
                      </a:extLst>
                    </a:blip>
                    <a:srcRect l="14174" r="28322"/>
                    <a:stretch/>
                  </pic:blipFill>
                  <pic:spPr bwMode="auto">
                    <a:xfrm>
                      <a:off x="0" y="0"/>
                      <a:ext cx="1012251" cy="1258897"/>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lang w:val="id-ID" w:eastAsia="id-ID"/>
        </w:rPr>
        <w:drawing>
          <wp:inline distT="0" distB="0" distL="0" distR="0" wp14:anchorId="22CDFDC8" wp14:editId="538DB87F">
            <wp:extent cx="971550" cy="1238885"/>
            <wp:effectExtent l="0" t="0" r="0" b="0"/>
            <wp:docPr id="25" name="Picture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000-000004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000-000004000000}"/>
                        </a:ext>
                      </a:extLst>
                    </pic:cNvPr>
                    <pic:cNvPicPr>
                      <a:picLocks/>
                    </pic:cNvPicPr>
                  </pic:nvPicPr>
                  <pic:blipFill rotWithShape="1">
                    <a:blip r:embed="rId15" cstate="print">
                      <a:extLst>
                        <a:ext uri="{28A0092B-C50C-407E-A947-70E740481C1C}">
                          <a14:useLocalDpi xmlns:a14="http://schemas.microsoft.com/office/drawing/2010/main" val="0"/>
                        </a:ext>
                      </a:extLst>
                    </a:blip>
                    <a:srcRect l="16123" r="27793"/>
                    <a:stretch/>
                  </pic:blipFill>
                  <pic:spPr bwMode="auto">
                    <a:xfrm>
                      <a:off x="0" y="0"/>
                      <a:ext cx="974979" cy="124325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lang w:val="id-ID" w:eastAsia="id-ID"/>
        </w:rPr>
        <w:drawing>
          <wp:inline distT="0" distB="0" distL="0" distR="0" wp14:anchorId="7EEBCDFA" wp14:editId="3749FAF7">
            <wp:extent cx="1034733" cy="1212215"/>
            <wp:effectExtent l="0" t="0" r="0" b="6985"/>
            <wp:docPr id="9" name="Picture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000-000009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0000000-0008-0000-0000-000009000000}"/>
                        </a:ext>
                      </a:extLst>
                    </pic:cNvPr>
                    <pic:cNvPicPr>
                      <a:picLocks/>
                    </pic:cNvPicPr>
                  </pic:nvPicPr>
                  <pic:blipFill rotWithShape="1">
                    <a:blip r:embed="rId16" cstate="print">
                      <a:extLst>
                        <a:ext uri="{28A0092B-C50C-407E-A947-70E740481C1C}">
                          <a14:useLocalDpi xmlns:a14="http://schemas.microsoft.com/office/drawing/2010/main" val="0"/>
                        </a:ext>
                      </a:extLst>
                    </a:blip>
                    <a:srcRect l="11239" r="27714"/>
                    <a:stretch/>
                  </pic:blipFill>
                  <pic:spPr bwMode="auto">
                    <a:xfrm>
                      <a:off x="0" y="0"/>
                      <a:ext cx="1035721" cy="1213373"/>
                    </a:xfrm>
                    <a:prstGeom prst="rect">
                      <a:avLst/>
                    </a:prstGeom>
                    <a:ln>
                      <a:noFill/>
                    </a:ln>
                    <a:extLst>
                      <a:ext uri="{53640926-AAD7-44D8-BBD7-CCE9431645EC}">
                        <a14:shadowObscured xmlns:a14="http://schemas.microsoft.com/office/drawing/2010/main"/>
                      </a:ext>
                    </a:extLst>
                  </pic:spPr>
                </pic:pic>
              </a:graphicData>
            </a:graphic>
          </wp:inline>
        </w:drawing>
      </w:r>
    </w:p>
    <w:p w14:paraId="10B89884" w14:textId="77777777" w:rsidR="00CF6048" w:rsidRDefault="00CF6048" w:rsidP="00CF6048">
      <w:pPr>
        <w:ind w:left="1560" w:right="1558"/>
        <w:rPr>
          <w:b/>
        </w:rPr>
      </w:pPr>
    </w:p>
    <w:p w14:paraId="14BFB9BA" w14:textId="6EB8DA84" w:rsidR="00CF6048" w:rsidRPr="00351DB4" w:rsidRDefault="00CF6048" w:rsidP="00CF6048">
      <w:pPr>
        <w:ind w:left="2268" w:right="1983"/>
        <w:rPr>
          <w:lang w:val="en-US"/>
        </w:rPr>
      </w:pPr>
      <w:r w:rsidRPr="00164B51">
        <w:rPr>
          <w:b/>
        </w:rPr>
        <w:t xml:space="preserve">Figure </w:t>
      </w:r>
      <w:r w:rsidR="00EF3D32">
        <w:rPr>
          <w:b/>
          <w:lang w:val="en-US"/>
        </w:rPr>
        <w:t>5</w:t>
      </w:r>
      <w:r w:rsidRPr="00164B51">
        <w:rPr>
          <w:b/>
        </w:rPr>
        <w:t xml:space="preserve">. </w:t>
      </w:r>
      <w:r w:rsidRPr="00164B51">
        <w:rPr>
          <w:lang w:val="id-ID"/>
        </w:rPr>
        <w:t>Representative figures of contact angle</w:t>
      </w:r>
      <w:r>
        <w:rPr>
          <w:lang w:val="en-US"/>
        </w:rPr>
        <w:t xml:space="preserve"> </w:t>
      </w:r>
      <w:r w:rsidRPr="00164B51">
        <w:rPr>
          <w:lang w:val="id-ID"/>
        </w:rPr>
        <w:t xml:space="preserve">measurements of </w:t>
      </w:r>
      <w:r>
        <w:rPr>
          <w:lang w:val="en-US"/>
        </w:rPr>
        <w:t>printed FAME-SO inks 73.47</w:t>
      </w:r>
      <w:r w:rsidRPr="00351DB4">
        <w:rPr>
          <w:vertAlign w:val="superscript"/>
          <w:lang w:val="en-US"/>
        </w:rPr>
        <w:t>o</w:t>
      </w:r>
    </w:p>
    <w:p w14:paraId="72B7977E" w14:textId="77777777" w:rsidR="00CF6048" w:rsidRDefault="00CF6048" w:rsidP="002202E4">
      <w:pPr>
        <w:jc w:val="center"/>
        <w:rPr>
          <w:b/>
        </w:rPr>
      </w:pPr>
    </w:p>
    <w:p w14:paraId="66B21220" w14:textId="5D8CACC7" w:rsidR="00AC5E89" w:rsidRPr="00AC5E89" w:rsidRDefault="002202E4" w:rsidP="00AC5E89">
      <w:pPr>
        <w:ind w:firstLine="284"/>
        <w:jc w:val="both"/>
        <w:rPr>
          <w:szCs w:val="22"/>
          <w:lang w:val="en-US" w:eastAsia="id-ID"/>
        </w:rPr>
      </w:pPr>
      <w:r w:rsidRPr="00164B51">
        <w:rPr>
          <w:szCs w:val="22"/>
          <w:lang w:val="id-ID" w:eastAsia="zh-CN"/>
        </w:rPr>
        <w:t>According to the contact angle values</w:t>
      </w:r>
      <w:r>
        <w:rPr>
          <w:szCs w:val="22"/>
          <w:lang w:val="en-US" w:eastAsia="zh-CN"/>
        </w:rPr>
        <w:t>,</w:t>
      </w:r>
      <w:r w:rsidRPr="00164B51">
        <w:rPr>
          <w:szCs w:val="22"/>
          <w:lang w:val="id-ID" w:eastAsia="zh-CN"/>
        </w:rPr>
        <w:t xml:space="preserve"> the surface free energy (SFE) of </w:t>
      </w:r>
      <w:r>
        <w:rPr>
          <w:szCs w:val="22"/>
          <w:lang w:val="en-US" w:eastAsia="zh-CN"/>
        </w:rPr>
        <w:t>samples</w:t>
      </w:r>
      <w:r w:rsidRPr="00164B51">
        <w:rPr>
          <w:szCs w:val="22"/>
          <w:lang w:val="id-ID" w:eastAsia="zh-CN"/>
        </w:rPr>
        <w:t xml:space="preserve"> and their components were calculate</w:t>
      </w:r>
      <w:r>
        <w:rPr>
          <w:szCs w:val="22"/>
          <w:lang w:val="id-ID" w:eastAsia="zh-CN"/>
        </w:rPr>
        <w:t>d</w:t>
      </w:r>
      <w:r w:rsidRPr="00164B51">
        <w:rPr>
          <w:szCs w:val="22"/>
          <w:lang w:val="id-ID" w:eastAsia="zh-CN"/>
        </w:rPr>
        <w:t xml:space="preserve"> using </w:t>
      </w:r>
      <w:r w:rsidRPr="00164B51">
        <w:rPr>
          <w:lang w:val="id-ID" w:eastAsia="id-ID"/>
        </w:rPr>
        <w:t>three previous</w:t>
      </w:r>
      <w:r>
        <w:rPr>
          <w:lang w:val="id-ID" w:eastAsia="id-ID"/>
        </w:rPr>
        <w:t>ly</w:t>
      </w:r>
      <w:r w:rsidRPr="00164B51">
        <w:rPr>
          <w:lang w:val="id-ID" w:eastAsia="id-ID"/>
        </w:rPr>
        <w:t xml:space="preserve"> known methods, </w:t>
      </w:r>
      <w:r w:rsidRPr="00164B51">
        <w:rPr>
          <w:szCs w:val="22"/>
          <w:lang w:val="id-ID" w:eastAsia="zh-CN"/>
        </w:rPr>
        <w:t xml:space="preserve">Girifalco-Good-Fowkes-Young (GGFY), Owen-Wendt (OW), and </w:t>
      </w:r>
      <w:r w:rsidRPr="00164B51">
        <w:rPr>
          <w:szCs w:val="22"/>
          <w:lang w:val="id-ID" w:eastAsia="id-ID"/>
        </w:rPr>
        <w:t xml:space="preserve">van Oss-Chaudhury-Good (vOCG). </w:t>
      </w:r>
      <w:r w:rsidR="00AC5E89" w:rsidRPr="00AC5E89">
        <w:rPr>
          <w:szCs w:val="22"/>
          <w:lang w:val="id-ID" w:eastAsia="id-ID"/>
        </w:rPr>
        <w:t xml:space="preserve">The force available on a solid surface to attract liquid molecules is referred to as SFE. </w:t>
      </w:r>
      <w:r w:rsidR="00AC5E89">
        <w:rPr>
          <w:szCs w:val="22"/>
          <w:lang w:val="en-US" w:eastAsia="id-ID"/>
        </w:rPr>
        <w:t>U</w:t>
      </w:r>
      <w:r w:rsidR="00AC5E89" w:rsidRPr="00AC5E89">
        <w:rPr>
          <w:szCs w:val="22"/>
          <w:lang w:val="id-ID" w:eastAsia="id-ID"/>
        </w:rPr>
        <w:t xml:space="preserve">nlike surface tension, </w:t>
      </w:r>
      <w:r w:rsidR="00AC5E89">
        <w:rPr>
          <w:szCs w:val="22"/>
          <w:lang w:val="en-US" w:eastAsia="id-ID"/>
        </w:rPr>
        <w:t xml:space="preserve">SFE </w:t>
      </w:r>
      <w:r w:rsidR="00AC5E89" w:rsidRPr="00AC5E89">
        <w:rPr>
          <w:szCs w:val="22"/>
          <w:lang w:val="id-ID" w:eastAsia="id-ID"/>
        </w:rPr>
        <w:t>cannot be measured directly; it must be calculated using contact angle measurements</w:t>
      </w:r>
      <w:r w:rsidR="00AC5E89">
        <w:rPr>
          <w:szCs w:val="22"/>
          <w:lang w:val="en-US" w:eastAsia="id-ID"/>
        </w:rPr>
        <w:t xml:space="preserve"> </w:t>
      </w:r>
      <w:r w:rsidR="00AC5E89">
        <w:rPr>
          <w:szCs w:val="22"/>
          <w:lang w:val="en-US" w:eastAsia="id-ID"/>
        </w:rPr>
        <w:fldChar w:fldCharType="begin" w:fldLock="1"/>
      </w:r>
      <w:r w:rsidR="007021DC">
        <w:rPr>
          <w:szCs w:val="22"/>
          <w:lang w:val="en-US" w:eastAsia="id-ID"/>
        </w:rPr>
        <w:instrText>ADDIN CSL_CITATION {"citationItems":[{"id":"ITEM-1","itemData":{"DOI":"10.1177/2280800018764761","ISSN":"22808000","PMID":"29618225","abstract":"Introduction: Printing inks oil selection is related to the desired nature of the varnish in the ink production. Petroleum-derived mineral oils and vegetable oils can be used in offset inks. Methods: In this study, the behaviors of vegetable- and mineral oil-based inks on uncoated and coated paper surfaces were investigated in terms of printability. Solid tone test prints were done with offset printing of these inks. Print gloss of the printed samples was measured and a light fastness test was implemented on these samples in order to determine the resistance to fading. Absorption behavior and contact angles of the ink-printed films on the test papers were measured with the sessile water drop method depending on time, and surface energies were calculated. Results: On both paper types, linseed–soybean oil-based vegetable ink gave the highest brightness value. The lowest print gloss results on the paper were obtained from soybean oil-based inks. The lowest color change was recorded with mineral oil-based inks on gloss-coated papers. According to the ink-film–surface relation, when the contact angle is high, surface energy decreases and the absorbency of the ink-film is lower. Conclusions: In this study, the behaviors of vegetable- and mineral oil-based inks on different paper surfaces, and the effect on the quality of printability as well as differences, have been evaluated, taking environmental and health factors into consideration.","author":[{"dropping-particle":"","family":"Aydemir","given":"Cem","non-dropping-particle":"","parse-names":false,"suffix":""},{"dropping-particle":"","family":"Yenidoğan","given":"Semiha","non-dropping-particle":"","parse-names":false,"suffix":""},{"dropping-particle":"","family":"Karademir","given":"Arif","non-dropping-particle":"","parse-names":false,"suffix":""},{"dropping-particle":"","family":"Arman Kandirmaz","given":"Emine","non-dropping-particle":"","parse-names":false,"suffix":""}],"container-title":"Journal of Applied Biomaterials and Functional Materials","id":"ITEM-1","issue":"3","issued":{"date-parts":[["2018"]]},"page":"137-143","title":"The examination of vegetable- and mineral oil-based inks’ effects on print quality: Green printing effects with different oils","type":"article-journal","volume":"16"},"uris":["http://www.mendeley.com/documents/?uuid=25155e9a-6a89-450b-83fa-46732bec9d6a"]}],"mendeley":{"formattedCitation":"[15]","plainTextFormattedCitation":"[15]","previouslyFormattedCitation":"[14]"},"properties":{"noteIndex":0},"schema":"https://github.com/citation-style-language/schema/raw/master/csl-citation.json"}</w:instrText>
      </w:r>
      <w:r w:rsidR="00AC5E89">
        <w:rPr>
          <w:szCs w:val="22"/>
          <w:lang w:val="en-US" w:eastAsia="id-ID"/>
        </w:rPr>
        <w:fldChar w:fldCharType="separate"/>
      </w:r>
      <w:r w:rsidR="007021DC" w:rsidRPr="007021DC">
        <w:rPr>
          <w:noProof/>
          <w:szCs w:val="22"/>
          <w:lang w:val="en-US" w:eastAsia="id-ID"/>
        </w:rPr>
        <w:t>[15]</w:t>
      </w:r>
      <w:r w:rsidR="00AC5E89">
        <w:rPr>
          <w:szCs w:val="22"/>
          <w:lang w:val="en-US" w:eastAsia="id-ID"/>
        </w:rPr>
        <w:fldChar w:fldCharType="end"/>
      </w:r>
      <w:r w:rsidR="00AC5E89" w:rsidRPr="00AC5E89">
        <w:rPr>
          <w:szCs w:val="22"/>
          <w:lang w:val="id-ID" w:eastAsia="id-ID"/>
        </w:rPr>
        <w:t>.</w:t>
      </w:r>
      <w:r w:rsidR="00AC5E89">
        <w:rPr>
          <w:szCs w:val="22"/>
          <w:lang w:val="en-US" w:eastAsia="id-ID"/>
        </w:rPr>
        <w:t xml:space="preserve"> </w:t>
      </w:r>
      <w:r w:rsidR="00AC5E89" w:rsidRPr="00164B51">
        <w:rPr>
          <w:szCs w:val="22"/>
          <w:lang w:val="id-ID" w:eastAsia="id-ID"/>
        </w:rPr>
        <w:t>The values of the SFE and its components are presented in Table 5.</w:t>
      </w:r>
    </w:p>
    <w:p w14:paraId="08226E9E" w14:textId="2BFA54DA" w:rsidR="00AC5E89" w:rsidRDefault="00AC5E89" w:rsidP="002202E4">
      <w:pPr>
        <w:ind w:firstLine="284"/>
        <w:jc w:val="both"/>
        <w:rPr>
          <w:szCs w:val="22"/>
          <w:lang w:val="id-ID" w:eastAsia="id-ID"/>
        </w:rPr>
      </w:pPr>
    </w:p>
    <w:tbl>
      <w:tblPr>
        <w:tblW w:w="9358" w:type="dxa"/>
        <w:tblBorders>
          <w:top w:val="single" w:sz="4" w:space="0" w:color="auto"/>
          <w:bottom w:val="single" w:sz="4" w:space="0" w:color="auto"/>
        </w:tblBorders>
        <w:tblLayout w:type="fixed"/>
        <w:tblLook w:val="04A0" w:firstRow="1" w:lastRow="0" w:firstColumn="1" w:lastColumn="0" w:noHBand="0" w:noVBand="1"/>
      </w:tblPr>
      <w:tblGrid>
        <w:gridCol w:w="1701"/>
        <w:gridCol w:w="993"/>
        <w:gridCol w:w="283"/>
        <w:gridCol w:w="709"/>
        <w:gridCol w:w="849"/>
        <w:gridCol w:w="709"/>
        <w:gridCol w:w="285"/>
        <w:gridCol w:w="850"/>
        <w:gridCol w:w="852"/>
        <w:gridCol w:w="709"/>
        <w:gridCol w:w="709"/>
        <w:gridCol w:w="454"/>
        <w:gridCol w:w="255"/>
      </w:tblGrid>
      <w:tr w:rsidR="002202E4" w:rsidRPr="00164B51" w14:paraId="6595CA4C" w14:textId="77777777" w:rsidTr="002202E4">
        <w:trPr>
          <w:gridAfter w:val="1"/>
          <w:wAfter w:w="255" w:type="dxa"/>
        </w:trPr>
        <w:tc>
          <w:tcPr>
            <w:tcW w:w="9103" w:type="dxa"/>
            <w:gridSpan w:val="12"/>
            <w:tcBorders>
              <w:top w:val="nil"/>
              <w:bottom w:val="nil"/>
            </w:tcBorders>
          </w:tcPr>
          <w:p w14:paraId="307A798C" w14:textId="77777777" w:rsidR="002202E4" w:rsidRPr="00164B51" w:rsidRDefault="002202E4" w:rsidP="005A56B9">
            <w:pPr>
              <w:pStyle w:val="TableCaption"/>
              <w:spacing w:before="240" w:after="200"/>
              <w:rPr>
                <w:rFonts w:ascii="Times New Roman" w:hAnsi="Times New Roman"/>
              </w:rPr>
            </w:pPr>
            <w:r w:rsidRPr="00164B51">
              <w:rPr>
                <w:rFonts w:ascii="Times New Roman" w:hAnsi="Times New Roman"/>
                <w:b/>
              </w:rPr>
              <w:t xml:space="preserve">Table </w:t>
            </w:r>
            <w:r w:rsidRPr="00164B51">
              <w:rPr>
                <w:rFonts w:ascii="Times New Roman" w:hAnsi="Times New Roman"/>
                <w:b/>
                <w:lang w:val="id-ID"/>
              </w:rPr>
              <w:t>5</w:t>
            </w:r>
            <w:r w:rsidRPr="00164B51">
              <w:rPr>
                <w:rFonts w:ascii="Times New Roman" w:hAnsi="Times New Roman"/>
                <w:b/>
              </w:rPr>
              <w:t>.</w:t>
            </w:r>
            <w:r w:rsidRPr="00164B51">
              <w:rPr>
                <w:rFonts w:ascii="Times New Roman" w:hAnsi="Times New Roman"/>
              </w:rPr>
              <w:t xml:space="preserve"> </w:t>
            </w:r>
            <w:r w:rsidRPr="00164B51">
              <w:rPr>
                <w:rFonts w:ascii="Times New Roman" w:hAnsi="Times New Roman"/>
                <w:lang w:val="id-ID"/>
              </w:rPr>
              <w:t>SFE and its components (in mJ/m</w:t>
            </w:r>
            <w:r w:rsidRPr="00164B51">
              <w:rPr>
                <w:rFonts w:ascii="Times New Roman" w:hAnsi="Times New Roman"/>
                <w:vertAlign w:val="superscript"/>
                <w:lang w:val="id-ID"/>
              </w:rPr>
              <w:t>2</w:t>
            </w:r>
            <w:r w:rsidRPr="00164B51">
              <w:rPr>
                <w:rFonts w:ascii="Times New Roman" w:hAnsi="Times New Roman"/>
                <w:lang w:val="id-ID"/>
              </w:rPr>
              <w:t xml:space="preserve">) of </w:t>
            </w:r>
            <w:r>
              <w:rPr>
                <w:rFonts w:ascii="Times New Roman" w:hAnsi="Times New Roman"/>
              </w:rPr>
              <w:t>ink film surface</w:t>
            </w:r>
            <w:r w:rsidRPr="00164B51">
              <w:rPr>
                <w:rFonts w:ascii="Times New Roman" w:hAnsi="Times New Roman"/>
                <w:lang w:val="id-ID"/>
              </w:rPr>
              <w:t xml:space="preserve"> calculated with various methods</w:t>
            </w:r>
          </w:p>
        </w:tc>
      </w:tr>
      <w:tr w:rsidR="002202E4" w:rsidRPr="00164B51" w14:paraId="45755D79" w14:textId="77777777" w:rsidTr="002202E4">
        <w:trPr>
          <w:gridAfter w:val="7"/>
          <w:wAfter w:w="4114" w:type="dxa"/>
        </w:trPr>
        <w:tc>
          <w:tcPr>
            <w:tcW w:w="1701" w:type="dxa"/>
            <w:tcBorders>
              <w:top w:val="nil"/>
              <w:bottom w:val="single" w:sz="4" w:space="0" w:color="auto"/>
            </w:tcBorders>
          </w:tcPr>
          <w:p w14:paraId="3E7EA8AA" w14:textId="77777777" w:rsidR="002202E4" w:rsidRPr="00164B51" w:rsidRDefault="002202E4" w:rsidP="005A56B9">
            <w:pPr>
              <w:spacing w:before="40" w:after="40"/>
              <w:rPr>
                <w:color w:val="000000"/>
                <w:sz w:val="2"/>
                <w:szCs w:val="2"/>
              </w:rPr>
            </w:pPr>
          </w:p>
        </w:tc>
        <w:tc>
          <w:tcPr>
            <w:tcW w:w="993" w:type="dxa"/>
            <w:tcBorders>
              <w:top w:val="nil"/>
              <w:bottom w:val="single" w:sz="4" w:space="0" w:color="auto"/>
            </w:tcBorders>
          </w:tcPr>
          <w:p w14:paraId="1C19608B" w14:textId="77777777" w:rsidR="002202E4" w:rsidRPr="00164B51" w:rsidRDefault="002202E4" w:rsidP="005A56B9">
            <w:pPr>
              <w:spacing w:before="40" w:after="40"/>
              <w:ind w:left="28"/>
              <w:rPr>
                <w:color w:val="000000"/>
                <w:sz w:val="2"/>
                <w:szCs w:val="2"/>
              </w:rPr>
            </w:pPr>
          </w:p>
        </w:tc>
        <w:tc>
          <w:tcPr>
            <w:tcW w:w="283" w:type="dxa"/>
            <w:tcBorders>
              <w:top w:val="nil"/>
              <w:bottom w:val="single" w:sz="4" w:space="0" w:color="auto"/>
            </w:tcBorders>
          </w:tcPr>
          <w:p w14:paraId="149985B9" w14:textId="77777777" w:rsidR="002202E4" w:rsidRPr="00164B51" w:rsidRDefault="002202E4" w:rsidP="005A56B9">
            <w:pPr>
              <w:spacing w:before="40" w:after="40"/>
              <w:ind w:left="28"/>
              <w:rPr>
                <w:color w:val="000000"/>
                <w:sz w:val="2"/>
                <w:szCs w:val="2"/>
              </w:rPr>
            </w:pPr>
          </w:p>
        </w:tc>
        <w:tc>
          <w:tcPr>
            <w:tcW w:w="709" w:type="dxa"/>
            <w:tcBorders>
              <w:top w:val="nil"/>
              <w:bottom w:val="single" w:sz="4" w:space="0" w:color="auto"/>
            </w:tcBorders>
          </w:tcPr>
          <w:p w14:paraId="60ABB9C9" w14:textId="77777777" w:rsidR="002202E4" w:rsidRPr="00164B51" w:rsidRDefault="002202E4" w:rsidP="005A56B9">
            <w:pPr>
              <w:spacing w:before="40" w:after="40"/>
              <w:ind w:left="28"/>
              <w:rPr>
                <w:color w:val="000000"/>
                <w:sz w:val="2"/>
                <w:szCs w:val="2"/>
              </w:rPr>
            </w:pPr>
          </w:p>
        </w:tc>
        <w:tc>
          <w:tcPr>
            <w:tcW w:w="849" w:type="dxa"/>
            <w:tcBorders>
              <w:top w:val="nil"/>
              <w:bottom w:val="single" w:sz="4" w:space="0" w:color="auto"/>
            </w:tcBorders>
          </w:tcPr>
          <w:p w14:paraId="37033AF9" w14:textId="77777777" w:rsidR="002202E4" w:rsidRPr="00164B51" w:rsidRDefault="002202E4" w:rsidP="005A56B9">
            <w:pPr>
              <w:spacing w:before="40" w:after="40"/>
              <w:ind w:left="28"/>
              <w:rPr>
                <w:color w:val="000000"/>
                <w:sz w:val="2"/>
                <w:szCs w:val="2"/>
              </w:rPr>
            </w:pPr>
          </w:p>
        </w:tc>
        <w:tc>
          <w:tcPr>
            <w:tcW w:w="709" w:type="dxa"/>
            <w:tcBorders>
              <w:top w:val="nil"/>
              <w:bottom w:val="single" w:sz="4" w:space="0" w:color="auto"/>
            </w:tcBorders>
          </w:tcPr>
          <w:p w14:paraId="11FA2BF7" w14:textId="77777777" w:rsidR="002202E4" w:rsidRPr="00164B51" w:rsidRDefault="002202E4" w:rsidP="005A56B9">
            <w:pPr>
              <w:spacing w:before="40" w:after="40"/>
              <w:ind w:left="28"/>
              <w:rPr>
                <w:color w:val="000000"/>
                <w:sz w:val="2"/>
                <w:szCs w:val="2"/>
              </w:rPr>
            </w:pPr>
          </w:p>
        </w:tc>
      </w:tr>
      <w:tr w:rsidR="002202E4" w:rsidRPr="00164B51" w14:paraId="4A9B204B" w14:textId="77777777" w:rsidTr="002202E4">
        <w:tc>
          <w:tcPr>
            <w:tcW w:w="1701" w:type="dxa"/>
            <w:vMerge w:val="restart"/>
            <w:tcBorders>
              <w:top w:val="single" w:sz="4" w:space="0" w:color="auto"/>
            </w:tcBorders>
            <w:vAlign w:val="center"/>
          </w:tcPr>
          <w:p w14:paraId="428FD462" w14:textId="77777777" w:rsidR="002202E4" w:rsidRPr="00E633EA" w:rsidRDefault="002202E4" w:rsidP="005A56B9">
            <w:pPr>
              <w:ind w:left="28" w:right="-44"/>
              <w:jc w:val="center"/>
              <w:rPr>
                <w:bCs/>
                <w:sz w:val="20"/>
                <w:lang w:val="en-US"/>
              </w:rPr>
            </w:pPr>
            <w:r w:rsidRPr="00164B51">
              <w:rPr>
                <w:bCs/>
                <w:sz w:val="20"/>
                <w:lang w:val="id-ID"/>
              </w:rPr>
              <w:t>Samples</w:t>
            </w:r>
          </w:p>
        </w:tc>
        <w:tc>
          <w:tcPr>
            <w:tcW w:w="993" w:type="dxa"/>
            <w:tcBorders>
              <w:top w:val="single" w:sz="4" w:space="0" w:color="auto"/>
              <w:bottom w:val="single" w:sz="4" w:space="0" w:color="auto"/>
            </w:tcBorders>
          </w:tcPr>
          <w:p w14:paraId="22D37CE2" w14:textId="77777777" w:rsidR="002202E4" w:rsidRPr="00164B51" w:rsidRDefault="002202E4" w:rsidP="005A56B9">
            <w:pPr>
              <w:ind w:left="28" w:right="146"/>
              <w:jc w:val="center"/>
              <w:rPr>
                <w:iCs/>
                <w:color w:val="000000"/>
                <w:sz w:val="20"/>
                <w:lang w:val="id-ID"/>
              </w:rPr>
            </w:pPr>
            <w:r w:rsidRPr="00164B51">
              <w:rPr>
                <w:iCs/>
                <w:color w:val="000000"/>
                <w:sz w:val="20"/>
                <w:lang w:val="id-ID"/>
              </w:rPr>
              <w:t>GGFY</w:t>
            </w:r>
          </w:p>
        </w:tc>
        <w:tc>
          <w:tcPr>
            <w:tcW w:w="283" w:type="dxa"/>
            <w:tcBorders>
              <w:top w:val="single" w:sz="4" w:space="0" w:color="auto"/>
              <w:bottom w:val="nil"/>
            </w:tcBorders>
          </w:tcPr>
          <w:p w14:paraId="266AB64E" w14:textId="77777777" w:rsidR="002202E4" w:rsidRPr="00164B51" w:rsidRDefault="002202E4" w:rsidP="005A56B9">
            <w:pPr>
              <w:ind w:left="28" w:right="146"/>
              <w:jc w:val="center"/>
              <w:rPr>
                <w:iCs/>
                <w:color w:val="000000"/>
                <w:sz w:val="20"/>
                <w:lang w:val="id-ID"/>
              </w:rPr>
            </w:pPr>
          </w:p>
        </w:tc>
        <w:tc>
          <w:tcPr>
            <w:tcW w:w="2267" w:type="dxa"/>
            <w:gridSpan w:val="3"/>
            <w:tcBorders>
              <w:top w:val="single" w:sz="4" w:space="0" w:color="auto"/>
              <w:bottom w:val="single" w:sz="4" w:space="0" w:color="auto"/>
            </w:tcBorders>
          </w:tcPr>
          <w:p w14:paraId="66E09DC2" w14:textId="77777777" w:rsidR="002202E4" w:rsidRPr="00164B51" w:rsidRDefault="002202E4" w:rsidP="005A56B9">
            <w:pPr>
              <w:ind w:left="28"/>
              <w:jc w:val="center"/>
              <w:rPr>
                <w:iCs/>
                <w:color w:val="000000"/>
                <w:sz w:val="20"/>
                <w:lang w:val="id-ID"/>
              </w:rPr>
            </w:pPr>
            <w:r w:rsidRPr="00164B51">
              <w:rPr>
                <w:color w:val="000000"/>
                <w:sz w:val="20"/>
                <w:szCs w:val="18"/>
                <w:lang w:val="id-ID" w:eastAsia="id-ID"/>
              </w:rPr>
              <w:t>Owen-Wendt</w:t>
            </w:r>
          </w:p>
        </w:tc>
        <w:tc>
          <w:tcPr>
            <w:tcW w:w="285" w:type="dxa"/>
            <w:tcBorders>
              <w:top w:val="single" w:sz="4" w:space="0" w:color="auto"/>
              <w:bottom w:val="nil"/>
            </w:tcBorders>
          </w:tcPr>
          <w:p w14:paraId="521109FF" w14:textId="77777777" w:rsidR="002202E4" w:rsidRPr="00164B51" w:rsidRDefault="002202E4" w:rsidP="005A56B9">
            <w:pPr>
              <w:ind w:left="28"/>
              <w:jc w:val="center"/>
              <w:rPr>
                <w:iCs/>
                <w:color w:val="000000"/>
                <w:sz w:val="20"/>
                <w:lang w:val="id-ID"/>
              </w:rPr>
            </w:pPr>
          </w:p>
        </w:tc>
        <w:tc>
          <w:tcPr>
            <w:tcW w:w="3829" w:type="dxa"/>
            <w:gridSpan w:val="6"/>
            <w:tcBorders>
              <w:top w:val="single" w:sz="4" w:space="0" w:color="auto"/>
              <w:bottom w:val="single" w:sz="4" w:space="0" w:color="auto"/>
            </w:tcBorders>
          </w:tcPr>
          <w:p w14:paraId="72B95267" w14:textId="77777777" w:rsidR="002202E4" w:rsidRPr="00164B51" w:rsidRDefault="002202E4" w:rsidP="005A56B9">
            <w:pPr>
              <w:ind w:left="28"/>
              <w:jc w:val="center"/>
              <w:rPr>
                <w:iCs/>
                <w:color w:val="000000"/>
                <w:sz w:val="20"/>
                <w:lang w:val="id-ID"/>
              </w:rPr>
            </w:pPr>
            <w:r w:rsidRPr="00164B51">
              <w:rPr>
                <w:color w:val="000000"/>
                <w:sz w:val="20"/>
                <w:szCs w:val="18"/>
                <w:lang w:val="id-ID" w:eastAsia="id-ID"/>
              </w:rPr>
              <w:t>vOCG</w:t>
            </w:r>
          </w:p>
        </w:tc>
      </w:tr>
      <w:tr w:rsidR="002202E4" w:rsidRPr="00164B51" w14:paraId="2A00B017" w14:textId="77777777" w:rsidTr="002202E4">
        <w:tc>
          <w:tcPr>
            <w:tcW w:w="1701" w:type="dxa"/>
            <w:vMerge/>
            <w:tcBorders>
              <w:top w:val="single" w:sz="4" w:space="0" w:color="auto"/>
              <w:bottom w:val="single" w:sz="4" w:space="0" w:color="auto"/>
            </w:tcBorders>
          </w:tcPr>
          <w:p w14:paraId="3C32C639" w14:textId="77777777" w:rsidR="002202E4" w:rsidRPr="00164B51" w:rsidRDefault="002202E4" w:rsidP="005A56B9">
            <w:pPr>
              <w:ind w:left="28" w:right="-44"/>
              <w:jc w:val="center"/>
              <w:rPr>
                <w:bCs/>
                <w:sz w:val="20"/>
                <w:lang w:val="id-ID"/>
              </w:rPr>
            </w:pPr>
          </w:p>
        </w:tc>
        <w:tc>
          <w:tcPr>
            <w:tcW w:w="993" w:type="dxa"/>
            <w:tcBorders>
              <w:top w:val="single" w:sz="4" w:space="0" w:color="auto"/>
              <w:bottom w:val="single" w:sz="4" w:space="0" w:color="auto"/>
            </w:tcBorders>
            <w:vAlign w:val="bottom"/>
          </w:tcPr>
          <w:p w14:paraId="02EB3E8B" w14:textId="77777777" w:rsidR="002202E4" w:rsidRPr="00164B51" w:rsidRDefault="005A56B9" w:rsidP="005A56B9">
            <w:pPr>
              <w:rPr>
                <w:color w:val="000000"/>
                <w:sz w:val="20"/>
                <w:szCs w:val="18"/>
                <w:lang w:val="id-ID" w:eastAsia="id-ID"/>
              </w:rPr>
            </w:pPr>
            <m:oMathPara>
              <m:oMath>
                <m:sSub>
                  <m:sSubPr>
                    <m:ctrlPr>
                      <w:rPr>
                        <w:rFonts w:ascii="Cambria Math" w:hAnsi="Cambria Math"/>
                        <w:i/>
                        <w:color w:val="000000"/>
                        <w:sz w:val="20"/>
                        <w:szCs w:val="18"/>
                        <w:lang w:val="id-ID" w:eastAsia="id-ID"/>
                      </w:rPr>
                    </m:ctrlPr>
                  </m:sSubPr>
                  <m:e>
                    <m:r>
                      <w:rPr>
                        <w:rFonts w:ascii="Cambria Math" w:hAnsi="Cambria Math"/>
                        <w:color w:val="000000"/>
                        <w:sz w:val="20"/>
                        <w:szCs w:val="18"/>
                        <w:lang w:val="id-ID" w:eastAsia="id-ID"/>
                      </w:rPr>
                      <m:t>γ</m:t>
                    </m:r>
                  </m:e>
                  <m:sub>
                    <m:r>
                      <w:rPr>
                        <w:rFonts w:ascii="Cambria Math" w:hAnsi="Cambria Math"/>
                        <w:color w:val="000000"/>
                        <w:sz w:val="20"/>
                        <w:szCs w:val="18"/>
                        <w:lang w:val="id-ID" w:eastAsia="id-ID"/>
                      </w:rPr>
                      <m:t>s</m:t>
                    </m:r>
                  </m:sub>
                </m:sSub>
              </m:oMath>
            </m:oMathPara>
          </w:p>
        </w:tc>
        <w:tc>
          <w:tcPr>
            <w:tcW w:w="283" w:type="dxa"/>
            <w:tcBorders>
              <w:top w:val="nil"/>
              <w:bottom w:val="single" w:sz="4" w:space="0" w:color="auto"/>
            </w:tcBorders>
            <w:vAlign w:val="bottom"/>
          </w:tcPr>
          <w:p w14:paraId="15CB1910" w14:textId="77777777" w:rsidR="002202E4" w:rsidRPr="00164B51" w:rsidRDefault="002202E4" w:rsidP="005A56B9">
            <w:pPr>
              <w:rPr>
                <w:color w:val="000000"/>
                <w:szCs w:val="18"/>
                <w:lang w:val="id-ID" w:eastAsia="id-ID"/>
              </w:rPr>
            </w:pPr>
            <w:r w:rsidRPr="00164B51">
              <w:rPr>
                <w:color w:val="000000"/>
                <w:szCs w:val="18"/>
                <w:lang w:val="id-ID" w:eastAsia="id-ID"/>
              </w:rPr>
              <w:t> </w:t>
            </w:r>
          </w:p>
        </w:tc>
        <w:tc>
          <w:tcPr>
            <w:tcW w:w="709" w:type="dxa"/>
            <w:tcBorders>
              <w:top w:val="single" w:sz="4" w:space="0" w:color="auto"/>
              <w:bottom w:val="single" w:sz="4" w:space="0" w:color="auto"/>
            </w:tcBorders>
            <w:vAlign w:val="center"/>
          </w:tcPr>
          <w:p w14:paraId="2B8D47FE" w14:textId="77777777" w:rsidR="002202E4" w:rsidRPr="00164B51" w:rsidRDefault="005A56B9" w:rsidP="005A56B9">
            <w:pPr>
              <w:jc w:val="center"/>
              <w:rPr>
                <w:color w:val="000000"/>
                <w:szCs w:val="18"/>
                <w:lang w:val="id-ID" w:eastAsia="id-ID"/>
              </w:rPr>
            </w:pPr>
            <m:oMathPara>
              <m:oMath>
                <m:sSub>
                  <m:sSubPr>
                    <m:ctrlPr>
                      <w:rPr>
                        <w:rFonts w:ascii="Cambria Math" w:hAnsi="Cambria Math"/>
                        <w:i/>
                        <w:color w:val="000000"/>
                        <w:szCs w:val="18"/>
                        <w:lang w:val="id-ID" w:eastAsia="id-ID"/>
                      </w:rPr>
                    </m:ctrlPr>
                  </m:sSubPr>
                  <m:e>
                    <m:r>
                      <w:rPr>
                        <w:rFonts w:ascii="Cambria Math" w:hAnsi="Cambria Math"/>
                        <w:color w:val="000000"/>
                        <w:szCs w:val="18"/>
                        <w:lang w:val="id-ID" w:eastAsia="id-ID"/>
                      </w:rPr>
                      <m:t>γ</m:t>
                    </m:r>
                  </m:e>
                  <m:sub>
                    <m:r>
                      <w:rPr>
                        <w:rFonts w:ascii="Cambria Math" w:hAnsi="Cambria Math"/>
                        <w:color w:val="000000"/>
                        <w:szCs w:val="18"/>
                        <w:lang w:val="id-ID" w:eastAsia="id-ID"/>
                      </w:rPr>
                      <m:t>s</m:t>
                    </m:r>
                  </m:sub>
                </m:sSub>
              </m:oMath>
            </m:oMathPara>
          </w:p>
        </w:tc>
        <w:tc>
          <w:tcPr>
            <w:tcW w:w="849" w:type="dxa"/>
            <w:tcBorders>
              <w:top w:val="single" w:sz="4" w:space="0" w:color="auto"/>
              <w:bottom w:val="single" w:sz="4" w:space="0" w:color="auto"/>
            </w:tcBorders>
            <w:vAlign w:val="center"/>
          </w:tcPr>
          <w:p w14:paraId="660FA932" w14:textId="77777777" w:rsidR="002202E4" w:rsidRPr="00164B51" w:rsidRDefault="005A56B9" w:rsidP="005A56B9">
            <w:pPr>
              <w:jc w:val="center"/>
              <w:rPr>
                <w:color w:val="000000"/>
                <w:szCs w:val="18"/>
                <w:lang w:val="id-ID" w:eastAsia="id-ID"/>
              </w:rPr>
            </w:pPr>
            <m:oMathPara>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d</m:t>
                    </m:r>
                  </m:sup>
                </m:sSubSup>
              </m:oMath>
            </m:oMathPara>
          </w:p>
        </w:tc>
        <w:tc>
          <w:tcPr>
            <w:tcW w:w="709" w:type="dxa"/>
            <w:tcBorders>
              <w:top w:val="single" w:sz="4" w:space="0" w:color="auto"/>
              <w:bottom w:val="single" w:sz="4" w:space="0" w:color="auto"/>
            </w:tcBorders>
            <w:vAlign w:val="center"/>
          </w:tcPr>
          <w:p w14:paraId="01DADFC6" w14:textId="77777777" w:rsidR="002202E4" w:rsidRPr="00164B51" w:rsidRDefault="005A56B9" w:rsidP="005A56B9">
            <w:pPr>
              <w:jc w:val="center"/>
              <w:rPr>
                <w:color w:val="000000"/>
                <w:szCs w:val="18"/>
                <w:lang w:val="id-ID" w:eastAsia="id-ID"/>
              </w:rPr>
            </w:pPr>
            <m:oMathPara>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p</m:t>
                    </m:r>
                  </m:sup>
                </m:sSubSup>
              </m:oMath>
            </m:oMathPara>
          </w:p>
        </w:tc>
        <w:tc>
          <w:tcPr>
            <w:tcW w:w="285" w:type="dxa"/>
            <w:tcBorders>
              <w:top w:val="nil"/>
              <w:bottom w:val="single" w:sz="4" w:space="0" w:color="auto"/>
            </w:tcBorders>
            <w:vAlign w:val="center"/>
          </w:tcPr>
          <w:p w14:paraId="44C76507" w14:textId="77777777" w:rsidR="002202E4" w:rsidRPr="00164B51" w:rsidRDefault="002202E4" w:rsidP="005A56B9">
            <w:pPr>
              <w:jc w:val="center"/>
              <w:rPr>
                <w:color w:val="000000"/>
                <w:szCs w:val="18"/>
                <w:lang w:val="id-ID" w:eastAsia="id-ID"/>
              </w:rPr>
            </w:pPr>
            <w:r w:rsidRPr="00164B51">
              <w:rPr>
                <w:color w:val="000000"/>
                <w:szCs w:val="18"/>
                <w:lang w:val="id-ID" w:eastAsia="id-ID"/>
              </w:rPr>
              <w:t> </w:t>
            </w:r>
          </w:p>
        </w:tc>
        <w:tc>
          <w:tcPr>
            <w:tcW w:w="850" w:type="dxa"/>
            <w:tcBorders>
              <w:top w:val="single" w:sz="4" w:space="0" w:color="auto"/>
              <w:bottom w:val="single" w:sz="4" w:space="0" w:color="auto"/>
            </w:tcBorders>
            <w:vAlign w:val="bottom"/>
          </w:tcPr>
          <w:p w14:paraId="307B9CEE" w14:textId="77777777" w:rsidR="002202E4" w:rsidRPr="00164B51" w:rsidRDefault="005A56B9" w:rsidP="005A56B9">
            <w:pPr>
              <w:rPr>
                <w:color w:val="000000"/>
                <w:szCs w:val="18"/>
                <w:lang w:val="id-ID" w:eastAsia="id-ID"/>
              </w:rPr>
            </w:pPr>
            <m:oMathPara>
              <m:oMath>
                <m:sSub>
                  <m:sSubPr>
                    <m:ctrlPr>
                      <w:rPr>
                        <w:rFonts w:ascii="Cambria Math" w:hAnsi="Cambria Math"/>
                        <w:i/>
                        <w:color w:val="000000"/>
                        <w:szCs w:val="18"/>
                        <w:lang w:val="id-ID" w:eastAsia="id-ID"/>
                      </w:rPr>
                    </m:ctrlPr>
                  </m:sSubPr>
                  <m:e>
                    <m:r>
                      <w:rPr>
                        <w:rFonts w:ascii="Cambria Math" w:hAnsi="Cambria Math"/>
                        <w:color w:val="000000"/>
                        <w:szCs w:val="18"/>
                        <w:lang w:val="id-ID" w:eastAsia="id-ID"/>
                      </w:rPr>
                      <m:t>γ</m:t>
                    </m:r>
                  </m:e>
                  <m:sub>
                    <m:r>
                      <w:rPr>
                        <w:rFonts w:ascii="Cambria Math" w:hAnsi="Cambria Math"/>
                        <w:color w:val="000000"/>
                        <w:szCs w:val="18"/>
                        <w:lang w:val="id-ID" w:eastAsia="id-ID"/>
                      </w:rPr>
                      <m:t>s</m:t>
                    </m:r>
                  </m:sub>
                </m:sSub>
              </m:oMath>
            </m:oMathPara>
          </w:p>
        </w:tc>
        <w:tc>
          <w:tcPr>
            <w:tcW w:w="852" w:type="dxa"/>
            <w:tcBorders>
              <w:top w:val="single" w:sz="4" w:space="0" w:color="auto"/>
              <w:bottom w:val="single" w:sz="4" w:space="0" w:color="auto"/>
            </w:tcBorders>
            <w:vAlign w:val="bottom"/>
          </w:tcPr>
          <w:p w14:paraId="114029B6" w14:textId="77777777" w:rsidR="002202E4" w:rsidRPr="00164B51" w:rsidRDefault="005A56B9" w:rsidP="005A56B9">
            <w:pPr>
              <w:rPr>
                <w:color w:val="000000"/>
                <w:szCs w:val="18"/>
                <w:lang w:val="id-ID" w:eastAsia="id-ID"/>
              </w:rPr>
            </w:pPr>
            <m:oMathPara>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LW</m:t>
                    </m:r>
                  </m:sup>
                </m:sSubSup>
              </m:oMath>
            </m:oMathPara>
          </w:p>
        </w:tc>
        <w:tc>
          <w:tcPr>
            <w:tcW w:w="709" w:type="dxa"/>
            <w:tcBorders>
              <w:top w:val="single" w:sz="4" w:space="0" w:color="auto"/>
              <w:bottom w:val="single" w:sz="4" w:space="0" w:color="auto"/>
            </w:tcBorders>
            <w:vAlign w:val="bottom"/>
          </w:tcPr>
          <w:p w14:paraId="658CD706" w14:textId="77777777" w:rsidR="002202E4" w:rsidRPr="00164B51" w:rsidRDefault="005A56B9" w:rsidP="005A56B9">
            <w:pPr>
              <w:rPr>
                <w:color w:val="000000"/>
                <w:szCs w:val="18"/>
                <w:lang w:val="id-ID" w:eastAsia="id-ID"/>
              </w:rPr>
            </w:pPr>
            <m:oMathPara>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AB</m:t>
                    </m:r>
                  </m:sup>
                </m:sSubSup>
              </m:oMath>
            </m:oMathPara>
          </w:p>
        </w:tc>
        <w:tc>
          <w:tcPr>
            <w:tcW w:w="709" w:type="dxa"/>
            <w:tcBorders>
              <w:top w:val="single" w:sz="4" w:space="0" w:color="auto"/>
              <w:bottom w:val="single" w:sz="4" w:space="0" w:color="auto"/>
            </w:tcBorders>
            <w:vAlign w:val="bottom"/>
          </w:tcPr>
          <w:p w14:paraId="6721EBF3" w14:textId="77777777" w:rsidR="002202E4" w:rsidRPr="00164B51" w:rsidRDefault="005A56B9" w:rsidP="005A56B9">
            <w:pPr>
              <w:rPr>
                <w:color w:val="000000"/>
                <w:szCs w:val="18"/>
                <w:lang w:val="id-ID" w:eastAsia="id-ID"/>
              </w:rPr>
            </w:pPr>
            <m:oMathPara>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m:t>
                    </m:r>
                  </m:sup>
                </m:sSubSup>
              </m:oMath>
            </m:oMathPara>
          </w:p>
        </w:tc>
        <w:tc>
          <w:tcPr>
            <w:tcW w:w="709" w:type="dxa"/>
            <w:gridSpan w:val="2"/>
            <w:tcBorders>
              <w:top w:val="single" w:sz="4" w:space="0" w:color="auto"/>
              <w:bottom w:val="single" w:sz="4" w:space="0" w:color="auto"/>
            </w:tcBorders>
            <w:vAlign w:val="bottom"/>
          </w:tcPr>
          <w:p w14:paraId="1B65C343" w14:textId="77777777" w:rsidR="002202E4" w:rsidRPr="00164B51" w:rsidRDefault="005A56B9" w:rsidP="005A56B9">
            <w:pPr>
              <w:rPr>
                <w:color w:val="000000"/>
                <w:szCs w:val="18"/>
                <w:lang w:val="id-ID" w:eastAsia="id-ID"/>
              </w:rPr>
            </w:pPr>
            <m:oMathPara>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m:t>
                    </m:r>
                  </m:sup>
                </m:sSubSup>
              </m:oMath>
            </m:oMathPara>
          </w:p>
        </w:tc>
      </w:tr>
      <w:tr w:rsidR="002202E4" w:rsidRPr="00164B51" w14:paraId="6D7EE01F" w14:textId="77777777" w:rsidTr="002202E4">
        <w:tc>
          <w:tcPr>
            <w:tcW w:w="1701" w:type="dxa"/>
            <w:tcBorders>
              <w:top w:val="single" w:sz="4" w:space="0" w:color="auto"/>
            </w:tcBorders>
            <w:vAlign w:val="bottom"/>
          </w:tcPr>
          <w:p w14:paraId="77703885" w14:textId="77777777" w:rsidR="002202E4" w:rsidRPr="00DA2583" w:rsidRDefault="002202E4" w:rsidP="005A56B9">
            <w:pPr>
              <w:rPr>
                <w:b/>
                <w:color w:val="000000"/>
                <w:sz w:val="20"/>
                <w:lang w:val="en-US" w:eastAsia="id-ID"/>
              </w:rPr>
            </w:pPr>
            <w:r>
              <w:rPr>
                <w:b/>
                <w:color w:val="000000"/>
                <w:sz w:val="20"/>
                <w:lang w:val="en-US" w:eastAsia="id-ID"/>
              </w:rPr>
              <w:t>Unprinted Paper</w:t>
            </w:r>
          </w:p>
        </w:tc>
        <w:tc>
          <w:tcPr>
            <w:tcW w:w="993" w:type="dxa"/>
            <w:tcBorders>
              <w:top w:val="single" w:sz="4" w:space="0" w:color="auto"/>
            </w:tcBorders>
            <w:vAlign w:val="center"/>
          </w:tcPr>
          <w:p w14:paraId="2735422D"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35.84</w:t>
            </w:r>
          </w:p>
        </w:tc>
        <w:tc>
          <w:tcPr>
            <w:tcW w:w="283" w:type="dxa"/>
            <w:tcBorders>
              <w:top w:val="single" w:sz="4" w:space="0" w:color="auto"/>
            </w:tcBorders>
            <w:vAlign w:val="bottom"/>
          </w:tcPr>
          <w:p w14:paraId="41387590" w14:textId="77777777" w:rsidR="002202E4" w:rsidRPr="00164B51" w:rsidRDefault="002202E4" w:rsidP="005A56B9">
            <w:pPr>
              <w:jc w:val="center"/>
              <w:rPr>
                <w:color w:val="000000"/>
                <w:sz w:val="20"/>
                <w:lang w:val="id-ID" w:eastAsia="id-ID"/>
              </w:rPr>
            </w:pPr>
          </w:p>
        </w:tc>
        <w:tc>
          <w:tcPr>
            <w:tcW w:w="709" w:type="dxa"/>
            <w:tcBorders>
              <w:top w:val="single" w:sz="4" w:space="0" w:color="auto"/>
            </w:tcBorders>
            <w:vAlign w:val="center"/>
          </w:tcPr>
          <w:p w14:paraId="2E02FE83"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31.35</w:t>
            </w:r>
          </w:p>
        </w:tc>
        <w:tc>
          <w:tcPr>
            <w:tcW w:w="849" w:type="dxa"/>
            <w:tcBorders>
              <w:top w:val="single" w:sz="4" w:space="0" w:color="auto"/>
            </w:tcBorders>
            <w:vAlign w:val="center"/>
          </w:tcPr>
          <w:p w14:paraId="43EAC254"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17.83</w:t>
            </w:r>
          </w:p>
        </w:tc>
        <w:tc>
          <w:tcPr>
            <w:tcW w:w="709" w:type="dxa"/>
            <w:tcBorders>
              <w:top w:val="single" w:sz="4" w:space="0" w:color="auto"/>
            </w:tcBorders>
            <w:vAlign w:val="center"/>
          </w:tcPr>
          <w:p w14:paraId="202DE915"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13.52</w:t>
            </w:r>
          </w:p>
        </w:tc>
        <w:tc>
          <w:tcPr>
            <w:tcW w:w="285" w:type="dxa"/>
            <w:tcBorders>
              <w:top w:val="single" w:sz="4" w:space="0" w:color="auto"/>
            </w:tcBorders>
            <w:vAlign w:val="center"/>
          </w:tcPr>
          <w:p w14:paraId="1C5398EE" w14:textId="77777777" w:rsidR="002202E4" w:rsidRPr="00164B51" w:rsidRDefault="002202E4" w:rsidP="005A56B9">
            <w:pPr>
              <w:jc w:val="center"/>
              <w:rPr>
                <w:color w:val="000000"/>
                <w:sz w:val="20"/>
                <w:lang w:val="id-ID" w:eastAsia="id-ID"/>
              </w:rPr>
            </w:pPr>
          </w:p>
        </w:tc>
        <w:tc>
          <w:tcPr>
            <w:tcW w:w="850" w:type="dxa"/>
            <w:tcBorders>
              <w:top w:val="single" w:sz="4" w:space="0" w:color="auto"/>
            </w:tcBorders>
            <w:vAlign w:val="center"/>
          </w:tcPr>
          <w:p w14:paraId="4E1EB52E"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21.08</w:t>
            </w:r>
          </w:p>
        </w:tc>
        <w:tc>
          <w:tcPr>
            <w:tcW w:w="852" w:type="dxa"/>
            <w:tcBorders>
              <w:top w:val="single" w:sz="4" w:space="0" w:color="auto"/>
            </w:tcBorders>
            <w:vAlign w:val="center"/>
          </w:tcPr>
          <w:p w14:paraId="0B1993EF"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17.83</w:t>
            </w:r>
          </w:p>
        </w:tc>
        <w:tc>
          <w:tcPr>
            <w:tcW w:w="709" w:type="dxa"/>
            <w:tcBorders>
              <w:top w:val="single" w:sz="4" w:space="0" w:color="auto"/>
            </w:tcBorders>
            <w:vAlign w:val="center"/>
          </w:tcPr>
          <w:p w14:paraId="6F4CF2B7"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3.24</w:t>
            </w:r>
          </w:p>
        </w:tc>
        <w:tc>
          <w:tcPr>
            <w:tcW w:w="709" w:type="dxa"/>
            <w:tcBorders>
              <w:top w:val="single" w:sz="4" w:space="0" w:color="auto"/>
            </w:tcBorders>
            <w:vAlign w:val="center"/>
          </w:tcPr>
          <w:p w14:paraId="76084DD7"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0.11</w:t>
            </w:r>
          </w:p>
        </w:tc>
        <w:tc>
          <w:tcPr>
            <w:tcW w:w="709" w:type="dxa"/>
            <w:gridSpan w:val="2"/>
            <w:tcBorders>
              <w:top w:val="single" w:sz="4" w:space="0" w:color="auto"/>
            </w:tcBorders>
            <w:vAlign w:val="center"/>
          </w:tcPr>
          <w:p w14:paraId="379F1895"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23.68</w:t>
            </w:r>
          </w:p>
        </w:tc>
      </w:tr>
      <w:tr w:rsidR="002202E4" w:rsidRPr="00164B51" w14:paraId="4B97764C" w14:textId="77777777" w:rsidTr="002202E4">
        <w:tc>
          <w:tcPr>
            <w:tcW w:w="1701" w:type="dxa"/>
            <w:vAlign w:val="bottom"/>
          </w:tcPr>
          <w:p w14:paraId="3768F6DB" w14:textId="77777777" w:rsidR="002202E4" w:rsidRPr="00DA2583" w:rsidRDefault="002202E4" w:rsidP="005A56B9">
            <w:pPr>
              <w:rPr>
                <w:b/>
                <w:color w:val="000000"/>
                <w:sz w:val="20"/>
                <w:lang w:val="en-US" w:eastAsia="id-ID"/>
              </w:rPr>
            </w:pPr>
            <w:r>
              <w:rPr>
                <w:b/>
                <w:color w:val="000000"/>
                <w:sz w:val="20"/>
                <w:lang w:val="en-US" w:eastAsia="id-ID"/>
              </w:rPr>
              <w:t>FAME-LO ink</w:t>
            </w:r>
          </w:p>
        </w:tc>
        <w:tc>
          <w:tcPr>
            <w:tcW w:w="993" w:type="dxa"/>
            <w:vAlign w:val="center"/>
          </w:tcPr>
          <w:p w14:paraId="50D2F11F"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34.19</w:t>
            </w:r>
          </w:p>
        </w:tc>
        <w:tc>
          <w:tcPr>
            <w:tcW w:w="283" w:type="dxa"/>
            <w:vAlign w:val="bottom"/>
          </w:tcPr>
          <w:p w14:paraId="477909A1" w14:textId="77777777" w:rsidR="002202E4" w:rsidRPr="00164B51" w:rsidRDefault="002202E4" w:rsidP="005A56B9">
            <w:pPr>
              <w:jc w:val="center"/>
              <w:rPr>
                <w:color w:val="000000"/>
                <w:sz w:val="20"/>
                <w:lang w:val="id-ID" w:eastAsia="id-ID"/>
              </w:rPr>
            </w:pPr>
          </w:p>
        </w:tc>
        <w:tc>
          <w:tcPr>
            <w:tcW w:w="709" w:type="dxa"/>
            <w:vAlign w:val="center"/>
          </w:tcPr>
          <w:p w14:paraId="09733763"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30.33</w:t>
            </w:r>
          </w:p>
        </w:tc>
        <w:tc>
          <w:tcPr>
            <w:tcW w:w="849" w:type="dxa"/>
            <w:vAlign w:val="center"/>
          </w:tcPr>
          <w:p w14:paraId="242098E6"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17.97</w:t>
            </w:r>
          </w:p>
        </w:tc>
        <w:tc>
          <w:tcPr>
            <w:tcW w:w="709" w:type="dxa"/>
            <w:vAlign w:val="center"/>
          </w:tcPr>
          <w:p w14:paraId="1196716B"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12.36</w:t>
            </w:r>
          </w:p>
        </w:tc>
        <w:tc>
          <w:tcPr>
            <w:tcW w:w="285" w:type="dxa"/>
            <w:vAlign w:val="center"/>
          </w:tcPr>
          <w:p w14:paraId="5389E2BF" w14:textId="77777777" w:rsidR="002202E4" w:rsidRPr="00164B51" w:rsidRDefault="002202E4" w:rsidP="005A56B9">
            <w:pPr>
              <w:jc w:val="center"/>
              <w:rPr>
                <w:color w:val="000000"/>
                <w:sz w:val="20"/>
                <w:lang w:val="id-ID" w:eastAsia="id-ID"/>
              </w:rPr>
            </w:pPr>
          </w:p>
        </w:tc>
        <w:tc>
          <w:tcPr>
            <w:tcW w:w="850" w:type="dxa"/>
            <w:vAlign w:val="center"/>
          </w:tcPr>
          <w:p w14:paraId="6BCCA129"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21.16</w:t>
            </w:r>
          </w:p>
        </w:tc>
        <w:tc>
          <w:tcPr>
            <w:tcW w:w="852" w:type="dxa"/>
            <w:vAlign w:val="center"/>
          </w:tcPr>
          <w:p w14:paraId="244F91B1"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17.97</w:t>
            </w:r>
          </w:p>
        </w:tc>
        <w:tc>
          <w:tcPr>
            <w:tcW w:w="709" w:type="dxa"/>
            <w:vAlign w:val="center"/>
          </w:tcPr>
          <w:p w14:paraId="1B94E714"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3.19</w:t>
            </w:r>
          </w:p>
        </w:tc>
        <w:tc>
          <w:tcPr>
            <w:tcW w:w="709" w:type="dxa"/>
            <w:vAlign w:val="center"/>
          </w:tcPr>
          <w:p w14:paraId="3A71B173"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0.12</w:t>
            </w:r>
          </w:p>
        </w:tc>
        <w:tc>
          <w:tcPr>
            <w:tcW w:w="709" w:type="dxa"/>
            <w:gridSpan w:val="2"/>
            <w:vAlign w:val="center"/>
          </w:tcPr>
          <w:p w14:paraId="36B151AF"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21.42</w:t>
            </w:r>
          </w:p>
        </w:tc>
      </w:tr>
      <w:tr w:rsidR="002202E4" w:rsidRPr="00164B51" w14:paraId="598544BE" w14:textId="77777777" w:rsidTr="002202E4">
        <w:tc>
          <w:tcPr>
            <w:tcW w:w="1701" w:type="dxa"/>
            <w:vAlign w:val="bottom"/>
          </w:tcPr>
          <w:p w14:paraId="0CA225A4" w14:textId="77777777" w:rsidR="002202E4" w:rsidRPr="00DA2583" w:rsidRDefault="002202E4" w:rsidP="005A56B9">
            <w:pPr>
              <w:rPr>
                <w:b/>
                <w:color w:val="000000"/>
                <w:sz w:val="20"/>
                <w:lang w:val="en-US" w:eastAsia="id-ID"/>
              </w:rPr>
            </w:pPr>
            <w:r>
              <w:rPr>
                <w:b/>
                <w:color w:val="000000"/>
                <w:sz w:val="20"/>
                <w:lang w:val="en-US" w:eastAsia="id-ID"/>
              </w:rPr>
              <w:t>FAME-SO ink</w:t>
            </w:r>
          </w:p>
        </w:tc>
        <w:tc>
          <w:tcPr>
            <w:tcW w:w="993" w:type="dxa"/>
            <w:vAlign w:val="center"/>
          </w:tcPr>
          <w:p w14:paraId="438ACADC"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36.36</w:t>
            </w:r>
          </w:p>
        </w:tc>
        <w:tc>
          <w:tcPr>
            <w:tcW w:w="283" w:type="dxa"/>
            <w:vAlign w:val="bottom"/>
          </w:tcPr>
          <w:p w14:paraId="3E95424C" w14:textId="77777777" w:rsidR="002202E4" w:rsidRPr="00164B51" w:rsidRDefault="002202E4" w:rsidP="005A56B9">
            <w:pPr>
              <w:jc w:val="center"/>
              <w:rPr>
                <w:color w:val="000000"/>
                <w:sz w:val="20"/>
                <w:lang w:val="id-ID" w:eastAsia="id-ID"/>
              </w:rPr>
            </w:pPr>
          </w:p>
        </w:tc>
        <w:tc>
          <w:tcPr>
            <w:tcW w:w="709" w:type="dxa"/>
            <w:vAlign w:val="center"/>
          </w:tcPr>
          <w:p w14:paraId="7F1D386B"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31.68</w:t>
            </w:r>
          </w:p>
        </w:tc>
        <w:tc>
          <w:tcPr>
            <w:tcW w:w="849" w:type="dxa"/>
            <w:vAlign w:val="center"/>
          </w:tcPr>
          <w:p w14:paraId="1F0A66C5"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17.81</w:t>
            </w:r>
          </w:p>
        </w:tc>
        <w:tc>
          <w:tcPr>
            <w:tcW w:w="709" w:type="dxa"/>
            <w:vAlign w:val="center"/>
          </w:tcPr>
          <w:p w14:paraId="6D155DD1"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13.87</w:t>
            </w:r>
          </w:p>
        </w:tc>
        <w:tc>
          <w:tcPr>
            <w:tcW w:w="285" w:type="dxa"/>
            <w:vAlign w:val="center"/>
          </w:tcPr>
          <w:p w14:paraId="67BD1B5A" w14:textId="77777777" w:rsidR="002202E4" w:rsidRPr="00164B51" w:rsidRDefault="002202E4" w:rsidP="005A56B9">
            <w:pPr>
              <w:jc w:val="center"/>
              <w:rPr>
                <w:color w:val="000000"/>
                <w:sz w:val="20"/>
                <w:lang w:val="id-ID" w:eastAsia="id-ID"/>
              </w:rPr>
            </w:pPr>
          </w:p>
        </w:tc>
        <w:tc>
          <w:tcPr>
            <w:tcW w:w="850" w:type="dxa"/>
            <w:vAlign w:val="center"/>
          </w:tcPr>
          <w:p w14:paraId="5CCF326C"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21.09</w:t>
            </w:r>
          </w:p>
        </w:tc>
        <w:tc>
          <w:tcPr>
            <w:tcW w:w="852" w:type="dxa"/>
            <w:vAlign w:val="center"/>
          </w:tcPr>
          <w:p w14:paraId="13CE3433"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17.81</w:t>
            </w:r>
          </w:p>
        </w:tc>
        <w:tc>
          <w:tcPr>
            <w:tcW w:w="709" w:type="dxa"/>
            <w:vAlign w:val="center"/>
          </w:tcPr>
          <w:p w14:paraId="68B54FA2"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3.27</w:t>
            </w:r>
          </w:p>
        </w:tc>
        <w:tc>
          <w:tcPr>
            <w:tcW w:w="709" w:type="dxa"/>
            <w:vAlign w:val="center"/>
          </w:tcPr>
          <w:p w14:paraId="0EBCE228"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0.11</w:t>
            </w:r>
          </w:p>
        </w:tc>
        <w:tc>
          <w:tcPr>
            <w:tcW w:w="709" w:type="dxa"/>
            <w:gridSpan w:val="2"/>
            <w:vAlign w:val="center"/>
          </w:tcPr>
          <w:p w14:paraId="7F3CC602"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24.36</w:t>
            </w:r>
          </w:p>
        </w:tc>
      </w:tr>
      <w:tr w:rsidR="002202E4" w:rsidRPr="00164B51" w14:paraId="2F4B6E3F" w14:textId="77777777" w:rsidTr="002202E4">
        <w:tc>
          <w:tcPr>
            <w:tcW w:w="1701" w:type="dxa"/>
            <w:tcBorders>
              <w:bottom w:val="nil"/>
            </w:tcBorders>
            <w:vAlign w:val="bottom"/>
          </w:tcPr>
          <w:p w14:paraId="68AB1D57" w14:textId="77777777" w:rsidR="002202E4" w:rsidRPr="00DA2583" w:rsidRDefault="002202E4" w:rsidP="005A56B9">
            <w:pPr>
              <w:rPr>
                <w:b/>
                <w:color w:val="000000"/>
                <w:sz w:val="20"/>
                <w:lang w:val="en-US" w:eastAsia="id-ID"/>
              </w:rPr>
            </w:pPr>
            <w:r>
              <w:rPr>
                <w:b/>
                <w:color w:val="000000"/>
                <w:sz w:val="20"/>
                <w:lang w:val="en-US" w:eastAsia="id-ID"/>
              </w:rPr>
              <w:t>Conventional ink</w:t>
            </w:r>
          </w:p>
        </w:tc>
        <w:tc>
          <w:tcPr>
            <w:tcW w:w="993" w:type="dxa"/>
            <w:tcBorders>
              <w:bottom w:val="nil"/>
            </w:tcBorders>
            <w:vAlign w:val="center"/>
          </w:tcPr>
          <w:p w14:paraId="0791772A"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46.10</w:t>
            </w:r>
          </w:p>
        </w:tc>
        <w:tc>
          <w:tcPr>
            <w:tcW w:w="283" w:type="dxa"/>
            <w:tcBorders>
              <w:bottom w:val="nil"/>
            </w:tcBorders>
            <w:vAlign w:val="bottom"/>
          </w:tcPr>
          <w:p w14:paraId="72953097" w14:textId="77777777" w:rsidR="002202E4" w:rsidRPr="00164B51" w:rsidRDefault="002202E4" w:rsidP="005A56B9">
            <w:pPr>
              <w:jc w:val="center"/>
              <w:rPr>
                <w:color w:val="000000"/>
                <w:sz w:val="20"/>
                <w:lang w:val="id-ID" w:eastAsia="id-ID"/>
              </w:rPr>
            </w:pPr>
          </w:p>
        </w:tc>
        <w:tc>
          <w:tcPr>
            <w:tcW w:w="709" w:type="dxa"/>
            <w:tcBorders>
              <w:bottom w:val="nil"/>
            </w:tcBorders>
            <w:vAlign w:val="center"/>
          </w:tcPr>
          <w:p w14:paraId="607602BF"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38.47</w:t>
            </w:r>
          </w:p>
        </w:tc>
        <w:tc>
          <w:tcPr>
            <w:tcW w:w="849" w:type="dxa"/>
            <w:tcBorders>
              <w:bottom w:val="nil"/>
            </w:tcBorders>
            <w:vAlign w:val="center"/>
          </w:tcPr>
          <w:p w14:paraId="2A5436D3"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17.91</w:t>
            </w:r>
          </w:p>
        </w:tc>
        <w:tc>
          <w:tcPr>
            <w:tcW w:w="709" w:type="dxa"/>
            <w:tcBorders>
              <w:bottom w:val="nil"/>
            </w:tcBorders>
            <w:vAlign w:val="center"/>
          </w:tcPr>
          <w:p w14:paraId="7BC80388"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20.56</w:t>
            </w:r>
          </w:p>
        </w:tc>
        <w:tc>
          <w:tcPr>
            <w:tcW w:w="285" w:type="dxa"/>
            <w:tcBorders>
              <w:bottom w:val="nil"/>
            </w:tcBorders>
            <w:vAlign w:val="center"/>
          </w:tcPr>
          <w:p w14:paraId="433C722A" w14:textId="77777777" w:rsidR="002202E4" w:rsidRPr="00164B51" w:rsidRDefault="002202E4" w:rsidP="005A56B9">
            <w:pPr>
              <w:jc w:val="center"/>
              <w:rPr>
                <w:color w:val="000000"/>
                <w:sz w:val="20"/>
                <w:lang w:val="id-ID" w:eastAsia="id-ID"/>
              </w:rPr>
            </w:pPr>
          </w:p>
        </w:tc>
        <w:tc>
          <w:tcPr>
            <w:tcW w:w="850" w:type="dxa"/>
            <w:tcBorders>
              <w:bottom w:val="nil"/>
            </w:tcBorders>
            <w:vAlign w:val="center"/>
          </w:tcPr>
          <w:p w14:paraId="00F4958B"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21.57</w:t>
            </w:r>
          </w:p>
        </w:tc>
        <w:tc>
          <w:tcPr>
            <w:tcW w:w="852" w:type="dxa"/>
            <w:tcBorders>
              <w:bottom w:val="nil"/>
            </w:tcBorders>
            <w:vAlign w:val="center"/>
          </w:tcPr>
          <w:p w14:paraId="4219B8A2"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17.91</w:t>
            </w:r>
          </w:p>
        </w:tc>
        <w:tc>
          <w:tcPr>
            <w:tcW w:w="709" w:type="dxa"/>
            <w:tcBorders>
              <w:bottom w:val="nil"/>
            </w:tcBorders>
            <w:vAlign w:val="center"/>
          </w:tcPr>
          <w:p w14:paraId="6FCCEF19"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3.66</w:t>
            </w:r>
          </w:p>
        </w:tc>
        <w:tc>
          <w:tcPr>
            <w:tcW w:w="709" w:type="dxa"/>
            <w:tcBorders>
              <w:bottom w:val="nil"/>
            </w:tcBorders>
            <w:vAlign w:val="center"/>
          </w:tcPr>
          <w:p w14:paraId="23FD8BFE"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0.09</w:t>
            </w:r>
          </w:p>
        </w:tc>
        <w:tc>
          <w:tcPr>
            <w:tcW w:w="709" w:type="dxa"/>
            <w:gridSpan w:val="2"/>
            <w:tcBorders>
              <w:bottom w:val="nil"/>
            </w:tcBorders>
            <w:vAlign w:val="center"/>
          </w:tcPr>
          <w:p w14:paraId="50F05721" w14:textId="77777777" w:rsidR="002202E4" w:rsidRPr="00164B51" w:rsidRDefault="002202E4" w:rsidP="005A56B9">
            <w:pPr>
              <w:jc w:val="center"/>
              <w:rPr>
                <w:color w:val="000000"/>
                <w:sz w:val="20"/>
                <w:lang w:val="id-ID" w:eastAsia="id-ID"/>
              </w:rPr>
            </w:pPr>
            <w:r w:rsidRPr="00DA2583">
              <w:rPr>
                <w:rFonts w:ascii="Times New Roman" w:hAnsi="Times New Roman"/>
                <w:color w:val="000000"/>
                <w:sz w:val="20"/>
                <w:lang w:val="en-US"/>
              </w:rPr>
              <w:t>37.37</w:t>
            </w:r>
          </w:p>
        </w:tc>
      </w:tr>
    </w:tbl>
    <w:p w14:paraId="13767F95" w14:textId="77777777" w:rsidR="002202E4" w:rsidRDefault="002202E4" w:rsidP="002202E4">
      <w:pPr>
        <w:ind w:firstLine="284"/>
        <w:jc w:val="both"/>
        <w:rPr>
          <w:szCs w:val="22"/>
          <w:lang w:val="id-ID" w:eastAsia="id-ID"/>
        </w:rPr>
      </w:pPr>
    </w:p>
    <w:p w14:paraId="5063DD2B" w14:textId="091D3D3A" w:rsidR="006E5E5E" w:rsidRPr="006E5E5E" w:rsidRDefault="00644517" w:rsidP="006E5E5E">
      <w:pPr>
        <w:ind w:firstLine="284"/>
        <w:jc w:val="both"/>
        <w:rPr>
          <w:szCs w:val="22"/>
          <w:lang w:val="en-US" w:eastAsia="id-ID"/>
        </w:rPr>
      </w:pPr>
      <w:r w:rsidRPr="00644517">
        <w:rPr>
          <w:szCs w:val="22"/>
          <w:lang w:val="id-ID" w:eastAsia="id-ID"/>
        </w:rPr>
        <w:t xml:space="preserve">The values of total </w:t>
      </w:r>
      <w:r w:rsidRPr="00164B51">
        <w:rPr>
          <w:szCs w:val="22"/>
          <w:lang w:val="id-ID" w:eastAsia="zh-CN"/>
        </w:rPr>
        <w:t>SFE (</w:t>
      </w:r>
      <m:oMath>
        <m:sSub>
          <m:sSubPr>
            <m:ctrlPr>
              <w:rPr>
                <w:rFonts w:ascii="Cambria Math" w:hAnsi="Cambria Math"/>
                <w:i/>
                <w:szCs w:val="22"/>
                <w:lang w:val="id-ID" w:eastAsia="zh-CN"/>
              </w:rPr>
            </m:ctrlPr>
          </m:sSubPr>
          <m:e>
            <m:r>
              <w:rPr>
                <w:rFonts w:ascii="Cambria Math" w:hAnsi="Cambria Math"/>
                <w:szCs w:val="22"/>
                <w:lang w:val="id-ID" w:eastAsia="zh-CN"/>
              </w:rPr>
              <m:t>γ</m:t>
            </m:r>
          </m:e>
          <m:sub>
            <m:r>
              <w:rPr>
                <w:rFonts w:ascii="Cambria Math" w:hAnsi="Cambria Math"/>
                <w:szCs w:val="22"/>
                <w:lang w:val="id-ID" w:eastAsia="zh-CN"/>
              </w:rPr>
              <m:t>s</m:t>
            </m:r>
          </m:sub>
        </m:sSub>
      </m:oMath>
      <w:r w:rsidRPr="00164B51">
        <w:rPr>
          <w:szCs w:val="22"/>
          <w:lang w:val="id-ID" w:eastAsia="zh-CN"/>
        </w:rPr>
        <w:t xml:space="preserve">) </w:t>
      </w:r>
      <w:r w:rsidRPr="00164B51">
        <w:rPr>
          <w:rFonts w:eastAsia="Calibri"/>
          <w:szCs w:val="22"/>
          <w:lang w:val="id-ID" w:eastAsia="zh-CN"/>
        </w:rPr>
        <w:t xml:space="preserve">of </w:t>
      </w:r>
      <w:r>
        <w:rPr>
          <w:szCs w:val="22"/>
          <w:lang w:val="en-US" w:eastAsia="id-ID"/>
        </w:rPr>
        <w:t xml:space="preserve">printed inks </w:t>
      </w:r>
      <w:r w:rsidRPr="00644517">
        <w:rPr>
          <w:szCs w:val="22"/>
          <w:lang w:val="id-ID" w:eastAsia="id-ID"/>
        </w:rPr>
        <w:t xml:space="preserve">was </w:t>
      </w:r>
      <w:r>
        <w:rPr>
          <w:szCs w:val="22"/>
          <w:lang w:val="en-US" w:eastAsia="id-ID"/>
        </w:rPr>
        <w:t>higher</w:t>
      </w:r>
      <w:r w:rsidRPr="00644517">
        <w:rPr>
          <w:szCs w:val="22"/>
          <w:lang w:val="id-ID" w:eastAsia="id-ID"/>
        </w:rPr>
        <w:t xml:space="preserve"> than control </w:t>
      </w:r>
      <w:r>
        <w:rPr>
          <w:szCs w:val="22"/>
          <w:lang w:val="en-US" w:eastAsia="id-ID"/>
        </w:rPr>
        <w:t xml:space="preserve">unprinted paper surface, </w:t>
      </w:r>
      <w:r w:rsidRPr="00164B51">
        <w:rPr>
          <w:rFonts w:eastAsia="Calibri"/>
          <w:szCs w:val="22"/>
          <w:lang w:val="id-ID" w:eastAsia="zh-CN"/>
        </w:rPr>
        <w:t>except for</w:t>
      </w:r>
      <w:r>
        <w:rPr>
          <w:rFonts w:eastAsia="Calibri"/>
          <w:szCs w:val="22"/>
          <w:lang w:val="en-US" w:eastAsia="zh-CN"/>
        </w:rPr>
        <w:t xml:space="preserve"> printed FAME-LO ink </w:t>
      </w:r>
      <w:r w:rsidRPr="00164B51">
        <w:rPr>
          <w:rFonts w:eastAsia="Calibri"/>
          <w:szCs w:val="22"/>
          <w:lang w:val="id-ID" w:eastAsia="zh-CN"/>
        </w:rPr>
        <w:t>calculated by</w:t>
      </w:r>
      <w:r>
        <w:rPr>
          <w:rFonts w:eastAsia="Calibri"/>
          <w:szCs w:val="22"/>
          <w:lang w:val="en-US" w:eastAsia="zh-CN"/>
        </w:rPr>
        <w:t xml:space="preserve"> GGFY and OW methods. </w:t>
      </w:r>
      <w:r w:rsidRPr="00644517">
        <w:rPr>
          <w:rFonts w:eastAsia="Calibri"/>
          <w:szCs w:val="22"/>
          <w:lang w:val="en-US" w:eastAsia="zh-CN"/>
        </w:rPr>
        <w:t>It was revealed that the surface</w:t>
      </w:r>
      <w:r>
        <w:rPr>
          <w:rFonts w:eastAsia="Calibri"/>
          <w:szCs w:val="22"/>
          <w:lang w:val="en-US" w:eastAsia="zh-CN"/>
        </w:rPr>
        <w:t xml:space="preserve"> </w:t>
      </w:r>
      <w:r w:rsidRPr="00644517">
        <w:rPr>
          <w:rFonts w:eastAsia="Calibri"/>
          <w:szCs w:val="22"/>
          <w:lang w:val="en-US" w:eastAsia="zh-CN"/>
        </w:rPr>
        <w:t>energy of printed gloss</w:t>
      </w:r>
      <w:r w:rsidR="006E5E5E">
        <w:rPr>
          <w:rFonts w:eastAsia="Calibri"/>
          <w:szCs w:val="22"/>
          <w:lang w:val="en-US" w:eastAsia="zh-CN"/>
        </w:rPr>
        <w:t>-</w:t>
      </w:r>
      <w:r w:rsidRPr="00644517">
        <w:rPr>
          <w:rFonts w:eastAsia="Calibri"/>
          <w:szCs w:val="22"/>
          <w:lang w:val="en-US" w:eastAsia="zh-CN"/>
        </w:rPr>
        <w:t>coated papers decreased</w:t>
      </w:r>
      <w:r>
        <w:rPr>
          <w:rFonts w:eastAsia="Calibri"/>
          <w:szCs w:val="22"/>
          <w:lang w:val="en-US" w:eastAsia="zh-CN"/>
        </w:rPr>
        <w:t xml:space="preserve"> by </w:t>
      </w:r>
      <w:r w:rsidRPr="006E5E5E">
        <w:rPr>
          <w:rFonts w:eastAsia="Calibri"/>
          <w:szCs w:val="22"/>
          <w:lang w:val="en-US" w:eastAsia="zh-CN"/>
        </w:rPr>
        <w:t xml:space="preserve">FAME-LO ink than that </w:t>
      </w:r>
      <w:r w:rsidR="006E5E5E">
        <w:rPr>
          <w:rFonts w:eastAsia="Calibri"/>
          <w:szCs w:val="22"/>
          <w:lang w:val="en-US" w:eastAsia="zh-CN"/>
        </w:rPr>
        <w:t xml:space="preserve">of </w:t>
      </w:r>
      <w:r w:rsidRPr="006E5E5E">
        <w:rPr>
          <w:rFonts w:eastAsia="Calibri"/>
          <w:szCs w:val="22"/>
          <w:lang w:val="en-US" w:eastAsia="zh-CN"/>
        </w:rPr>
        <w:t xml:space="preserve">other inks. Since SFE will </w:t>
      </w:r>
      <w:r w:rsidRPr="006E5E5E">
        <w:rPr>
          <w:rFonts w:eastAsia="Calibri"/>
          <w:szCs w:val="22"/>
          <w:lang w:val="en-US" w:eastAsia="zh-CN"/>
        </w:rPr>
        <w:lastRenderedPageBreak/>
        <w:t>adversely affect the bond strength of the ink to the paper, higher SFE will be advantage</w:t>
      </w:r>
      <w:r w:rsidR="006E5E5E">
        <w:rPr>
          <w:rFonts w:eastAsia="Calibri"/>
          <w:szCs w:val="22"/>
          <w:lang w:val="en-US" w:eastAsia="zh-CN"/>
        </w:rPr>
        <w:t>ou</w:t>
      </w:r>
      <w:r w:rsidRPr="006E5E5E">
        <w:rPr>
          <w:rFonts w:eastAsia="Calibri"/>
          <w:szCs w:val="22"/>
          <w:lang w:val="en-US" w:eastAsia="zh-CN"/>
        </w:rPr>
        <w:t xml:space="preserve">s, </w:t>
      </w:r>
      <w:r w:rsidRPr="006E5E5E">
        <w:rPr>
          <w:szCs w:val="22"/>
          <w:lang w:val="en-US" w:eastAsia="id-ID"/>
        </w:rPr>
        <w:t xml:space="preserve">especially for multicolor and dense prints requiring good ink adhesion. This will increase the acceptance of other colors to be printed on the previous color in multicolor prints </w:t>
      </w:r>
      <w:r w:rsidRPr="006E5E5E">
        <w:rPr>
          <w:szCs w:val="22"/>
          <w:lang w:val="en-US" w:eastAsia="id-ID"/>
        </w:rPr>
        <w:fldChar w:fldCharType="begin" w:fldLock="1"/>
      </w:r>
      <w:r w:rsidR="007021DC">
        <w:rPr>
          <w:szCs w:val="22"/>
          <w:lang w:val="en-US" w:eastAsia="id-ID"/>
        </w:rPr>
        <w:instrText>ADDIN CSL_CITATION {"citationItems":[{"id":"ITEM-1","itemData":{"DOI":"10.35812/CelluloseChemTechnol.2019.53.77","ISSN":"05769787","abstract":"One of the keys to improving print quality is to experimentally characterize the paper surface, structure and printability to obtain quality control mechanisms. In multi-color prints, determining the differences in the acceptance of the next color ink by the surface of the paper or the ink film that was previously printed is important for print quality. The criteria, such as ink setting, adhesion, color, gloss and density, in the printing process, depend on the wettability and absorbency of the paper. The surface structure of the paper is the most important factor in determining the hydrophobic properties. In this study, wetting and absorption dynamics of the printed partially hydrophobized paper surface were investigated. The aim was to measure the effect of the printed ink film on the wetting (surface free energy) and liquid absorption behavior of the paper. Liquid absorption changes on printed/unprinted paper surfaces were measured by the sessile drop method, using a contact angle-measuring device. The surface energies of the papers were calculated and evaluated according to the surface contact angle of the droplet.","author":[{"dropping-particle":"","family":"Aydemir","given":"Cem","non-dropping-particle":"","parse-names":false,"suffix":""},{"dropping-particle":"","family":"Karademir","given":"Ari̇F","non-dropping-particle":"","parse-names":false,"suffix":""},{"dropping-particle":"","family":"İMamoğlu","given":"Sami̇","non-dropping-particle":"","parse-names":false,"suffix":""},{"dropping-particle":"","family":"Altay","given":"Bi̇Lge Nazli","non-dropping-particle":"","parse-names":false,"suffix":""},{"dropping-particle":"","family":"Fleming","given":"Paul D.","non-dropping-particle":"","parse-names":false,"suffix":""},{"dropping-particle":"","family":"Tutak","given":"Dogan","non-dropping-particle":"","parse-names":false,"suffix":""}],"container-title":"Cellulose Chemistry and Technology","id":"ITEM-1","issue":"7-8","issued":{"date-parts":[["2019"]]},"page":"787-794","title":"Investigation of the evolution of hydrophobicity and wettability of paper in multi-color printing process","type":"article-journal","volume":"53"},"uris":["http://www.mendeley.com/documents/?uuid=c3d210b7-eed5-44f7-8785-7dafb2712341"]}],"mendeley":{"formattedCitation":"[14]","plainTextFormattedCitation":"[14]","previouslyFormattedCitation":"[13]"},"properties":{"noteIndex":0},"schema":"https://github.com/citation-style-language/schema/raw/master/csl-citation.json"}</w:instrText>
      </w:r>
      <w:r w:rsidRPr="006E5E5E">
        <w:rPr>
          <w:szCs w:val="22"/>
          <w:lang w:val="en-US" w:eastAsia="id-ID"/>
        </w:rPr>
        <w:fldChar w:fldCharType="separate"/>
      </w:r>
      <w:r w:rsidR="007021DC" w:rsidRPr="007021DC">
        <w:rPr>
          <w:noProof/>
          <w:szCs w:val="22"/>
          <w:lang w:val="en-US" w:eastAsia="id-ID"/>
        </w:rPr>
        <w:t>[14]</w:t>
      </w:r>
      <w:r w:rsidRPr="006E5E5E">
        <w:rPr>
          <w:szCs w:val="22"/>
          <w:lang w:val="en-US" w:eastAsia="id-ID"/>
        </w:rPr>
        <w:fldChar w:fldCharType="end"/>
      </w:r>
      <w:r w:rsidRPr="006E5E5E">
        <w:rPr>
          <w:szCs w:val="22"/>
          <w:lang w:val="en-US" w:eastAsia="id-ID"/>
        </w:rPr>
        <w:t xml:space="preserve">. </w:t>
      </w:r>
      <w:r w:rsidRPr="006E5E5E">
        <w:rPr>
          <w:rFonts w:eastAsia="Calibri"/>
          <w:szCs w:val="22"/>
          <w:lang w:val="en-US" w:eastAsia="zh-CN"/>
        </w:rPr>
        <w:t>Furthermore, it</w:t>
      </w:r>
      <w:r w:rsidRPr="006E5E5E">
        <w:rPr>
          <w:szCs w:val="22"/>
          <w:lang w:val="id-ID" w:eastAsia="id-ID"/>
        </w:rPr>
        <w:t xml:space="preserve"> was realized that there is a relation between contact angle</w:t>
      </w:r>
      <w:r w:rsidRPr="006E5E5E">
        <w:rPr>
          <w:szCs w:val="22"/>
          <w:lang w:val="en-US" w:eastAsia="id-ID"/>
        </w:rPr>
        <w:t xml:space="preserve"> and</w:t>
      </w:r>
      <w:r w:rsidRPr="006E5E5E">
        <w:rPr>
          <w:szCs w:val="22"/>
          <w:lang w:val="id-ID" w:eastAsia="id-ID"/>
        </w:rPr>
        <w:t xml:space="preserve"> surface energy. </w:t>
      </w:r>
      <w:r w:rsidRPr="006E5E5E">
        <w:rPr>
          <w:szCs w:val="22"/>
          <w:lang w:val="en-US" w:eastAsia="id-ID"/>
        </w:rPr>
        <w:t>W</w:t>
      </w:r>
      <w:r w:rsidRPr="006E5E5E">
        <w:rPr>
          <w:szCs w:val="22"/>
          <w:lang w:val="id-ID" w:eastAsia="id-ID"/>
        </w:rPr>
        <w:t xml:space="preserve">hen the contact angle is high, surface energy decreases and </w:t>
      </w:r>
      <w:r w:rsidR="00094FCC">
        <w:rPr>
          <w:szCs w:val="22"/>
          <w:lang w:val="id-ID" w:eastAsia="id-ID"/>
        </w:rPr>
        <w:t xml:space="preserve">the </w:t>
      </w:r>
      <w:r w:rsidRPr="006E5E5E">
        <w:rPr>
          <w:szCs w:val="22"/>
          <w:lang w:val="id-ID" w:eastAsia="id-ID"/>
        </w:rPr>
        <w:t>absorbency of the ink-film lowers</w:t>
      </w:r>
      <w:r w:rsidRPr="006E5E5E">
        <w:rPr>
          <w:szCs w:val="22"/>
          <w:lang w:val="en-US" w:eastAsia="id-ID"/>
        </w:rPr>
        <w:t>. These results are in line with several previous studies</w:t>
      </w:r>
      <w:r w:rsidRPr="006E5E5E">
        <w:rPr>
          <w:szCs w:val="22"/>
          <w:lang w:val="id-ID" w:eastAsia="id-ID"/>
        </w:rPr>
        <w:t xml:space="preserve"> </w:t>
      </w:r>
      <w:r w:rsidRPr="006E5E5E">
        <w:rPr>
          <w:szCs w:val="22"/>
          <w:lang w:val="id-ID" w:eastAsia="id-ID"/>
        </w:rPr>
        <w:fldChar w:fldCharType="begin" w:fldLock="1"/>
      </w:r>
      <w:r w:rsidR="007021DC">
        <w:rPr>
          <w:szCs w:val="22"/>
          <w:lang w:val="id-ID" w:eastAsia="id-ID"/>
        </w:rPr>
        <w:instrText>ADDIN CSL_CITATION {"citationItems":[{"id":"ITEM-1","itemData":{"DOI":"10.1177/2280800018764761","ISSN":"22808000","PMID":"29618225","abstract":"Introduction: Printing inks oil selection is related to the desired nature of the varnish in the ink production. Petroleum-derived mineral oils and vegetable oils can be used in offset inks. Methods: In this study, the behaviors of vegetable- and mineral oil-based inks on uncoated and coated paper surfaces were investigated in terms of printability. Solid tone test prints were done with offset printing of these inks. Print gloss of the printed samples was measured and a light fastness test was implemented on these samples in order to determine the resistance to fading. Absorption behavior and contact angles of the ink-printed films on the test papers were measured with the sessile water drop method depending on time, and surface energies were calculated. Results: On both paper types, linseed–soybean oil-based vegetable ink gave the highest brightness value. The lowest print gloss results on the paper were obtained from soybean oil-based inks. The lowest color change was recorded with mineral oil-based inks on gloss-coated papers. According to the ink-film–surface relation, when the contact angle is high, surface energy decreases and the absorbency of the ink-film is lower. Conclusions: In this study, the behaviors of vegetable- and mineral oil-based inks on different paper surfaces, and the effect on the quality of printability as well as differences, have been evaluated, taking environmental and health factors into consideration.","author":[{"dropping-particle":"","family":"Aydemir","given":"Cem","non-dropping-particle":"","parse-names":false,"suffix":""},{"dropping-particle":"","family":"Yenidoğan","given":"Semiha","non-dropping-particle":"","parse-names":false,"suffix":""},{"dropping-particle":"","family":"Karademir","given":"Arif","non-dropping-particle":"","parse-names":false,"suffix":""},{"dropping-particle":"","family":"Arman Kandirmaz","given":"Emine","non-dropping-particle":"","parse-names":false,"suffix":""}],"container-title":"Journal of Applied Biomaterials and Functional Materials","id":"ITEM-1","issue":"3","issued":{"date-parts":[["2018"]]},"page":"137-143","title":"The examination of vegetable- and mineral oil-based inks’ effects on print quality: Green printing effects with different oils","type":"article-journal","volume":"16"},"uris":["http://www.mendeley.com/documents/?uuid=25155e9a-6a89-450b-83fa-46732bec9d6a"]},{"id":"ITEM-2","itemData":{"DOI":"10.24867/JGED-2020-2-011","ISSN":"22179860","abstract":"In the Printing Industry, printing inks, varnishes, lacquers, moistening solutions and washing solvents (ethanol, methyl acetate, ethyl acetate, isopropanol, n-propanol, hexane, benzene, toluene, xylene, isopropyl acetate, propyl acetate, dimethyl ketone, glycols and glycol ethers) contain volatile organic compounds (VOCs) and air pollutants (HAPs). Especially solvent based inks used for flexo, gravure and screen printing, offset printing dampening solutions and cleaning solvents contain high concentration of VOC. These organic compounds evaporate during the production process or contribute to the photochemical reaction. VOCs and HAPs, together with sunlight and nitrogen oxides, cause photochemical smoke, air particles and ground level ozone emission in the atmosphere. The VOCs and heavy metals can lead to soil and even water pollution when left in landfill. The amount of solvent retained by flexo, gravure and screen-printed products is 3-4% of total ink solvent used. The solvent in the printed ink content, except for the one held by the printed material evaporates in its own environment after the printing process. Most of these solvents and organic compounds used in printing environment contain at least one carbon and hydrogen atom and have negative effects on health and environment.In this study, the environmental impacts and risks of inks and solvents used in the printing industry have been evaluated. Measures to be taken to reduce and manage these environmental effects and risks have been addressed and recommendations have been made.","author":[{"dropping-particle":"","family":"Aydemir","given":"Cem","non-dropping-particle":"","parse-names":false,"suffix":""},{"dropping-particle":"","family":"Özsoy","given":"Samed Ayhan","non-dropping-particle":"","parse-names":false,"suffix":""}],"container-title":"Journal of Graphic Engineering and Design","id":"ITEM-2","issue":"2","issued":{"date-parts":[["2021"]]},"page":"11-17","title":"Environmental impact of printing inks and printing process","type":"article-journal","volume":"11"},"uris":["http://www.mendeley.com/documents/?uuid=60162a09-2e5f-48dd-b631-09fdcab27795"]},{"id":"ITEM-3","itemData":{"DOI":"10.3390/coatings10090816","ISSN":"20796412","abstract":"The print quality of prints performed with flexographic printing technology is influenced by various parameters such as viscosity of the printing inks, printing substrates, plates, anilox rolls, etc. The aim of this work is to analyze the influence of ink viscosity, printing plate and printing base on selected properties of print quality, such as optical density of full tone area and the increase of tonal value (TVI). Additionally, the printed dots on 5, 15, 30, 50 and 75% of half tone area were investigated using digital microscopy. The least square fitting method in a matrix form was successfully used in order to confirm the influence of printing process parameters on print quality. The results obtained reveal the significant influence of the printing plate and printing substrate characteristics and the lesser influence of printing ink viscosity for 40-100% coverage area. The values of the optical densities of full tone areas are mainly influenced by the properties of the printing plate and the printing base. Furthermore, the optical density decreases when the value of flow time decreases, which is related to the lower thickness of dried ink film. The TVI on light tones (0 to 20%) is mainly influenced by the ink viscosity.","author":[{"dropping-particle":"","family":"Zolek-Tryznowska","given":"Zuzanna","non-dropping-particle":"","parse-names":false,"suffix":""},{"dropping-particle":"","family":"Rombel","given":"Maciej","non-dropping-particle":"","parse-names":false,"suffix":""},{"dropping-particle":"","family":"Petriaszwili","given":"Georgij","non-dropping-particle":"","parse-names":false,"suffix":""},{"dropping-particle":"","family":"Dedijer","given":"Sandra","non-dropping-particle":"","parse-names":false,"suffix":""},{"dropping-particle":"","family":"Kašiković","given":"Nemanja","non-dropping-particle":"","parse-names":false,"suffix":""}],"container-title":"Coatings","id":"ITEM-3","issue":"9","issued":{"date-parts":[["2020"]]},"title":"Influence of some flexographic printing process conditions on the optical density and tonal value increase of overprinted plastic films","type":"article-journal","volume":"10"},"uris":["http://www.mendeley.com/documents/?uuid=ba760250-3b26-4ddd-8a82-82508c10a674"]},{"id":"ITEM-4","itemData":{"DOI":"10.35812/CelluloseChemTechnol.2019.53.77","ISSN":"05769787","abstract":"One of the keys to improving print quality is to experimentally characterize the paper surface, structure and printability to obtain quality control mechanisms. In multi-color prints, determining the differences in the acceptance of the next color ink by the surface of the paper or the ink film that was previously printed is important for print quality. The criteria, such as ink setting, adhesion, color, gloss and density, in the printing process, depend on the wettability and absorbency of the paper. The surface structure of the paper is the most important factor in determining the hydrophobic properties. In this study, wetting and absorption dynamics of the printed partially hydrophobized paper surface were investigated. The aim was to measure the effect of the printed ink film on the wetting (surface free energy) and liquid absorption behavior of the paper. Liquid absorption changes on printed/unprinted paper surfaces were measured by the sessile drop method, using a contact angle-measuring device. The surface energies of the papers were calculated and evaluated according to the surface contact angle of the droplet.","author":[{"dropping-particle":"","family":"Aydemir","given":"Cem","non-dropping-particle":"","parse-names":false,"suffix":""},{"dropping-particle":"","family":"Karademir","given":"Ari̇F","non-dropping-particle":"","parse-names":false,"suffix":""},{"dropping-particle":"","family":"İMamoğlu","given":"Sami̇","non-dropping-particle":"","parse-names":false,"suffix":""},{"dropping-particle":"","family":"Altay","given":"Bi̇Lge Nazli","non-dropping-particle":"","parse-names":false,"suffix":""},{"dropping-particle":"","family":"Fleming","given":"Paul D.","non-dropping-particle":"","parse-names":false,"suffix":""},{"dropping-particle":"","family":"Tutak","given":"Dogan","non-dropping-particle":"","parse-names":false,"suffix":""}],"container-title":"Cellulose Chemistry and Technology","id":"ITEM-4","issue":"7-8","issued":{"date-parts":[["2019"]]},"page":"787-794","title":"Investigation of the evolution of hydrophobicity and wettability of paper in multi-color printing process","type":"article-journal","volume":"53"},"uris":["http://www.mendeley.com/documents/?uuid=c3d210b7-eed5-44f7-8785-7dafb2712341"]}],"mendeley":{"formattedCitation":"[14,15,17,18]","plainTextFormattedCitation":"[14,15,17,18]","previouslyFormattedCitation":"[13,14,16,17]"},"properties":{"noteIndex":0},"schema":"https://github.com/citation-style-language/schema/raw/master/csl-citation.json"}</w:instrText>
      </w:r>
      <w:r w:rsidRPr="006E5E5E">
        <w:rPr>
          <w:szCs w:val="22"/>
          <w:lang w:val="id-ID" w:eastAsia="id-ID"/>
        </w:rPr>
        <w:fldChar w:fldCharType="separate"/>
      </w:r>
      <w:r w:rsidR="007021DC" w:rsidRPr="007021DC">
        <w:rPr>
          <w:noProof/>
          <w:szCs w:val="22"/>
          <w:lang w:val="id-ID" w:eastAsia="id-ID"/>
        </w:rPr>
        <w:t>[14,15,17,18]</w:t>
      </w:r>
      <w:r w:rsidRPr="006E5E5E">
        <w:rPr>
          <w:szCs w:val="22"/>
          <w:lang w:val="id-ID" w:eastAsia="id-ID"/>
        </w:rPr>
        <w:fldChar w:fldCharType="end"/>
      </w:r>
      <w:r w:rsidR="006E5E5E" w:rsidRPr="006E5E5E">
        <w:rPr>
          <w:szCs w:val="22"/>
          <w:lang w:val="en-US" w:eastAsia="id-ID"/>
        </w:rPr>
        <w:t xml:space="preserve">. </w:t>
      </w:r>
    </w:p>
    <w:p w14:paraId="32757512" w14:textId="53952110" w:rsidR="008617B0" w:rsidRDefault="006E5E5E" w:rsidP="00CF6048">
      <w:pPr>
        <w:ind w:firstLine="284"/>
        <w:jc w:val="both"/>
        <w:rPr>
          <w:rFonts w:ascii="Times New Roman" w:hAnsi="Times New Roman"/>
          <w:noProof/>
          <w:lang w:val="en-US" w:eastAsia="id-ID"/>
        </w:rPr>
      </w:pPr>
      <w:r w:rsidRPr="006E5E5E">
        <w:rPr>
          <w:rFonts w:eastAsia="Calibri"/>
          <w:szCs w:val="22"/>
          <w:lang w:eastAsia="zh-CN"/>
        </w:rPr>
        <w:t>T</w:t>
      </w:r>
      <w:r w:rsidR="002202E4" w:rsidRPr="006E5E5E">
        <w:rPr>
          <w:rFonts w:eastAsia="Calibri"/>
          <w:szCs w:val="22"/>
          <w:lang w:val="id-ID" w:eastAsia="zh-CN"/>
        </w:rPr>
        <w:t xml:space="preserve">he </w:t>
      </w:r>
      <w:r w:rsidR="002202E4" w:rsidRPr="006E5E5E">
        <w:rPr>
          <w:rFonts w:eastAsia="Calibri"/>
          <w:color w:val="000000"/>
          <w:szCs w:val="18"/>
          <w:lang w:val="id-ID" w:eastAsia="id-ID"/>
        </w:rPr>
        <w:t>dispersive</w:t>
      </w:r>
      <w:r w:rsidR="002202E4" w:rsidRPr="006E5E5E">
        <w:rPr>
          <w:rFonts w:eastAsia="Calibri"/>
          <w:szCs w:val="22"/>
          <w:lang w:val="id-ID" w:eastAsia="zh-CN"/>
        </w:rPr>
        <w:t xml:space="preserve"> components (</w:t>
      </w:r>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d</m:t>
            </m:r>
          </m:sup>
        </m:sSubSup>
      </m:oMath>
      <w:r w:rsidR="002202E4" w:rsidRPr="006E5E5E">
        <w:rPr>
          <w:rFonts w:eastAsia="Calibri"/>
          <w:color w:val="000000"/>
          <w:szCs w:val="18"/>
          <w:lang w:val="id-ID" w:eastAsia="id-ID"/>
        </w:rPr>
        <w:t xml:space="preserve">) obtained by the OW are similar with vOCG </w:t>
      </w:r>
      <w:r w:rsidR="002202E4" w:rsidRPr="006E5E5E">
        <w:rPr>
          <w:rFonts w:eastAsia="Calibri"/>
          <w:szCs w:val="22"/>
          <w:lang w:val="id-ID" w:eastAsia="zh-CN"/>
        </w:rPr>
        <w:t>(</w:t>
      </w:r>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LW</m:t>
            </m:r>
          </m:sup>
        </m:sSubSup>
      </m:oMath>
      <w:r w:rsidR="002202E4" w:rsidRPr="006E5E5E">
        <w:rPr>
          <w:rFonts w:eastAsia="Calibri"/>
          <w:color w:val="000000"/>
          <w:szCs w:val="18"/>
          <w:lang w:val="id-ID" w:eastAsia="id-ID"/>
        </w:rPr>
        <w:t>) method and higher than its polar components</w:t>
      </w:r>
      <w:r w:rsidRPr="006E5E5E">
        <w:rPr>
          <w:rFonts w:eastAsia="Calibri"/>
          <w:color w:val="000000"/>
          <w:szCs w:val="18"/>
          <w:lang w:eastAsia="id-ID"/>
        </w:rPr>
        <w:t xml:space="preserve">. </w:t>
      </w:r>
      <w:r w:rsidRPr="006E5E5E">
        <w:rPr>
          <w:rFonts w:ascii="Times New Roman" w:hAnsi="Times New Roman"/>
          <w:noProof/>
          <w:lang w:val="en-US" w:eastAsia="id-ID"/>
        </w:rPr>
        <w:t xml:space="preserve">The values of water contact angle strongly affect the values of polar components of surface free energy. In general, the printing process increases the values of polar and dispersive components and also the total SFE increase </w:t>
      </w:r>
      <w:r w:rsidRPr="006E5E5E">
        <w:rPr>
          <w:rFonts w:ascii="Times New Roman" w:hAnsi="Times New Roman"/>
          <w:noProof/>
          <w:lang w:val="en-US" w:eastAsia="id-ID"/>
        </w:rPr>
        <w:fldChar w:fldCharType="begin" w:fldLock="1"/>
      </w:r>
      <w:r w:rsidR="007021DC">
        <w:rPr>
          <w:rFonts w:ascii="Times New Roman" w:hAnsi="Times New Roman"/>
          <w:noProof/>
          <w:lang w:val="en-US" w:eastAsia="id-ID"/>
        </w:rPr>
        <w:instrText>ADDIN CSL_CITATION {"citationItems":[{"id":"ITEM-1","itemData":{"DOI":"10.24867/grid-2020-p18","abstract":"Nowadays, printing products might be finished in various ways. Varnishing process is one of the most popular finishing method which gives various effect, such as mate, glossy etc. However, the varnish layer applied on the paper is very thin, therefore it can be invisible to the naked human eye. The aim of this work was to use contact angle measurement and surface free energy determination as a tool to assess the effect of printing and varnishing process of paper materials. We have used various tools in order to analyses the changes of surface: surface roughness, gloss, water contact angle absorption and surface free energy determination. Those tools were used in order to confirm whether the print has been covered with varnish or not. In this work six various paper substrates were used (glossy, coated and un-coated papers). The printing and varnishing was performed in laboratory conditions using flexographic water-based printing and waterbased varnish. Samples were prepared as follows: paper with ink coating, paper with varnish coating and paper with ink layer and varnish layer on the top. The surface roughness was determinated of all samples and compared. The surface roughness changes were observed for pure paper, overprinted and overvarnished. Next, the gloss of samples prior and after printing and varnishing was measured. The gloss of the samples increases when they are printed or varnished, what is related with properties of ink and varnish. Also, the thickness of ink and varnish layers was determinated. The thickness of the samples increases when the number of layers increases. Finally, the water contact angle was measured and surface free energy was calculated with Owens-Wendt method. Our results reveal the possibility of using various tools in order to confirm the performance of varnishing of the prints. The printing with various colors is always seen by the naked human eye. On the other hand, the varnish layer might be not visible. However, such a comparison is not possible if we do not have the pure paper substrates prior printing or varnish.","author":[{"dropping-particle":"","family":"Żołek-Tryznowska","given":"Zuzanna","non-dropping-particle":"","parse-names":false,"suffix":""},{"dropping-particle":"","family":"Więcek","given":"Marta","non-dropping-particle":"","parse-names":false,"suffix":""}],"container-title":"10th International Symposium on Graphic Engineering and Design","id":"ITEM-1","issued":{"date-parts":[["2020"]]},"page":"185-189","title":"Measurements of surface free energy as a tool to asses the effect of varnishing and printing of the paper substrates","type":"paper-conference"},"uris":["http://www.mendeley.com/documents/?uuid=39c87583-0e44-4b34-af12-32660db984d1"]}],"mendeley":{"formattedCitation":"[19]","plainTextFormattedCitation":"[19]","previouslyFormattedCitation":"[18]"},"properties":{"noteIndex":0},"schema":"https://github.com/citation-style-language/schema/raw/master/csl-citation.json"}</w:instrText>
      </w:r>
      <w:r w:rsidRPr="006E5E5E">
        <w:rPr>
          <w:rFonts w:ascii="Times New Roman" w:hAnsi="Times New Roman"/>
          <w:noProof/>
          <w:lang w:val="en-US" w:eastAsia="id-ID"/>
        </w:rPr>
        <w:fldChar w:fldCharType="separate"/>
      </w:r>
      <w:r w:rsidR="007021DC" w:rsidRPr="007021DC">
        <w:rPr>
          <w:rFonts w:ascii="Times New Roman" w:hAnsi="Times New Roman"/>
          <w:noProof/>
          <w:lang w:val="en-US" w:eastAsia="id-ID"/>
        </w:rPr>
        <w:t>[19]</w:t>
      </w:r>
      <w:r w:rsidRPr="006E5E5E">
        <w:rPr>
          <w:rFonts w:ascii="Times New Roman" w:hAnsi="Times New Roman"/>
          <w:noProof/>
          <w:lang w:val="en-US" w:eastAsia="id-ID"/>
        </w:rPr>
        <w:fldChar w:fldCharType="end"/>
      </w:r>
      <w:r w:rsidRPr="006E5E5E">
        <w:rPr>
          <w:rFonts w:ascii="Times New Roman" w:hAnsi="Times New Roman"/>
          <w:noProof/>
          <w:lang w:val="en-US" w:eastAsia="id-ID"/>
        </w:rPr>
        <w:t xml:space="preserve">. </w:t>
      </w:r>
      <w:r w:rsidR="002202E4" w:rsidRPr="006E5E5E">
        <w:rPr>
          <w:rFonts w:eastAsia="Calibri"/>
          <w:color w:val="000000"/>
          <w:szCs w:val="18"/>
          <w:lang w:val="id-ID" w:eastAsia="id-ID"/>
        </w:rPr>
        <w:t xml:space="preserve">It can be observed as well </w:t>
      </w:r>
      <w:r w:rsidR="002202E4" w:rsidRPr="006E5E5E">
        <w:rPr>
          <w:szCs w:val="22"/>
          <w:lang w:val="id-ID"/>
        </w:rPr>
        <w:t>from vOCG method calculation values</w:t>
      </w:r>
      <w:r w:rsidR="002202E4" w:rsidRPr="006E5E5E">
        <w:rPr>
          <w:rFonts w:eastAsia="Calibri"/>
          <w:color w:val="000000"/>
          <w:szCs w:val="18"/>
          <w:lang w:val="id-ID" w:eastAsia="id-ID"/>
        </w:rPr>
        <w:t xml:space="preserve"> that </w:t>
      </w:r>
      <w:r w:rsidR="002202E4" w:rsidRPr="006E5E5E">
        <w:rPr>
          <w:szCs w:val="18"/>
          <w:lang w:val="id-ID" w:eastAsia="zh-CN"/>
        </w:rPr>
        <w:t>Lewis base (</w:t>
      </w:r>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m:t>
            </m:r>
          </m:sup>
        </m:sSubSup>
      </m:oMath>
      <w:r w:rsidR="002202E4" w:rsidRPr="006E5E5E">
        <w:rPr>
          <w:szCs w:val="18"/>
          <w:lang w:val="id-ID" w:eastAsia="zh-CN"/>
        </w:rPr>
        <w:t xml:space="preserve">) </w:t>
      </w:r>
      <w:r w:rsidRPr="006E5E5E">
        <w:rPr>
          <w:szCs w:val="18"/>
          <w:lang w:eastAsia="zh-CN"/>
        </w:rPr>
        <w:t>SFE</w:t>
      </w:r>
      <w:r w:rsidR="002202E4" w:rsidRPr="006E5E5E">
        <w:rPr>
          <w:szCs w:val="18"/>
          <w:lang w:val="id-ID" w:eastAsia="zh-CN"/>
        </w:rPr>
        <w:t xml:space="preserve"> component is higher than Lewis acid (</w:t>
      </w:r>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m:t>
            </m:r>
          </m:sup>
        </m:sSubSup>
      </m:oMath>
      <w:r w:rsidR="002202E4" w:rsidRPr="006E5E5E">
        <w:rPr>
          <w:szCs w:val="18"/>
          <w:lang w:val="id-ID" w:eastAsia="zh-CN"/>
        </w:rPr>
        <w:t xml:space="preserve">) for all </w:t>
      </w:r>
      <w:r w:rsidRPr="006E5E5E">
        <w:rPr>
          <w:szCs w:val="18"/>
          <w:lang w:eastAsia="zh-CN"/>
        </w:rPr>
        <w:t xml:space="preserve">samples. </w:t>
      </w:r>
      <w:r w:rsidR="002202E4" w:rsidRPr="006E5E5E">
        <w:rPr>
          <w:szCs w:val="18"/>
          <w:lang w:val="id-ID" w:eastAsia="zh-CN"/>
        </w:rPr>
        <w:t xml:space="preserve">Owing to the insignificant </w:t>
      </w:r>
      <m:oMath>
        <m:sSubSup>
          <m:sSubSupPr>
            <m:ctrlPr>
              <w:rPr>
                <w:rFonts w:ascii="Cambria Math" w:hAnsi="Cambria Math"/>
                <w:i/>
                <w:color w:val="000000"/>
                <w:szCs w:val="18"/>
                <w:lang w:val="id-ID" w:eastAsia="id-ID"/>
              </w:rPr>
            </m:ctrlPr>
          </m:sSubSupPr>
          <m:e>
            <m:r>
              <w:rPr>
                <w:rFonts w:ascii="Cambria Math" w:hAnsi="Cambria Math"/>
                <w:color w:val="000000"/>
                <w:szCs w:val="18"/>
                <w:lang w:val="id-ID" w:eastAsia="id-ID"/>
              </w:rPr>
              <m:t>γ</m:t>
            </m:r>
          </m:e>
          <m:sub>
            <m:r>
              <w:rPr>
                <w:rFonts w:ascii="Cambria Math" w:hAnsi="Cambria Math"/>
                <w:color w:val="000000"/>
                <w:szCs w:val="18"/>
                <w:lang w:val="id-ID" w:eastAsia="id-ID"/>
              </w:rPr>
              <m:t>s</m:t>
            </m:r>
          </m:sub>
          <m:sup>
            <m:r>
              <w:rPr>
                <w:rFonts w:ascii="Cambria Math" w:hAnsi="Cambria Math"/>
                <w:color w:val="000000"/>
                <w:szCs w:val="18"/>
                <w:lang w:val="id-ID" w:eastAsia="id-ID"/>
              </w:rPr>
              <m:t>AB</m:t>
            </m:r>
          </m:sup>
        </m:sSubSup>
      </m:oMath>
      <w:r w:rsidR="002202E4" w:rsidRPr="006E5E5E">
        <w:rPr>
          <w:sz w:val="12"/>
          <w:szCs w:val="12"/>
          <w:lang w:val="id-ID" w:eastAsia="zh-CN"/>
        </w:rPr>
        <w:t xml:space="preserve"> </w:t>
      </w:r>
      <w:r w:rsidR="002202E4" w:rsidRPr="006E5E5E">
        <w:rPr>
          <w:szCs w:val="18"/>
          <w:lang w:val="id-ID" w:eastAsia="zh-CN"/>
        </w:rPr>
        <w:t>value it may be presumed that these surfaces will show properties of nonpolar materials</w:t>
      </w:r>
      <w:r w:rsidRPr="006E5E5E">
        <w:rPr>
          <w:szCs w:val="18"/>
          <w:lang w:eastAsia="zh-CN"/>
        </w:rPr>
        <w:t xml:space="preserve">. </w:t>
      </w:r>
      <w:r w:rsidRPr="006E5E5E">
        <w:rPr>
          <w:rFonts w:ascii="Times New Roman" w:hAnsi="Times New Roman"/>
          <w:noProof/>
          <w:lang w:val="en-US" w:eastAsia="id-ID"/>
        </w:rPr>
        <w:t xml:space="preserve">Surfaces with high SFE have a greater tendency to adsorb atmospheric materials (e.g., dust particles or moisture), which reduces wettability </w:t>
      </w:r>
      <w:r w:rsidR="00644517" w:rsidRPr="006E5E5E">
        <w:rPr>
          <w:rFonts w:ascii="Times New Roman" w:hAnsi="Times New Roman"/>
          <w:noProof/>
          <w:lang w:val="en-US" w:eastAsia="id-ID"/>
        </w:rPr>
        <w:fldChar w:fldCharType="begin" w:fldLock="1"/>
      </w:r>
      <w:r w:rsidR="007021DC">
        <w:rPr>
          <w:rFonts w:ascii="Times New Roman" w:hAnsi="Times New Roman"/>
          <w:noProof/>
          <w:lang w:val="en-US" w:eastAsia="id-ID"/>
        </w:rPr>
        <w:instrText>ADDIN CSL_CITATION {"citationItems":[{"id":"ITEM-1","itemData":{"DOI":"10.1080/10426914.2017.1279323","ISSN":"15322475","abstract":"In printing, the most important element is to obtain the correct substrate and ink combination. Transparent white and opaque white are used for the lightening of printing inks, but they are also an important component for the mixing of inks. The primary objective of this study was to assess the result of using transparent and opaque white in mineral oil-based offset printing inks on the rheological and printability properties of these inks as well as the ideal mixing ratios in terms of print quality. Transparent and opaque white were added into the standard offset magenta ink variable ratios. Differences in ink viscosity, tack, and flow (rheological) values affect such parameters as adhesion, transferability, and printing stability in these inks. Prints were made on matt-coated papers of the same grammage with these inks, and contact angle, solid ink density, color strength, and print gloss values of these ink films were measured. Color differences (ΔEab*) of inks in comparison to the standard ink were calculated and the effects of transparent and opaque white on the rheological and printability properties of the ink were presented. Finally, the ideal mixture ratios of transparent and opaque white into the ink were determined in terms of print quality and recommendations were presented.","author":[{"dropping-particle":"","family":"Aydemir","given":"Cem","non-dropping-particle":"","parse-names":false,"suffix":""},{"dropping-particle":"","family":"Yenidoğan","given":"Semiha","non-dropping-particle":"","parse-names":false,"suffix":""},{"dropping-particle":"","family":"Karademir","given":"Arif","non-dropping-particle":"","parse-names":false,"suffix":""},{"dropping-particle":"","family":"Arman","given":"Emine","non-dropping-particle":"","parse-names":false,"suffix":""}],"container-title":"Materials and Manufacturing Processes","id":"ITEM-1","issue":"11","issued":{"date-parts":[["2017"]]},"page":"1310-1315","publisher":"Taylor &amp; Francis","title":"Effects of color mixing components on offset ink and printing process","type":"article-journal","volume":"32"},"uris":["http://www.mendeley.com/documents/?uuid=faf62485-9ede-4cdd-b35a-f80e14a695bb"]}],"mendeley":{"formattedCitation":"[16]","plainTextFormattedCitation":"[16]","previouslyFormattedCitation":"[15]"},"properties":{"noteIndex":0},"schema":"https://github.com/citation-style-language/schema/raw/master/csl-citation.json"}</w:instrText>
      </w:r>
      <w:r w:rsidR="00644517" w:rsidRPr="006E5E5E">
        <w:rPr>
          <w:rFonts w:ascii="Times New Roman" w:hAnsi="Times New Roman"/>
          <w:noProof/>
          <w:lang w:val="en-US" w:eastAsia="id-ID"/>
        </w:rPr>
        <w:fldChar w:fldCharType="separate"/>
      </w:r>
      <w:r w:rsidR="007021DC" w:rsidRPr="007021DC">
        <w:rPr>
          <w:rFonts w:ascii="Times New Roman" w:hAnsi="Times New Roman"/>
          <w:noProof/>
          <w:lang w:val="en-US" w:eastAsia="id-ID"/>
        </w:rPr>
        <w:t>[16]</w:t>
      </w:r>
      <w:r w:rsidR="00644517" w:rsidRPr="006E5E5E">
        <w:rPr>
          <w:rFonts w:ascii="Times New Roman" w:hAnsi="Times New Roman"/>
          <w:noProof/>
          <w:lang w:val="en-US" w:eastAsia="id-ID"/>
        </w:rPr>
        <w:fldChar w:fldCharType="end"/>
      </w:r>
      <w:r w:rsidRPr="006E5E5E">
        <w:rPr>
          <w:rFonts w:ascii="Times New Roman" w:hAnsi="Times New Roman"/>
          <w:noProof/>
          <w:lang w:val="en-US" w:eastAsia="id-ID"/>
        </w:rPr>
        <w:t>.</w:t>
      </w:r>
      <w:r w:rsidR="00094FCC">
        <w:rPr>
          <w:rFonts w:ascii="Times New Roman" w:hAnsi="Times New Roman"/>
          <w:noProof/>
          <w:lang w:val="en-US" w:eastAsia="id-ID"/>
        </w:rPr>
        <w:t xml:space="preserve"> </w:t>
      </w:r>
      <w:r w:rsidR="00CF6048">
        <w:rPr>
          <w:rFonts w:ascii="Times New Roman" w:hAnsi="Times New Roman"/>
          <w:noProof/>
          <w:lang w:val="en-US" w:eastAsia="id-ID"/>
        </w:rPr>
        <w:t xml:space="preserve">It can also be observed that there is great similarity between the polar dan dispersive component of inks and paper surface, which indicates </w:t>
      </w:r>
      <w:r w:rsidR="008617B0" w:rsidRPr="008617B0">
        <w:rPr>
          <w:rFonts w:ascii="Times New Roman" w:hAnsi="Times New Roman"/>
          <w:noProof/>
          <w:lang w:val="en-US" w:eastAsia="id-ID"/>
        </w:rPr>
        <w:t>the better the wetting and adhesion on the surface of</w:t>
      </w:r>
      <w:r w:rsidR="008617B0">
        <w:rPr>
          <w:rFonts w:ascii="Times New Roman" w:hAnsi="Times New Roman"/>
          <w:noProof/>
          <w:lang w:val="en-US" w:eastAsia="id-ID"/>
        </w:rPr>
        <w:t xml:space="preserve"> </w:t>
      </w:r>
      <w:r w:rsidR="008617B0" w:rsidRPr="008617B0">
        <w:rPr>
          <w:rFonts w:ascii="Times New Roman" w:hAnsi="Times New Roman"/>
          <w:noProof/>
          <w:lang w:val="en-US" w:eastAsia="id-ID"/>
        </w:rPr>
        <w:t>printing substrate</w:t>
      </w:r>
      <w:r w:rsidR="008617B0">
        <w:rPr>
          <w:rFonts w:ascii="Times New Roman" w:hAnsi="Times New Roman"/>
          <w:noProof/>
          <w:lang w:val="en-US" w:eastAsia="id-ID"/>
        </w:rPr>
        <w:t xml:space="preserve"> </w:t>
      </w:r>
      <w:r w:rsidR="008617B0">
        <w:rPr>
          <w:rFonts w:ascii="Times New Roman" w:hAnsi="Times New Roman"/>
          <w:noProof/>
          <w:lang w:val="en-US" w:eastAsia="id-ID"/>
        </w:rPr>
        <w:fldChar w:fldCharType="begin" w:fldLock="1"/>
      </w:r>
      <w:r w:rsidR="007021DC">
        <w:rPr>
          <w:rFonts w:ascii="Times New Roman" w:hAnsi="Times New Roman"/>
          <w:noProof/>
          <w:lang w:val="en-US" w:eastAsia="id-ID"/>
        </w:rPr>
        <w:instrText>ADDIN CSL_CITATION {"citationItems":[{"id":"ITEM-1","itemData":{"DOI":"10.1002/col.22579","ISSN":"15206378","abstract":"The interaction between inks and substrates is critical during printing. Adhesion of the ink film is determined by the reciprocal interactions of polar and nonpolar (dispersive) components between polymer films and inks. The greater the similarity between the polar and dispersive components of inks, coating and substrates, the better the wetting and adhesion on the surface of printing substrate. Various liquid materials in printing such as inks, varnishes, lacquers, and adhesives contain high ratios of water. The highly polar nature of water makes the interaction of these materials unsuitable with predominantly disperse polymer surfaces. Some films with polyolefin structure, especially polypropylene, and polyethylene, are nonpolar and cannot form strong bonds with ink, varnish, or lacquer coatings due to their chemical structure. Increasing surface energy components overcomes the poor wetting and adhesion on polymer surfaces. In this review, the topics of water contact angle measurement and determination of surface energy, surface tension, and using sessile drop method for the wettability and ink adhesion of polymer films are surveyed. Information on structural and chemical processes was given that assists in obtaining wettable film surfaces. Recommendations were made for good adhesion and printability based on surface treatment methods and ink modification.","author":[{"dropping-particle":"","family":"Aydemir","given":"Cem","non-dropping-particle":"","parse-names":false,"suffix":""},{"dropping-particle":"","family":"Altay","given":"Bilge Nazli","non-dropping-particle":"","parse-names":false,"suffix":""},{"dropping-particle":"","family":"Akyol","given":"Merve","non-dropping-particle":"","parse-names":false,"suffix":""}],"container-title":"Color Research and Application","id":"ITEM-1","issue":"2","issued":{"date-parts":[["2021"]]},"page":"489-499","title":"Surface analysis of polymer films for wettability and ink adhesion","type":"article-journal","volume":"46"},"uris":["http://www.mendeley.com/documents/?uuid=b9ac141f-d93f-4184-ae4d-df16b4a6f6b6"]}],"mendeley":{"formattedCitation":"[20]","plainTextFormattedCitation":"[20]","previouslyFormattedCitation":"[19]"},"properties":{"noteIndex":0},"schema":"https://github.com/citation-style-language/schema/raw/master/csl-citation.json"}</w:instrText>
      </w:r>
      <w:r w:rsidR="008617B0">
        <w:rPr>
          <w:rFonts w:ascii="Times New Roman" w:hAnsi="Times New Roman"/>
          <w:noProof/>
          <w:lang w:val="en-US" w:eastAsia="id-ID"/>
        </w:rPr>
        <w:fldChar w:fldCharType="separate"/>
      </w:r>
      <w:r w:rsidR="007021DC" w:rsidRPr="007021DC">
        <w:rPr>
          <w:rFonts w:ascii="Times New Roman" w:hAnsi="Times New Roman"/>
          <w:noProof/>
          <w:lang w:val="en-US" w:eastAsia="id-ID"/>
        </w:rPr>
        <w:t>[20]</w:t>
      </w:r>
      <w:r w:rsidR="008617B0">
        <w:rPr>
          <w:rFonts w:ascii="Times New Roman" w:hAnsi="Times New Roman"/>
          <w:noProof/>
          <w:lang w:val="en-US" w:eastAsia="id-ID"/>
        </w:rPr>
        <w:fldChar w:fldCharType="end"/>
      </w:r>
      <w:r w:rsidR="008617B0" w:rsidRPr="008617B0">
        <w:rPr>
          <w:rFonts w:ascii="Times New Roman" w:hAnsi="Times New Roman"/>
          <w:noProof/>
          <w:lang w:val="en-US" w:eastAsia="id-ID"/>
        </w:rPr>
        <w:t>.</w:t>
      </w:r>
    </w:p>
    <w:p w14:paraId="5E797B8A" w14:textId="77777777" w:rsidR="008617B0" w:rsidRPr="00001042" w:rsidRDefault="008617B0" w:rsidP="008617B0">
      <w:pPr>
        <w:jc w:val="both"/>
        <w:rPr>
          <w:rFonts w:ascii="Times New Roman" w:hAnsi="Times New Roman"/>
          <w:noProof/>
          <w:lang w:val="en-US" w:eastAsia="id-ID"/>
        </w:rPr>
      </w:pPr>
    </w:p>
    <w:p w14:paraId="04E54C18" w14:textId="26BD6797" w:rsidR="00635501" w:rsidRDefault="00635501" w:rsidP="00E459E1">
      <w:pPr>
        <w:pStyle w:val="Section"/>
        <w:rPr>
          <w:lang w:val="en-US"/>
        </w:rPr>
      </w:pPr>
      <w:r w:rsidRPr="0081483F">
        <w:rPr>
          <w:lang w:val="en-US"/>
        </w:rPr>
        <w:t>Conclusion</w:t>
      </w:r>
    </w:p>
    <w:p w14:paraId="33B0E96C" w14:textId="114BB16E" w:rsidR="00CF6048" w:rsidRDefault="00E62B15" w:rsidP="00CF6048">
      <w:pPr>
        <w:jc w:val="both"/>
        <w:rPr>
          <w:lang w:val="en-US"/>
        </w:rPr>
      </w:pPr>
      <w:r>
        <w:rPr>
          <w:lang w:val="en-US"/>
        </w:rPr>
        <w:t>P</w:t>
      </w:r>
      <w:r w:rsidRPr="00E62B15">
        <w:rPr>
          <w:lang w:val="en-US"/>
        </w:rPr>
        <w:t xml:space="preserve">alm oil-based cyan offset printing inks have been successfully synthesized and its surface properties on gloss-coated paper surfaces in terms of printability have been investigated. </w:t>
      </w:r>
      <w:r w:rsidR="00094FCC" w:rsidRPr="00E62B15">
        <w:rPr>
          <w:lang w:val="en-US"/>
        </w:rPr>
        <w:t xml:space="preserve">This study shows that </w:t>
      </w:r>
      <w:r w:rsidR="00CF6048" w:rsidRPr="00E62B15">
        <w:rPr>
          <w:lang w:val="en-US"/>
        </w:rPr>
        <w:t>as the liquid contact angle increased, the surface energy decreased.</w:t>
      </w:r>
      <w:r w:rsidR="006C0801">
        <w:rPr>
          <w:lang w:val="en-US"/>
        </w:rPr>
        <w:t xml:space="preserve"> On the gloss-coated paper, the printed FAME-LO ink showed the lowest surface free energy value, while t</w:t>
      </w:r>
      <w:r w:rsidR="00CF6048" w:rsidRPr="00E62B15">
        <w:rPr>
          <w:lang w:val="en-US"/>
        </w:rPr>
        <w:t xml:space="preserve">he surface energy of FAME-SO ink printed samples 36.36 </w:t>
      </w:r>
      <w:proofErr w:type="spellStart"/>
      <w:r w:rsidR="00CF6048" w:rsidRPr="00E62B15">
        <w:rPr>
          <w:lang w:val="en-US"/>
        </w:rPr>
        <w:t>mJ</w:t>
      </w:r>
      <w:proofErr w:type="spellEnd"/>
      <w:r w:rsidR="00CF6048" w:rsidRPr="00E62B15">
        <w:rPr>
          <w:lang w:val="en-US"/>
        </w:rPr>
        <w:t>/m</w:t>
      </w:r>
      <w:r w:rsidR="00CF6048" w:rsidRPr="00E62B15">
        <w:rPr>
          <w:vertAlign w:val="superscript"/>
          <w:lang w:val="en-US"/>
        </w:rPr>
        <w:t>2</w:t>
      </w:r>
      <w:r w:rsidR="00CF6048" w:rsidRPr="00E62B15">
        <w:rPr>
          <w:lang w:val="en-US"/>
        </w:rPr>
        <w:t xml:space="preserve"> was higher than the unprinted paper 35.84 </w:t>
      </w:r>
      <w:proofErr w:type="spellStart"/>
      <w:r w:rsidR="00CF6048" w:rsidRPr="00E62B15">
        <w:rPr>
          <w:lang w:val="en-US"/>
        </w:rPr>
        <w:t>mJ</w:t>
      </w:r>
      <w:proofErr w:type="spellEnd"/>
      <w:r w:rsidR="00CF6048" w:rsidRPr="00E62B15">
        <w:rPr>
          <w:lang w:val="en-US"/>
        </w:rPr>
        <w:t>/m</w:t>
      </w:r>
      <w:r w:rsidR="00CF6048" w:rsidRPr="00E62B15">
        <w:rPr>
          <w:vertAlign w:val="superscript"/>
          <w:lang w:val="en-US"/>
        </w:rPr>
        <w:t>2</w:t>
      </w:r>
      <w:r w:rsidRPr="00E62B15">
        <w:rPr>
          <w:lang w:val="en-US"/>
        </w:rPr>
        <w:t>, although lower than conventional ink.</w:t>
      </w:r>
      <w:r w:rsidR="00CF6048" w:rsidRPr="00E62B15">
        <w:rPr>
          <w:lang w:val="en-US"/>
        </w:rPr>
        <w:t xml:space="preserve"> Since high surface energy will affect the bond strength of the ink to the substrate, this will be an advantage for</w:t>
      </w:r>
      <w:r w:rsidR="006C0801">
        <w:rPr>
          <w:lang w:val="en-US"/>
        </w:rPr>
        <w:t xml:space="preserve"> FAME-SO ink on </w:t>
      </w:r>
      <w:r w:rsidR="00CF6048" w:rsidRPr="00E62B15">
        <w:rPr>
          <w:lang w:val="en-US"/>
        </w:rPr>
        <w:t>multicolor prints requiring good ink adhesion, which will enlarge the acceptance of other colors to be printed on the previous color.</w:t>
      </w:r>
    </w:p>
    <w:p w14:paraId="257A04CA" w14:textId="551685E2" w:rsidR="00094FCC" w:rsidRDefault="00094FCC" w:rsidP="00CF6048">
      <w:pPr>
        <w:jc w:val="both"/>
        <w:rPr>
          <w:lang w:val="en-US"/>
        </w:rPr>
      </w:pPr>
    </w:p>
    <w:p w14:paraId="6A03976D" w14:textId="747A963D" w:rsidR="00094FCC" w:rsidRDefault="00094FCC" w:rsidP="00094FCC">
      <w:pPr>
        <w:pStyle w:val="Section"/>
        <w:rPr>
          <w:lang w:val="en-US"/>
        </w:rPr>
      </w:pPr>
      <w:r>
        <w:rPr>
          <w:lang w:val="en-US"/>
        </w:rPr>
        <w:t>Funding</w:t>
      </w:r>
    </w:p>
    <w:p w14:paraId="6BA4EEF0" w14:textId="588F7813" w:rsidR="00635501" w:rsidRDefault="00094FCC" w:rsidP="00635501">
      <w:pPr>
        <w:jc w:val="both"/>
        <w:rPr>
          <w:rFonts w:ascii="Times New Roman" w:hAnsi="Times New Roman"/>
          <w:noProof/>
          <w:lang w:val="en-US" w:eastAsia="id-ID"/>
        </w:rPr>
      </w:pPr>
      <w:r w:rsidRPr="00094FCC">
        <w:rPr>
          <w:lang w:val="en-US"/>
        </w:rPr>
        <w:t xml:space="preserve">This work </w:t>
      </w:r>
      <w:r w:rsidR="00E62B15">
        <w:rPr>
          <w:lang w:val="en-US"/>
        </w:rPr>
        <w:t>was supported</w:t>
      </w:r>
      <w:r w:rsidRPr="00094FCC">
        <w:rPr>
          <w:lang w:val="en-US"/>
        </w:rPr>
        <w:t xml:space="preserve"> </w:t>
      </w:r>
      <w:r w:rsidR="00E62B15">
        <w:rPr>
          <w:lang w:val="en-US"/>
        </w:rPr>
        <w:t>by</w:t>
      </w:r>
      <w:r w:rsidRPr="00094FCC">
        <w:rPr>
          <w:lang w:val="en-US"/>
        </w:rPr>
        <w:t xml:space="preserve"> the Indonesia Oil Palm Plantations Fund Management Agency (BPDPKS), with grant no. </w:t>
      </w:r>
      <w:r>
        <w:rPr>
          <w:lang w:val="en-US"/>
        </w:rPr>
        <w:t>PRJ-26/DPKS/2020</w:t>
      </w:r>
      <w:r w:rsidRPr="00094FCC">
        <w:rPr>
          <w:lang w:val="en-US"/>
        </w:rPr>
        <w:t>.</w:t>
      </w:r>
    </w:p>
    <w:p w14:paraId="316F4C33" w14:textId="03C8F069" w:rsidR="00E459E1" w:rsidRDefault="00E459E1" w:rsidP="00635501">
      <w:pPr>
        <w:jc w:val="both"/>
        <w:rPr>
          <w:rFonts w:ascii="Times New Roman" w:hAnsi="Times New Roman"/>
          <w:noProof/>
          <w:lang w:val="en-US" w:eastAsia="id-ID"/>
        </w:rPr>
      </w:pPr>
    </w:p>
    <w:p w14:paraId="4EBBAAB6" w14:textId="77777777" w:rsidR="00094FCC" w:rsidRPr="00001042" w:rsidRDefault="00094FCC" w:rsidP="00635501">
      <w:pPr>
        <w:jc w:val="both"/>
        <w:rPr>
          <w:rFonts w:ascii="Times New Roman" w:hAnsi="Times New Roman"/>
          <w:noProof/>
          <w:lang w:val="en-US" w:eastAsia="id-ID"/>
        </w:rPr>
      </w:pPr>
    </w:p>
    <w:p w14:paraId="15CB004B" w14:textId="77777777" w:rsidR="00635501" w:rsidRPr="00001042" w:rsidRDefault="00635501" w:rsidP="00635501">
      <w:pPr>
        <w:jc w:val="both"/>
        <w:rPr>
          <w:rFonts w:ascii="Times New Roman" w:hAnsi="Times New Roman"/>
          <w:b/>
          <w:noProof/>
          <w:lang w:val="en-US" w:eastAsia="id-ID"/>
        </w:rPr>
      </w:pPr>
      <w:r w:rsidRPr="00001042">
        <w:rPr>
          <w:rFonts w:ascii="Times New Roman" w:hAnsi="Times New Roman"/>
          <w:b/>
          <w:noProof/>
          <w:lang w:val="en-US" w:eastAsia="id-ID"/>
        </w:rPr>
        <w:t>References</w:t>
      </w:r>
    </w:p>
    <w:p w14:paraId="4F19AC08" w14:textId="658F149D" w:rsidR="007021DC" w:rsidRPr="007021DC" w:rsidRDefault="007142B6" w:rsidP="007021DC">
      <w:pPr>
        <w:widowControl w:val="0"/>
        <w:autoSpaceDE w:val="0"/>
        <w:autoSpaceDN w:val="0"/>
        <w:adjustRightInd w:val="0"/>
        <w:ind w:left="640" w:hanging="640"/>
        <w:rPr>
          <w:rFonts w:cs="Times"/>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7021DC" w:rsidRPr="007021DC">
        <w:rPr>
          <w:rFonts w:cs="Times"/>
          <w:noProof/>
          <w:szCs w:val="24"/>
        </w:rPr>
        <w:t>[1]</w:t>
      </w:r>
      <w:r w:rsidR="007021DC" w:rsidRPr="007021DC">
        <w:rPr>
          <w:rFonts w:cs="Times"/>
          <w:noProof/>
          <w:szCs w:val="24"/>
        </w:rPr>
        <w:tab/>
        <w:t xml:space="preserve"> Hayta P, Oktav M and Ateş Duru Ö 2021 </w:t>
      </w:r>
      <w:r w:rsidR="007021DC" w:rsidRPr="007021DC">
        <w:rPr>
          <w:rFonts w:cs="Times"/>
          <w:i/>
          <w:iCs/>
          <w:noProof/>
          <w:szCs w:val="24"/>
        </w:rPr>
        <w:t>Color Res. Appl.</w:t>
      </w:r>
      <w:r w:rsidR="007021DC" w:rsidRPr="007021DC">
        <w:rPr>
          <w:rFonts w:cs="Times"/>
          <w:noProof/>
          <w:szCs w:val="24"/>
        </w:rPr>
        <w:t xml:space="preserve"> 1–8</w:t>
      </w:r>
    </w:p>
    <w:p w14:paraId="26E98767" w14:textId="5D80A104"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[2]</w:t>
      </w:r>
      <w:r w:rsidRPr="007021DC">
        <w:rPr>
          <w:rFonts w:cs="Times"/>
          <w:noProof/>
          <w:szCs w:val="24"/>
        </w:rPr>
        <w:tab/>
        <w:t xml:space="preserve"> Bhattacharjee M, Roy A S, Ghosh S and Dey M 2011 </w:t>
      </w:r>
      <w:r w:rsidRPr="007021DC">
        <w:rPr>
          <w:rFonts w:cs="Times"/>
          <w:i/>
          <w:iCs/>
          <w:noProof/>
          <w:szCs w:val="24"/>
        </w:rPr>
        <w:t>J. Oleo Sci.</w:t>
      </w:r>
      <w:r w:rsidRPr="007021DC">
        <w:rPr>
          <w:rFonts w:cs="Times"/>
          <w:noProof/>
          <w:szCs w:val="24"/>
        </w:rPr>
        <w:t xml:space="preserve"> </w:t>
      </w:r>
      <w:r w:rsidRPr="007021DC">
        <w:rPr>
          <w:rFonts w:cs="Times"/>
          <w:b/>
          <w:bCs/>
          <w:noProof/>
          <w:szCs w:val="24"/>
        </w:rPr>
        <w:t>60</w:t>
      </w:r>
      <w:r w:rsidRPr="007021DC">
        <w:rPr>
          <w:rFonts w:cs="Times"/>
          <w:noProof/>
          <w:szCs w:val="24"/>
        </w:rPr>
        <w:t xml:space="preserve"> 19–24</w:t>
      </w:r>
    </w:p>
    <w:p w14:paraId="67FC3263" w14:textId="2AAE04D3"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[3]</w:t>
      </w:r>
      <w:r w:rsidRPr="007021DC">
        <w:rPr>
          <w:rFonts w:cs="Times"/>
          <w:noProof/>
          <w:szCs w:val="24"/>
        </w:rPr>
        <w:tab/>
        <w:t xml:space="preserve"> Roy A S, Bhattacharjee M, Mondal R and Ghosh S 2007 </w:t>
      </w:r>
      <w:r w:rsidRPr="007021DC">
        <w:rPr>
          <w:rFonts w:cs="Times"/>
          <w:i/>
          <w:iCs/>
          <w:noProof/>
          <w:szCs w:val="24"/>
        </w:rPr>
        <w:t>J. Oleo Sci.</w:t>
      </w:r>
      <w:r w:rsidRPr="007021DC">
        <w:rPr>
          <w:rFonts w:cs="Times"/>
          <w:noProof/>
          <w:szCs w:val="24"/>
        </w:rPr>
        <w:t xml:space="preserve"> </w:t>
      </w:r>
      <w:r w:rsidRPr="007021DC">
        <w:rPr>
          <w:rFonts w:cs="Times"/>
          <w:b/>
          <w:bCs/>
          <w:noProof/>
          <w:szCs w:val="24"/>
        </w:rPr>
        <w:t>56</w:t>
      </w:r>
      <w:r w:rsidRPr="007021DC">
        <w:rPr>
          <w:rFonts w:cs="Times"/>
          <w:noProof/>
          <w:szCs w:val="24"/>
        </w:rPr>
        <w:t xml:space="preserve"> 623–8</w:t>
      </w:r>
    </w:p>
    <w:p w14:paraId="5125F41A" w14:textId="70FBDB7B"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[4]</w:t>
      </w:r>
      <w:r w:rsidRPr="007021DC">
        <w:rPr>
          <w:rFonts w:cs="Times"/>
          <w:noProof/>
          <w:szCs w:val="24"/>
        </w:rPr>
        <w:tab/>
        <w:t xml:space="preserve"> Park J M, Kim Y H and Kim S Bin 2013 </w:t>
      </w:r>
      <w:r w:rsidRPr="007021DC">
        <w:rPr>
          <w:rFonts w:cs="Times"/>
          <w:i/>
          <w:iCs/>
          <w:noProof/>
          <w:szCs w:val="24"/>
        </w:rPr>
        <w:t>J. Oleo Sci.</w:t>
      </w:r>
      <w:r w:rsidRPr="007021DC">
        <w:rPr>
          <w:rFonts w:cs="Times"/>
          <w:noProof/>
          <w:szCs w:val="24"/>
        </w:rPr>
        <w:t xml:space="preserve"> </w:t>
      </w:r>
      <w:r w:rsidRPr="007021DC">
        <w:rPr>
          <w:rFonts w:cs="Times"/>
          <w:b/>
          <w:bCs/>
          <w:noProof/>
          <w:szCs w:val="24"/>
        </w:rPr>
        <w:t>62</w:t>
      </w:r>
      <w:r w:rsidRPr="007021DC">
        <w:rPr>
          <w:rFonts w:cs="Times"/>
          <w:noProof/>
          <w:szCs w:val="24"/>
        </w:rPr>
        <w:t xml:space="preserve"> 345–52</w:t>
      </w:r>
    </w:p>
    <w:p w14:paraId="3812781D" w14:textId="091FECCE"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[5]</w:t>
      </w:r>
      <w:r w:rsidRPr="007021DC">
        <w:rPr>
          <w:rFonts w:cs="Times"/>
          <w:noProof/>
          <w:szCs w:val="24"/>
        </w:rPr>
        <w:tab/>
        <w:t xml:space="preserve"> Idham Z, Che Yunus M A, Abdul Aziz M K, Mohd Setapar S H and Mohamad H 2014 </w:t>
      </w:r>
      <w:r w:rsidRPr="007021DC">
        <w:rPr>
          <w:rFonts w:cs="Times"/>
          <w:i/>
          <w:iCs/>
          <w:noProof/>
          <w:szCs w:val="24"/>
        </w:rPr>
        <w:t>J. Teknol. (Sciences Eng.</w:t>
      </w:r>
      <w:r w:rsidRPr="007021DC">
        <w:rPr>
          <w:rFonts w:cs="Times"/>
          <w:noProof/>
          <w:szCs w:val="24"/>
        </w:rPr>
        <w:t xml:space="preserve"> </w:t>
      </w:r>
      <w:r w:rsidRPr="007021DC">
        <w:rPr>
          <w:rFonts w:cs="Times"/>
          <w:b/>
          <w:bCs/>
          <w:noProof/>
          <w:szCs w:val="24"/>
        </w:rPr>
        <w:t>67</w:t>
      </w:r>
      <w:r w:rsidRPr="007021DC">
        <w:rPr>
          <w:rFonts w:cs="Times"/>
          <w:noProof/>
          <w:szCs w:val="24"/>
        </w:rPr>
        <w:t xml:space="preserve"> 65–8</w:t>
      </w:r>
    </w:p>
    <w:p w14:paraId="3796D53D" w14:textId="77777777"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[6]</w:t>
      </w:r>
      <w:r w:rsidRPr="007021DC">
        <w:rPr>
          <w:rFonts w:cs="Times"/>
          <w:noProof/>
          <w:szCs w:val="24"/>
        </w:rPr>
        <w:tab/>
        <w:t xml:space="preserve"> Leach R H and Pierce R J 2007 </w:t>
      </w:r>
      <w:r w:rsidRPr="007021DC">
        <w:rPr>
          <w:rFonts w:cs="Times"/>
          <w:i/>
          <w:iCs/>
          <w:noProof/>
          <w:szCs w:val="24"/>
        </w:rPr>
        <w:t>The Printing Ink Manual</w:t>
      </w:r>
      <w:r w:rsidRPr="007021DC">
        <w:rPr>
          <w:rFonts w:cs="Times"/>
          <w:noProof/>
          <w:szCs w:val="24"/>
        </w:rPr>
        <w:t xml:space="preserve"> (Springer)</w:t>
      </w:r>
    </w:p>
    <w:p w14:paraId="307F63CC" w14:textId="5E4D72F7"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[7]</w:t>
      </w:r>
      <w:r w:rsidRPr="007021DC">
        <w:rPr>
          <w:rFonts w:cs="Times"/>
          <w:noProof/>
          <w:szCs w:val="24"/>
        </w:rPr>
        <w:tab/>
        <w:t xml:space="preserve"> Suryadi G S, Nikmatin S, Sudaryanto, Irmansyah and Sukaryo S G 2017 </w:t>
      </w:r>
      <w:r w:rsidRPr="007021DC">
        <w:rPr>
          <w:rFonts w:cs="Times"/>
          <w:i/>
          <w:iCs/>
          <w:noProof/>
          <w:szCs w:val="24"/>
        </w:rPr>
        <w:t>IOP Conf. Ser. Earth Environ. Sci.</w:t>
      </w:r>
      <w:r w:rsidRPr="007021DC">
        <w:rPr>
          <w:rFonts w:cs="Times"/>
          <w:noProof/>
          <w:szCs w:val="24"/>
        </w:rPr>
        <w:t xml:space="preserve"> </w:t>
      </w:r>
      <w:r w:rsidRPr="007021DC">
        <w:rPr>
          <w:rFonts w:cs="Times"/>
          <w:b/>
          <w:bCs/>
          <w:noProof/>
          <w:szCs w:val="24"/>
        </w:rPr>
        <w:t>65</w:t>
      </w:r>
      <w:r w:rsidRPr="007021DC">
        <w:rPr>
          <w:rFonts w:cs="Times"/>
          <w:noProof/>
          <w:szCs w:val="24"/>
        </w:rPr>
        <w:t xml:space="preserve"> 012044</w:t>
      </w:r>
    </w:p>
    <w:p w14:paraId="22244C66" w14:textId="5C4047DE"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[8]</w:t>
      </w:r>
      <w:r w:rsidRPr="007021DC">
        <w:rPr>
          <w:rFonts w:cs="Times"/>
          <w:noProof/>
          <w:szCs w:val="24"/>
        </w:rPr>
        <w:tab/>
        <w:t xml:space="preserve"> Suryadi G S, Nikmatin S, Sudaryanto A and Irmansyah A 2017 </w:t>
      </w:r>
      <w:r w:rsidRPr="007021DC">
        <w:rPr>
          <w:rFonts w:cs="Times"/>
          <w:i/>
          <w:iCs/>
          <w:noProof/>
          <w:szCs w:val="24"/>
        </w:rPr>
        <w:t>J. Teknol.</w:t>
      </w:r>
      <w:r w:rsidRPr="007021DC">
        <w:rPr>
          <w:rFonts w:cs="Times"/>
          <w:noProof/>
          <w:szCs w:val="24"/>
        </w:rPr>
        <w:t xml:space="preserve"> </w:t>
      </w:r>
      <w:r w:rsidRPr="007021DC">
        <w:rPr>
          <w:rFonts w:cs="Times"/>
          <w:b/>
          <w:bCs/>
          <w:noProof/>
          <w:szCs w:val="24"/>
        </w:rPr>
        <w:t>79</w:t>
      </w:r>
      <w:r w:rsidRPr="007021DC">
        <w:rPr>
          <w:rFonts w:cs="Times"/>
          <w:noProof/>
          <w:szCs w:val="24"/>
        </w:rPr>
        <w:t xml:space="preserve"> 97–105</w:t>
      </w:r>
    </w:p>
    <w:p w14:paraId="65939CE0" w14:textId="2911FD32"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[9]</w:t>
      </w:r>
      <w:r w:rsidRPr="007021DC">
        <w:rPr>
          <w:rFonts w:cs="Times"/>
          <w:noProof/>
          <w:szCs w:val="24"/>
        </w:rPr>
        <w:tab/>
        <w:t xml:space="preserve"> Young T 1805 </w:t>
      </w:r>
      <w:r w:rsidRPr="007021DC">
        <w:rPr>
          <w:rFonts w:cs="Times"/>
          <w:i/>
          <w:iCs/>
          <w:noProof/>
          <w:szCs w:val="24"/>
        </w:rPr>
        <w:t>Philos. Trans. R. Soc. London</w:t>
      </w:r>
      <w:r w:rsidRPr="007021DC">
        <w:rPr>
          <w:rFonts w:cs="Times"/>
          <w:noProof/>
          <w:szCs w:val="24"/>
        </w:rPr>
        <w:t xml:space="preserve"> </w:t>
      </w:r>
      <w:r w:rsidRPr="007021DC">
        <w:rPr>
          <w:rFonts w:cs="Times"/>
          <w:b/>
          <w:bCs/>
          <w:noProof/>
          <w:szCs w:val="24"/>
        </w:rPr>
        <w:t>95</w:t>
      </w:r>
      <w:r w:rsidRPr="007021DC">
        <w:rPr>
          <w:rFonts w:cs="Times"/>
          <w:noProof/>
          <w:szCs w:val="24"/>
        </w:rPr>
        <w:t xml:space="preserve"> 65</w:t>
      </w:r>
    </w:p>
    <w:p w14:paraId="6AF62393" w14:textId="322B3012"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[10]</w:t>
      </w:r>
      <w:r w:rsidRPr="007021DC">
        <w:rPr>
          <w:rFonts w:cs="Times"/>
          <w:noProof/>
          <w:szCs w:val="24"/>
        </w:rPr>
        <w:tab/>
        <w:t xml:space="preserve"> Good R J and Girifalco L a. 1960 </w:t>
      </w:r>
      <w:r w:rsidRPr="007021DC">
        <w:rPr>
          <w:rFonts w:cs="Times"/>
          <w:i/>
          <w:iCs/>
          <w:noProof/>
          <w:szCs w:val="24"/>
        </w:rPr>
        <w:t>J. Phys. Chem.</w:t>
      </w:r>
      <w:r w:rsidRPr="007021DC">
        <w:rPr>
          <w:rFonts w:cs="Times"/>
          <w:noProof/>
          <w:szCs w:val="24"/>
        </w:rPr>
        <w:t xml:space="preserve"> </w:t>
      </w:r>
      <w:r w:rsidRPr="007021DC">
        <w:rPr>
          <w:rFonts w:cs="Times"/>
          <w:b/>
          <w:bCs/>
          <w:noProof/>
          <w:szCs w:val="24"/>
        </w:rPr>
        <w:t>24</w:t>
      </w:r>
      <w:r w:rsidRPr="007021DC">
        <w:rPr>
          <w:rFonts w:cs="Times"/>
          <w:noProof/>
          <w:szCs w:val="24"/>
        </w:rPr>
        <w:t xml:space="preserve"> 561–5</w:t>
      </w:r>
    </w:p>
    <w:p w14:paraId="7FBFB54F" w14:textId="3DDFF243"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[11]</w:t>
      </w:r>
      <w:r w:rsidRPr="007021DC">
        <w:rPr>
          <w:rFonts w:cs="Times"/>
          <w:noProof/>
          <w:szCs w:val="24"/>
        </w:rPr>
        <w:tab/>
        <w:t xml:space="preserve"> Fowkes F M 1964 </w:t>
      </w:r>
      <w:r w:rsidRPr="007021DC">
        <w:rPr>
          <w:rFonts w:cs="Times"/>
          <w:i/>
          <w:iCs/>
          <w:noProof/>
          <w:szCs w:val="24"/>
        </w:rPr>
        <w:t>Ind. Eng. Chem.</w:t>
      </w:r>
      <w:r w:rsidRPr="007021DC">
        <w:rPr>
          <w:rFonts w:cs="Times"/>
          <w:noProof/>
          <w:szCs w:val="24"/>
        </w:rPr>
        <w:t xml:space="preserve"> </w:t>
      </w:r>
      <w:r w:rsidRPr="007021DC">
        <w:rPr>
          <w:rFonts w:cs="Times"/>
          <w:b/>
          <w:bCs/>
          <w:noProof/>
          <w:szCs w:val="24"/>
        </w:rPr>
        <w:t>56</w:t>
      </w:r>
      <w:r w:rsidRPr="007021DC">
        <w:rPr>
          <w:rFonts w:cs="Times"/>
          <w:noProof/>
          <w:szCs w:val="24"/>
        </w:rPr>
        <w:t xml:space="preserve"> 40</w:t>
      </w:r>
    </w:p>
    <w:p w14:paraId="789BA217" w14:textId="535DD85E"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[12]</w:t>
      </w:r>
      <w:r w:rsidRPr="007021DC">
        <w:rPr>
          <w:rFonts w:cs="Times"/>
          <w:noProof/>
          <w:szCs w:val="24"/>
        </w:rPr>
        <w:tab/>
        <w:t xml:space="preserve"> Owens D K and Wendt R C 1969 </w:t>
      </w:r>
      <w:r w:rsidRPr="007021DC">
        <w:rPr>
          <w:rFonts w:cs="Times"/>
          <w:i/>
          <w:iCs/>
          <w:noProof/>
          <w:szCs w:val="24"/>
        </w:rPr>
        <w:t>J. Appl. Polym. Sci.</w:t>
      </w:r>
      <w:r w:rsidRPr="007021DC">
        <w:rPr>
          <w:rFonts w:cs="Times"/>
          <w:noProof/>
          <w:szCs w:val="24"/>
        </w:rPr>
        <w:t xml:space="preserve"> </w:t>
      </w:r>
      <w:r w:rsidRPr="007021DC">
        <w:rPr>
          <w:rFonts w:cs="Times"/>
          <w:b/>
          <w:bCs/>
          <w:noProof/>
          <w:szCs w:val="24"/>
        </w:rPr>
        <w:t>13</w:t>
      </w:r>
      <w:r w:rsidRPr="007021DC">
        <w:rPr>
          <w:rFonts w:cs="Times"/>
          <w:noProof/>
          <w:szCs w:val="24"/>
        </w:rPr>
        <w:t xml:space="preserve"> 1741–7</w:t>
      </w:r>
    </w:p>
    <w:p w14:paraId="05A63915" w14:textId="52427ACB"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[13]</w:t>
      </w:r>
      <w:r w:rsidRPr="007021DC">
        <w:rPr>
          <w:rFonts w:cs="Times"/>
          <w:noProof/>
          <w:szCs w:val="24"/>
        </w:rPr>
        <w:tab/>
        <w:t xml:space="preserve"> van Oss C J, Chaudhury M K and Good R J 1988 </w:t>
      </w:r>
      <w:r w:rsidRPr="007021DC">
        <w:rPr>
          <w:rFonts w:cs="Times"/>
          <w:i/>
          <w:iCs/>
          <w:noProof/>
          <w:szCs w:val="24"/>
        </w:rPr>
        <w:t>Chem. Rev.</w:t>
      </w:r>
      <w:r w:rsidRPr="007021DC">
        <w:rPr>
          <w:rFonts w:cs="Times"/>
          <w:noProof/>
          <w:szCs w:val="24"/>
        </w:rPr>
        <w:t xml:space="preserve"> </w:t>
      </w:r>
      <w:r w:rsidRPr="007021DC">
        <w:rPr>
          <w:rFonts w:cs="Times"/>
          <w:b/>
          <w:bCs/>
          <w:noProof/>
          <w:szCs w:val="24"/>
        </w:rPr>
        <w:t>88</w:t>
      </w:r>
      <w:r w:rsidRPr="007021DC">
        <w:rPr>
          <w:rFonts w:cs="Times"/>
          <w:noProof/>
          <w:szCs w:val="24"/>
        </w:rPr>
        <w:t xml:space="preserve"> 927–41</w:t>
      </w:r>
    </w:p>
    <w:p w14:paraId="54E87D52" w14:textId="5B6DA61F"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[14]</w:t>
      </w:r>
      <w:r w:rsidRPr="007021DC">
        <w:rPr>
          <w:rFonts w:cs="Times"/>
          <w:noProof/>
          <w:szCs w:val="24"/>
        </w:rPr>
        <w:tab/>
        <w:t xml:space="preserve"> Aydemir C, Karademir A, İMamoğlu S, Altay B N, Fleming P D and Tutak D 2019 </w:t>
      </w:r>
      <w:r w:rsidRPr="007021DC">
        <w:rPr>
          <w:rFonts w:cs="Times"/>
          <w:i/>
          <w:iCs/>
          <w:noProof/>
          <w:szCs w:val="24"/>
        </w:rPr>
        <w:t xml:space="preserve">Cellul. </w:t>
      </w:r>
      <w:r w:rsidRPr="007021DC">
        <w:rPr>
          <w:rFonts w:cs="Times"/>
          <w:i/>
          <w:iCs/>
          <w:noProof/>
          <w:szCs w:val="24"/>
        </w:rPr>
        <w:lastRenderedPageBreak/>
        <w:t>Chem. Technol.</w:t>
      </w:r>
      <w:r w:rsidRPr="007021DC">
        <w:rPr>
          <w:rFonts w:cs="Times"/>
          <w:noProof/>
          <w:szCs w:val="24"/>
        </w:rPr>
        <w:t xml:space="preserve"> </w:t>
      </w:r>
      <w:r w:rsidRPr="007021DC">
        <w:rPr>
          <w:rFonts w:cs="Times"/>
          <w:b/>
          <w:bCs/>
          <w:noProof/>
          <w:szCs w:val="24"/>
        </w:rPr>
        <w:t>53</w:t>
      </w:r>
      <w:r w:rsidRPr="007021DC">
        <w:rPr>
          <w:rFonts w:cs="Times"/>
          <w:noProof/>
          <w:szCs w:val="24"/>
        </w:rPr>
        <w:t xml:space="preserve"> 787–94</w:t>
      </w:r>
    </w:p>
    <w:p w14:paraId="761C9072" w14:textId="188ACE14"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[15]</w:t>
      </w:r>
      <w:r w:rsidRPr="007021DC">
        <w:rPr>
          <w:rFonts w:cs="Times"/>
          <w:noProof/>
          <w:szCs w:val="24"/>
        </w:rPr>
        <w:tab/>
        <w:t xml:space="preserve"> Aydemir C, Yenidoğan S, Karademir A and Arman Kandirmaz E 2018 </w:t>
      </w:r>
      <w:r w:rsidRPr="007021DC">
        <w:rPr>
          <w:rFonts w:cs="Times"/>
          <w:i/>
          <w:iCs/>
          <w:noProof/>
          <w:szCs w:val="24"/>
        </w:rPr>
        <w:t>J. Appl. Biomater. Funct. Mater.</w:t>
      </w:r>
      <w:r w:rsidRPr="007021DC">
        <w:rPr>
          <w:rFonts w:cs="Times"/>
          <w:noProof/>
          <w:szCs w:val="24"/>
        </w:rPr>
        <w:t xml:space="preserve"> </w:t>
      </w:r>
      <w:r w:rsidRPr="007021DC">
        <w:rPr>
          <w:rFonts w:cs="Times"/>
          <w:b/>
          <w:bCs/>
          <w:noProof/>
          <w:szCs w:val="24"/>
        </w:rPr>
        <w:t>16</w:t>
      </w:r>
      <w:r w:rsidRPr="007021DC">
        <w:rPr>
          <w:rFonts w:cs="Times"/>
          <w:noProof/>
          <w:szCs w:val="24"/>
        </w:rPr>
        <w:t xml:space="preserve"> 137–43</w:t>
      </w:r>
    </w:p>
    <w:p w14:paraId="40DE6791" w14:textId="20108E70"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[16]</w:t>
      </w:r>
      <w:r w:rsidRPr="007021DC">
        <w:rPr>
          <w:rFonts w:cs="Times"/>
          <w:noProof/>
          <w:szCs w:val="24"/>
        </w:rPr>
        <w:tab/>
        <w:t xml:space="preserve"> Aydemir C, Yenidoğan S, Karademir A and Arman E 2017 </w:t>
      </w:r>
      <w:r w:rsidRPr="007021DC">
        <w:rPr>
          <w:rFonts w:cs="Times"/>
          <w:i/>
          <w:iCs/>
          <w:noProof/>
          <w:szCs w:val="24"/>
        </w:rPr>
        <w:t>Mater. Manuf. Process.</w:t>
      </w:r>
      <w:r w:rsidRPr="007021DC">
        <w:rPr>
          <w:rFonts w:cs="Times"/>
          <w:noProof/>
          <w:szCs w:val="24"/>
        </w:rPr>
        <w:t xml:space="preserve"> </w:t>
      </w:r>
      <w:r w:rsidRPr="007021DC">
        <w:rPr>
          <w:rFonts w:cs="Times"/>
          <w:b/>
          <w:bCs/>
          <w:noProof/>
          <w:szCs w:val="24"/>
        </w:rPr>
        <w:t>32</w:t>
      </w:r>
      <w:r w:rsidRPr="007021DC">
        <w:rPr>
          <w:rFonts w:cs="Times"/>
          <w:noProof/>
          <w:szCs w:val="24"/>
        </w:rPr>
        <w:t xml:space="preserve"> 1310–5</w:t>
      </w:r>
    </w:p>
    <w:p w14:paraId="2F37ECC9" w14:textId="363528DE"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[17]</w:t>
      </w:r>
      <w:r w:rsidRPr="007021DC">
        <w:rPr>
          <w:rFonts w:cs="Times"/>
          <w:noProof/>
          <w:szCs w:val="24"/>
        </w:rPr>
        <w:tab/>
        <w:t xml:space="preserve"> Aydemir C and Özsoy S A 2021 </w:t>
      </w:r>
      <w:r w:rsidRPr="007021DC">
        <w:rPr>
          <w:rFonts w:cs="Times"/>
          <w:i/>
          <w:iCs/>
          <w:noProof/>
          <w:szCs w:val="24"/>
        </w:rPr>
        <w:t>J. Graph. Eng. Des.</w:t>
      </w:r>
      <w:r w:rsidRPr="007021DC">
        <w:rPr>
          <w:rFonts w:cs="Times"/>
          <w:noProof/>
          <w:szCs w:val="24"/>
        </w:rPr>
        <w:t xml:space="preserve"> </w:t>
      </w:r>
      <w:r w:rsidRPr="007021DC">
        <w:rPr>
          <w:rFonts w:cs="Times"/>
          <w:b/>
          <w:bCs/>
          <w:noProof/>
          <w:szCs w:val="24"/>
        </w:rPr>
        <w:t>11</w:t>
      </w:r>
      <w:r w:rsidRPr="007021DC">
        <w:rPr>
          <w:rFonts w:cs="Times"/>
          <w:noProof/>
          <w:szCs w:val="24"/>
        </w:rPr>
        <w:t xml:space="preserve"> 11–7</w:t>
      </w:r>
    </w:p>
    <w:p w14:paraId="0F839CF6" w14:textId="306D9FBF"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[18]</w:t>
      </w:r>
      <w:r w:rsidRPr="007021DC">
        <w:rPr>
          <w:rFonts w:cs="Times"/>
          <w:noProof/>
          <w:szCs w:val="24"/>
        </w:rPr>
        <w:tab/>
        <w:t xml:space="preserve"> Zolek-Tryznowska Z, Rombel M, Petriaszwili G, Dedijer S and Kašiković N 2020 </w:t>
      </w:r>
      <w:r w:rsidRPr="007021DC">
        <w:rPr>
          <w:rFonts w:cs="Times"/>
          <w:i/>
          <w:iCs/>
          <w:noProof/>
          <w:szCs w:val="24"/>
        </w:rPr>
        <w:t>Coatings</w:t>
      </w:r>
      <w:r w:rsidRPr="007021DC">
        <w:rPr>
          <w:rFonts w:cs="Times"/>
          <w:noProof/>
          <w:szCs w:val="24"/>
        </w:rPr>
        <w:t xml:space="preserve"> </w:t>
      </w:r>
      <w:r w:rsidRPr="007021DC">
        <w:rPr>
          <w:rFonts w:cs="Times"/>
          <w:b/>
          <w:bCs/>
          <w:noProof/>
          <w:szCs w:val="24"/>
        </w:rPr>
        <w:t>10</w:t>
      </w:r>
    </w:p>
    <w:p w14:paraId="472936D9" w14:textId="789626B8" w:rsidR="007021DC" w:rsidRPr="007021DC" w:rsidRDefault="007021DC" w:rsidP="007021DC">
      <w:pPr>
        <w:widowControl w:val="0"/>
        <w:autoSpaceDE w:val="0"/>
        <w:autoSpaceDN w:val="0"/>
        <w:adjustRightInd w:val="0"/>
        <w:ind w:left="640" w:hanging="640"/>
        <w:rPr>
          <w:rFonts w:cs="Times"/>
          <w:noProof/>
          <w:szCs w:val="24"/>
        </w:rPr>
      </w:pPr>
      <w:r w:rsidRPr="007021DC">
        <w:rPr>
          <w:rFonts w:cs="Times"/>
          <w:noProof/>
          <w:szCs w:val="24"/>
        </w:rPr>
        <w:t>[19]</w:t>
      </w:r>
      <w:r w:rsidRPr="007021DC">
        <w:rPr>
          <w:rFonts w:cs="Times"/>
          <w:noProof/>
          <w:szCs w:val="24"/>
        </w:rPr>
        <w:tab/>
        <w:t xml:space="preserve"> Żołek-Tryznowska Z and Więcek M 2020 </w:t>
      </w:r>
      <w:r w:rsidRPr="007021DC">
        <w:rPr>
          <w:rFonts w:cs="Times"/>
          <w:i/>
          <w:iCs/>
          <w:noProof/>
          <w:szCs w:val="24"/>
        </w:rPr>
        <w:t>10th International Symposium on Graphic Engineering and Design</w:t>
      </w:r>
      <w:r w:rsidRPr="007021DC">
        <w:rPr>
          <w:rFonts w:cs="Times"/>
          <w:noProof/>
          <w:szCs w:val="24"/>
        </w:rPr>
        <w:t xml:space="preserve"> pp 185–9</w:t>
      </w:r>
    </w:p>
    <w:p w14:paraId="132A067D" w14:textId="396CAE69" w:rsidR="007021DC" w:rsidRPr="007021DC" w:rsidRDefault="007021DC" w:rsidP="007021DC">
      <w:pPr>
        <w:widowControl w:val="0"/>
        <w:autoSpaceDE w:val="0"/>
        <w:autoSpaceDN w:val="0"/>
        <w:adjustRightInd w:val="0"/>
        <w:ind w:left="640" w:hanging="640"/>
        <w:rPr>
          <w:rFonts w:cs="Times"/>
          <w:noProof/>
        </w:rPr>
      </w:pPr>
      <w:r w:rsidRPr="007021DC">
        <w:rPr>
          <w:rFonts w:cs="Times"/>
          <w:noProof/>
          <w:szCs w:val="24"/>
        </w:rPr>
        <w:t>[20]</w:t>
      </w:r>
      <w:r w:rsidRPr="007021DC">
        <w:rPr>
          <w:rFonts w:cs="Times"/>
          <w:noProof/>
          <w:szCs w:val="24"/>
        </w:rPr>
        <w:tab/>
        <w:t xml:space="preserve"> Aydemir C, Altay B N and Akyol M 2021</w:t>
      </w:r>
      <w:r w:rsidR="008C4528">
        <w:rPr>
          <w:rFonts w:cs="Times"/>
          <w:noProof/>
          <w:szCs w:val="24"/>
        </w:rPr>
        <w:t xml:space="preserve"> </w:t>
      </w:r>
      <w:r w:rsidRPr="007021DC">
        <w:rPr>
          <w:rFonts w:cs="Times"/>
          <w:i/>
          <w:iCs/>
          <w:noProof/>
          <w:szCs w:val="24"/>
        </w:rPr>
        <w:t>Color Res. Appl.</w:t>
      </w:r>
      <w:r w:rsidRPr="007021DC">
        <w:rPr>
          <w:rFonts w:cs="Times"/>
          <w:noProof/>
          <w:szCs w:val="24"/>
        </w:rPr>
        <w:t xml:space="preserve"> </w:t>
      </w:r>
      <w:r w:rsidRPr="007021DC">
        <w:rPr>
          <w:rFonts w:cs="Times"/>
          <w:b/>
          <w:bCs/>
          <w:noProof/>
          <w:szCs w:val="24"/>
        </w:rPr>
        <w:t>46</w:t>
      </w:r>
      <w:r w:rsidRPr="007021DC">
        <w:rPr>
          <w:rFonts w:cs="Times"/>
          <w:noProof/>
          <w:szCs w:val="24"/>
        </w:rPr>
        <w:t xml:space="preserve"> 489–99</w:t>
      </w:r>
    </w:p>
    <w:p w14:paraId="241BB858" w14:textId="3AECFD93" w:rsidR="00ED0388" w:rsidRPr="00CE1C2F" w:rsidRDefault="007142B6" w:rsidP="007142B6">
      <w:pPr>
        <w:pStyle w:val="Reference"/>
        <w:numPr>
          <w:ilvl w:val="0"/>
          <w:numId w:val="0"/>
        </w:numPr>
        <w:ind w:left="851" w:hanging="851"/>
        <w:rPr>
          <w:lang w:val="en-US"/>
        </w:rPr>
      </w:pPr>
      <w:r>
        <w:rPr>
          <w:lang w:val="en-US"/>
        </w:rPr>
        <w:fldChar w:fldCharType="end"/>
      </w:r>
    </w:p>
    <w:sectPr w:rsidR="00ED0388" w:rsidRPr="00CE1C2F">
      <w:headerReference w:type="default" r:id="rId17"/>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ndows User" w:date="2022-01-15T12:31:00Z" w:initials="WU">
    <w:p w14:paraId="4467D611" w14:textId="566ED2A2" w:rsidR="005A56B9" w:rsidRPr="009A5AB1" w:rsidRDefault="005A56B9" w:rsidP="009A5AB1">
      <w:pPr>
        <w:pStyle w:val="HTMLPreformatted"/>
        <w:shd w:val="clear" w:color="auto" w:fill="F8F9FA"/>
        <w:spacing w:line="540" w:lineRule="atLeast"/>
        <w:rPr>
          <w:rFonts w:ascii="inherit" w:hAnsi="inherit"/>
          <w:color w:val="202124"/>
          <w:sz w:val="42"/>
          <w:szCs w:val="42"/>
        </w:rPr>
      </w:pPr>
      <w:r>
        <w:rPr>
          <w:rStyle w:val="CommentReference"/>
        </w:rPr>
        <w:annotationRef/>
      </w:r>
      <w:r w:rsidR="009A5AB1">
        <w:rPr>
          <w:rStyle w:val="y2iqfc"/>
          <w:rFonts w:ascii="inherit" w:hAnsi="inherit"/>
          <w:color w:val="202124"/>
          <w:sz w:val="42"/>
          <w:szCs w:val="42"/>
          <w:lang w:val="en"/>
        </w:rPr>
        <w:t>Not recommended. Use relevant research/other words</w:t>
      </w:r>
      <w:bookmarkStart w:id="2" w:name="_GoBack"/>
      <w:bookmarkEnd w:id="2"/>
    </w:p>
  </w:comment>
  <w:comment w:id="3" w:author="Windows User" w:date="2022-01-15T12:38:00Z" w:initials="WU">
    <w:p w14:paraId="0EF040D0" w14:textId="5DC74A6B" w:rsidR="005A56B9" w:rsidRPr="005A56B9" w:rsidRDefault="005A56B9">
      <w:pPr>
        <w:pStyle w:val="CommentText"/>
        <w:rPr>
          <w:lang w:val="id-ID"/>
        </w:rPr>
      </w:pPr>
      <w:r>
        <w:rPr>
          <w:rStyle w:val="CommentReference"/>
        </w:rPr>
        <w:annotationRef/>
      </w:r>
      <w:r w:rsidR="009A5AB1">
        <w:rPr>
          <w:rFonts w:ascii="Arial" w:hAnsi="Arial" w:cs="Arial"/>
          <w:color w:val="202124"/>
          <w:sz w:val="42"/>
          <w:szCs w:val="42"/>
          <w:shd w:val="clear" w:color="auto" w:fill="F8F9FA"/>
        </w:rPr>
        <w:t>The background is still simple. Add a specific discussion about reviews, previous research gaps, so that novelty is seen.</w:t>
      </w:r>
    </w:p>
  </w:comment>
  <w:comment w:id="4" w:author="Windows User" w:date="2022-01-15T12:42:00Z" w:initials="WU">
    <w:p w14:paraId="30E1A223" w14:textId="0D6579E4" w:rsidR="00C55D1A" w:rsidRPr="009A5AB1" w:rsidRDefault="00C55D1A" w:rsidP="009A5AB1">
      <w:pPr>
        <w:pStyle w:val="HTMLPreformatted"/>
        <w:shd w:val="clear" w:color="auto" w:fill="F8F9FA"/>
        <w:spacing w:line="540" w:lineRule="atLeast"/>
        <w:rPr>
          <w:rFonts w:ascii="inherit" w:hAnsi="inherit"/>
          <w:color w:val="202124"/>
          <w:sz w:val="42"/>
          <w:szCs w:val="42"/>
        </w:rPr>
      </w:pPr>
      <w:r>
        <w:rPr>
          <w:rStyle w:val="CommentReference"/>
        </w:rPr>
        <w:annotationRef/>
      </w:r>
      <w:r w:rsidR="009A5AB1">
        <w:rPr>
          <w:rStyle w:val="y2iqfc"/>
          <w:rFonts w:ascii="inherit" w:hAnsi="inherit"/>
          <w:color w:val="202124"/>
          <w:sz w:val="42"/>
          <w:szCs w:val="42"/>
          <w:lang w:val="en"/>
        </w:rPr>
        <w:t>Please pack with a table. Detailed material specifications</w:t>
      </w:r>
    </w:p>
  </w:comment>
  <w:comment w:id="5" w:author="Windows User" w:date="2022-01-15T12:43:00Z" w:initials="WU">
    <w:p w14:paraId="3343C707" w14:textId="5BE3C8D2" w:rsidR="006E71F5" w:rsidRPr="009A5AB1" w:rsidRDefault="006E71F5" w:rsidP="009A5AB1">
      <w:pPr>
        <w:pStyle w:val="HTMLPreformatted"/>
        <w:shd w:val="clear" w:color="auto" w:fill="F8F9FA"/>
        <w:spacing w:line="540" w:lineRule="atLeast"/>
        <w:rPr>
          <w:rFonts w:ascii="inherit" w:hAnsi="inherit"/>
          <w:color w:val="202124"/>
          <w:sz w:val="42"/>
          <w:szCs w:val="42"/>
        </w:rPr>
      </w:pPr>
      <w:r>
        <w:rPr>
          <w:rStyle w:val="CommentReference"/>
        </w:rPr>
        <w:annotationRef/>
      </w:r>
      <w:r w:rsidR="009A5AB1">
        <w:rPr>
          <w:rStyle w:val="y2iqfc"/>
          <w:rFonts w:ascii="inherit" w:hAnsi="inherit"/>
          <w:color w:val="202124"/>
          <w:sz w:val="42"/>
          <w:szCs w:val="42"/>
          <w:lang w:val="en"/>
        </w:rPr>
        <w:t>The procedure is packaged using a chart/scheme and is described specifically</w:t>
      </w:r>
    </w:p>
  </w:comment>
  <w:comment w:id="6" w:author="Windows User" w:date="2022-01-15T12:45:00Z" w:initials="WU">
    <w:p w14:paraId="6FAEFF72" w14:textId="5BF39276" w:rsidR="006E71F5" w:rsidRPr="009A5AB1" w:rsidRDefault="006E71F5" w:rsidP="009A5AB1">
      <w:pPr>
        <w:pStyle w:val="HTMLPreformatted"/>
        <w:shd w:val="clear" w:color="auto" w:fill="F8F9FA"/>
        <w:spacing w:line="540" w:lineRule="atLeast"/>
        <w:rPr>
          <w:rFonts w:ascii="inherit" w:hAnsi="inherit"/>
          <w:color w:val="202124"/>
          <w:sz w:val="42"/>
          <w:szCs w:val="42"/>
        </w:rPr>
      </w:pPr>
      <w:r>
        <w:rPr>
          <w:rStyle w:val="CommentReference"/>
        </w:rPr>
        <w:annotationRef/>
      </w:r>
      <w:r w:rsidR="009A5AB1" w:rsidRPr="009A5AB1">
        <w:rPr>
          <w:rFonts w:ascii="inherit" w:hAnsi="inherit"/>
          <w:color w:val="202124"/>
          <w:sz w:val="42"/>
          <w:szCs w:val="42"/>
          <w:lang w:val="en"/>
        </w:rPr>
        <w:t>Specifications are packaged using the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67D611" w15:done="0"/>
  <w15:commentEx w15:paraId="0EF040D0" w15:done="0"/>
  <w15:commentEx w15:paraId="30E1A223" w15:done="0"/>
  <w15:commentEx w15:paraId="3343C707" w15:done="0"/>
  <w15:commentEx w15:paraId="6FAEFF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7EBD6" w14:textId="77777777" w:rsidR="00926E84" w:rsidRDefault="00926E84">
      <w:r>
        <w:separator/>
      </w:r>
    </w:p>
  </w:endnote>
  <w:endnote w:type="continuationSeparator" w:id="0">
    <w:p w14:paraId="6DF9CAC2" w14:textId="77777777" w:rsidR="00926E84" w:rsidRDefault="00926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ヒラギノ角ゴ Pro W3">
    <w:altName w:val="Yu Gothic"/>
    <w:charset w:val="80"/>
    <w:family w:val="auto"/>
    <w:pitch w:val="default"/>
    <w:sig w:usb0="00000000" w:usb1="7AC7FFFF" w:usb2="00000012" w:usb3="00000000" w:csb0="0002000D" w:csb1="00000000"/>
  </w:font>
  <w:font w:name="Sabon">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dvTimes">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EE863" w14:textId="77777777" w:rsidR="00926E84" w:rsidRPr="00043761" w:rsidRDefault="00926E84">
      <w:pPr>
        <w:pStyle w:val="Bulleted"/>
        <w:numPr>
          <w:ilvl w:val="0"/>
          <w:numId w:val="0"/>
        </w:numPr>
        <w:rPr>
          <w:rFonts w:ascii="Sabon" w:hAnsi="Sabon"/>
          <w:color w:val="auto"/>
          <w:szCs w:val="20"/>
        </w:rPr>
      </w:pPr>
      <w:r>
        <w:separator/>
      </w:r>
    </w:p>
  </w:footnote>
  <w:footnote w:type="continuationSeparator" w:id="0">
    <w:p w14:paraId="064222DD" w14:textId="77777777" w:rsidR="00926E84" w:rsidRDefault="00926E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76CC0" w14:textId="77777777" w:rsidR="005A56B9" w:rsidRDefault="005A56B9"/>
  <w:p w14:paraId="57B3BC92" w14:textId="77777777" w:rsidR="005A56B9" w:rsidRDefault="005A56B9"/>
  <w:p w14:paraId="25560E12" w14:textId="77777777" w:rsidR="005A56B9" w:rsidRDefault="005A56B9"/>
  <w:p w14:paraId="71667CFC" w14:textId="77777777" w:rsidR="005A56B9" w:rsidRDefault="005A56B9"/>
  <w:p w14:paraId="03D5D573" w14:textId="77777777" w:rsidR="005A56B9" w:rsidRDefault="005A56B9"/>
  <w:p w14:paraId="3D6A40AB" w14:textId="77777777" w:rsidR="005A56B9" w:rsidRDefault="005A56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8493F"/>
    <w:multiLevelType w:val="multilevel"/>
    <w:tmpl w:val="5FF48B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F09B4"/>
    <w:multiLevelType w:val="multilevel"/>
    <w:tmpl w:val="3B6AAE3A"/>
    <w:lvl w:ilvl="0">
      <w:start w:val="1"/>
      <w:numFmt w:val="decimal"/>
      <w:pStyle w:val="section0"/>
      <w:suff w:val="space"/>
      <w:lvlText w:val="%1."/>
      <w:lvlJc w:val="left"/>
      <w:pPr>
        <w:ind w:left="0" w:firstLine="0"/>
      </w:pPr>
      <w:rPr>
        <w:rFonts w:hint="default"/>
        <w:sz w:val="22"/>
      </w:rPr>
    </w:lvl>
    <w:lvl w:ilvl="1">
      <w:start w:val="1"/>
      <w:numFmt w:val="decimal"/>
      <w:pStyle w:val="subsection0"/>
      <w:suff w:val="space"/>
      <w:lvlText w:val="%1.%2."/>
      <w:lvlJc w:val="left"/>
      <w:pPr>
        <w:ind w:left="0" w:firstLine="0"/>
      </w:pPr>
      <w:rPr>
        <w:rFonts w:hint="default"/>
        <w:lang w:val="en-GB"/>
      </w:rPr>
    </w:lvl>
    <w:lvl w:ilvl="2">
      <w:start w:val="1"/>
      <w:numFmt w:val="decimal"/>
      <w:pStyle w:val="subsubsection0"/>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790C20EA"/>
    <w:multiLevelType w:val="hybridMultilevel"/>
    <w:tmpl w:val="CF740BD0"/>
    <w:lvl w:ilvl="0" w:tplc="988C9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6"/>
  </w:num>
  <w:num w:numId="2">
    <w:abstractNumId w:val="2"/>
  </w:num>
  <w:num w:numId="3">
    <w:abstractNumId w:val="1"/>
  </w:num>
  <w:num w:numId="4">
    <w:abstractNumId w:val="12"/>
  </w:num>
  <w:num w:numId="5">
    <w:abstractNumId w:val="11"/>
  </w:num>
  <w:num w:numId="6">
    <w:abstractNumId w:val="10"/>
  </w:num>
  <w:num w:numId="7">
    <w:abstractNumId w:val="5"/>
  </w:num>
  <w:num w:numId="8">
    <w:abstractNumId w:val="13"/>
  </w:num>
  <w:num w:numId="9">
    <w:abstractNumId w:val="9"/>
  </w:num>
  <w:num w:numId="10">
    <w:abstractNumId w:val="7"/>
  </w:num>
  <w:num w:numId="11">
    <w:abstractNumId w:val="4"/>
  </w:num>
  <w:num w:numId="12">
    <w:abstractNumId w:val="3"/>
  </w:num>
  <w:num w:numId="13">
    <w:abstractNumId w:val="0"/>
  </w:num>
  <w:num w:numId="14">
    <w:abstractNumId w:val="12"/>
    <w:lvlOverride w:ilvl="0">
      <w:startOverride w:val="1"/>
    </w:lvlOverride>
  </w:num>
  <w:num w:numId="15">
    <w:abstractNumId w:val="6"/>
  </w:num>
  <w:num w:numId="16">
    <w:abstractNumId w:val="14"/>
  </w:num>
  <w:num w:numId="17">
    <w:abstractNumId w:val="8"/>
  </w:num>
  <w:num w:numId="18">
    <w:abstractNumId w:val="15"/>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ID"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en-ID"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NjA3NTYytzCxNDJU0lEKTi0uzszPAymwrAUA1PNmLCwAAAA="/>
  </w:docVars>
  <w:rsids>
    <w:rsidRoot w:val="00EF6BE4"/>
    <w:rsid w:val="000031AC"/>
    <w:rsid w:val="00005970"/>
    <w:rsid w:val="00006EA6"/>
    <w:rsid w:val="00010A4D"/>
    <w:rsid w:val="00025262"/>
    <w:rsid w:val="00034AEF"/>
    <w:rsid w:val="00043735"/>
    <w:rsid w:val="0006775C"/>
    <w:rsid w:val="00070088"/>
    <w:rsid w:val="000852DF"/>
    <w:rsid w:val="00094FCC"/>
    <w:rsid w:val="000E10E6"/>
    <w:rsid w:val="000E1768"/>
    <w:rsid w:val="000F1232"/>
    <w:rsid w:val="0010723C"/>
    <w:rsid w:val="00113DDE"/>
    <w:rsid w:val="00117941"/>
    <w:rsid w:val="0015434D"/>
    <w:rsid w:val="001C7E9C"/>
    <w:rsid w:val="001D3091"/>
    <w:rsid w:val="001E1242"/>
    <w:rsid w:val="001E33E2"/>
    <w:rsid w:val="001F4A0D"/>
    <w:rsid w:val="00207308"/>
    <w:rsid w:val="00217A99"/>
    <w:rsid w:val="002202E4"/>
    <w:rsid w:val="00222811"/>
    <w:rsid w:val="0022382B"/>
    <w:rsid w:val="00224F98"/>
    <w:rsid w:val="00236989"/>
    <w:rsid w:val="00250845"/>
    <w:rsid w:val="002558D7"/>
    <w:rsid w:val="00262221"/>
    <w:rsid w:val="002664EA"/>
    <w:rsid w:val="00274665"/>
    <w:rsid w:val="00284485"/>
    <w:rsid w:val="0028505D"/>
    <w:rsid w:val="0029198A"/>
    <w:rsid w:val="002C0E22"/>
    <w:rsid w:val="002C75D2"/>
    <w:rsid w:val="00300843"/>
    <w:rsid w:val="00301834"/>
    <w:rsid w:val="0031614A"/>
    <w:rsid w:val="00335370"/>
    <w:rsid w:val="00340DF5"/>
    <w:rsid w:val="00344B77"/>
    <w:rsid w:val="003450FD"/>
    <w:rsid w:val="00351DB4"/>
    <w:rsid w:val="0035691D"/>
    <w:rsid w:val="00363DC0"/>
    <w:rsid w:val="003710A7"/>
    <w:rsid w:val="00385D19"/>
    <w:rsid w:val="003C06DA"/>
    <w:rsid w:val="003C64CD"/>
    <w:rsid w:val="003D7A87"/>
    <w:rsid w:val="003E0D23"/>
    <w:rsid w:val="00411B7D"/>
    <w:rsid w:val="00414880"/>
    <w:rsid w:val="00414944"/>
    <w:rsid w:val="00423423"/>
    <w:rsid w:val="004366DB"/>
    <w:rsid w:val="004378BD"/>
    <w:rsid w:val="0045088E"/>
    <w:rsid w:val="00471A6F"/>
    <w:rsid w:val="00474E09"/>
    <w:rsid w:val="004860CC"/>
    <w:rsid w:val="00493E7A"/>
    <w:rsid w:val="005000BC"/>
    <w:rsid w:val="0050309A"/>
    <w:rsid w:val="00515006"/>
    <w:rsid w:val="005158FA"/>
    <w:rsid w:val="00535B59"/>
    <w:rsid w:val="0054325C"/>
    <w:rsid w:val="00554592"/>
    <w:rsid w:val="005552C0"/>
    <w:rsid w:val="00570401"/>
    <w:rsid w:val="00577E35"/>
    <w:rsid w:val="00584B1A"/>
    <w:rsid w:val="005905A2"/>
    <w:rsid w:val="005A56B9"/>
    <w:rsid w:val="005A589B"/>
    <w:rsid w:val="005B222B"/>
    <w:rsid w:val="005B2355"/>
    <w:rsid w:val="005C4448"/>
    <w:rsid w:val="005C452C"/>
    <w:rsid w:val="005C5544"/>
    <w:rsid w:val="005E0756"/>
    <w:rsid w:val="005E0D6A"/>
    <w:rsid w:val="005E671E"/>
    <w:rsid w:val="00624909"/>
    <w:rsid w:val="00625C8C"/>
    <w:rsid w:val="00635501"/>
    <w:rsid w:val="00644517"/>
    <w:rsid w:val="006613E9"/>
    <w:rsid w:val="00666045"/>
    <w:rsid w:val="00676E4E"/>
    <w:rsid w:val="00681DFF"/>
    <w:rsid w:val="00682B2E"/>
    <w:rsid w:val="00682FAC"/>
    <w:rsid w:val="00684253"/>
    <w:rsid w:val="00696A49"/>
    <w:rsid w:val="006C0801"/>
    <w:rsid w:val="006C5389"/>
    <w:rsid w:val="006C7163"/>
    <w:rsid w:val="006E0A97"/>
    <w:rsid w:val="006E5E5E"/>
    <w:rsid w:val="006E71F5"/>
    <w:rsid w:val="006F4105"/>
    <w:rsid w:val="006F45A4"/>
    <w:rsid w:val="007006DF"/>
    <w:rsid w:val="007021DC"/>
    <w:rsid w:val="00703E93"/>
    <w:rsid w:val="00707021"/>
    <w:rsid w:val="007104C0"/>
    <w:rsid w:val="007142B6"/>
    <w:rsid w:val="00715AFC"/>
    <w:rsid w:val="0072459A"/>
    <w:rsid w:val="00732694"/>
    <w:rsid w:val="007328D8"/>
    <w:rsid w:val="00733CB3"/>
    <w:rsid w:val="0074104A"/>
    <w:rsid w:val="00746A24"/>
    <w:rsid w:val="00754F95"/>
    <w:rsid w:val="007806F2"/>
    <w:rsid w:val="007B2639"/>
    <w:rsid w:val="007B4AD8"/>
    <w:rsid w:val="007E0540"/>
    <w:rsid w:val="007E09FF"/>
    <w:rsid w:val="007E1FBA"/>
    <w:rsid w:val="007F3CDD"/>
    <w:rsid w:val="00802A5B"/>
    <w:rsid w:val="00816411"/>
    <w:rsid w:val="0083197A"/>
    <w:rsid w:val="00847DFE"/>
    <w:rsid w:val="008617B0"/>
    <w:rsid w:val="00861F83"/>
    <w:rsid w:val="0087119B"/>
    <w:rsid w:val="0089650B"/>
    <w:rsid w:val="008C1E52"/>
    <w:rsid w:val="008C4528"/>
    <w:rsid w:val="00903DF6"/>
    <w:rsid w:val="009100E2"/>
    <w:rsid w:val="00926E84"/>
    <w:rsid w:val="00945E08"/>
    <w:rsid w:val="009467C4"/>
    <w:rsid w:val="00946B7D"/>
    <w:rsid w:val="00950B41"/>
    <w:rsid w:val="00970160"/>
    <w:rsid w:val="00972313"/>
    <w:rsid w:val="009A0487"/>
    <w:rsid w:val="009A10AA"/>
    <w:rsid w:val="009A52FE"/>
    <w:rsid w:val="009A5AB1"/>
    <w:rsid w:val="009D6B3A"/>
    <w:rsid w:val="00A03561"/>
    <w:rsid w:val="00A05669"/>
    <w:rsid w:val="00A14D19"/>
    <w:rsid w:val="00A43100"/>
    <w:rsid w:val="00A70727"/>
    <w:rsid w:val="00A85D0C"/>
    <w:rsid w:val="00A87BC3"/>
    <w:rsid w:val="00AC5E89"/>
    <w:rsid w:val="00AE3A93"/>
    <w:rsid w:val="00B016D2"/>
    <w:rsid w:val="00B04458"/>
    <w:rsid w:val="00B05982"/>
    <w:rsid w:val="00B16362"/>
    <w:rsid w:val="00B405B6"/>
    <w:rsid w:val="00B43EC2"/>
    <w:rsid w:val="00B55B75"/>
    <w:rsid w:val="00B6154D"/>
    <w:rsid w:val="00B63C1E"/>
    <w:rsid w:val="00B66613"/>
    <w:rsid w:val="00B71F02"/>
    <w:rsid w:val="00B7227A"/>
    <w:rsid w:val="00B77B56"/>
    <w:rsid w:val="00B83F45"/>
    <w:rsid w:val="00B9009E"/>
    <w:rsid w:val="00BA3A37"/>
    <w:rsid w:val="00BC6D61"/>
    <w:rsid w:val="00BD70F8"/>
    <w:rsid w:val="00C0011A"/>
    <w:rsid w:val="00C02BD0"/>
    <w:rsid w:val="00C11132"/>
    <w:rsid w:val="00C31D77"/>
    <w:rsid w:val="00C3538F"/>
    <w:rsid w:val="00C4128B"/>
    <w:rsid w:val="00C43AC8"/>
    <w:rsid w:val="00C44665"/>
    <w:rsid w:val="00C55D1A"/>
    <w:rsid w:val="00C56E4F"/>
    <w:rsid w:val="00C56E81"/>
    <w:rsid w:val="00C75246"/>
    <w:rsid w:val="00C75EB3"/>
    <w:rsid w:val="00C7735E"/>
    <w:rsid w:val="00C77D12"/>
    <w:rsid w:val="00C8688B"/>
    <w:rsid w:val="00CE1C2F"/>
    <w:rsid w:val="00CF344E"/>
    <w:rsid w:val="00CF3F24"/>
    <w:rsid w:val="00CF43B8"/>
    <w:rsid w:val="00CF6048"/>
    <w:rsid w:val="00D11E30"/>
    <w:rsid w:val="00D153FD"/>
    <w:rsid w:val="00D1653A"/>
    <w:rsid w:val="00D17839"/>
    <w:rsid w:val="00D32510"/>
    <w:rsid w:val="00D33CD5"/>
    <w:rsid w:val="00D40974"/>
    <w:rsid w:val="00D613E7"/>
    <w:rsid w:val="00D63C04"/>
    <w:rsid w:val="00D64ED8"/>
    <w:rsid w:val="00D718FE"/>
    <w:rsid w:val="00D73DAF"/>
    <w:rsid w:val="00D77EF0"/>
    <w:rsid w:val="00D856D5"/>
    <w:rsid w:val="00D86ECE"/>
    <w:rsid w:val="00DA2583"/>
    <w:rsid w:val="00DB540C"/>
    <w:rsid w:val="00DC75D4"/>
    <w:rsid w:val="00DD186E"/>
    <w:rsid w:val="00DD2E41"/>
    <w:rsid w:val="00DF0A72"/>
    <w:rsid w:val="00DF68C7"/>
    <w:rsid w:val="00E351BF"/>
    <w:rsid w:val="00E44CFF"/>
    <w:rsid w:val="00E459E1"/>
    <w:rsid w:val="00E62B15"/>
    <w:rsid w:val="00E633EA"/>
    <w:rsid w:val="00E75AF2"/>
    <w:rsid w:val="00E812FE"/>
    <w:rsid w:val="00E8780D"/>
    <w:rsid w:val="00E93368"/>
    <w:rsid w:val="00EA6094"/>
    <w:rsid w:val="00ED0388"/>
    <w:rsid w:val="00ED33B7"/>
    <w:rsid w:val="00EF3D32"/>
    <w:rsid w:val="00EF6BE4"/>
    <w:rsid w:val="00F1782A"/>
    <w:rsid w:val="00F279A5"/>
    <w:rsid w:val="00F34C10"/>
    <w:rsid w:val="00F4289D"/>
    <w:rsid w:val="00F6550D"/>
    <w:rsid w:val="00F73775"/>
    <w:rsid w:val="00F94960"/>
    <w:rsid w:val="00FB52BB"/>
    <w:rsid w:val="00FC705B"/>
    <w:rsid w:val="00FC7B86"/>
    <w:rsid w:val="00FE3A95"/>
    <w:rsid w:val="00FF6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957742"/>
  <w15:docId w15:val="{3438FB98-72B3-4DC4-84CB-E5EA2D86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FCC"/>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nhideWhenUsed/>
    <w:rsid w:val="00043735"/>
    <w:rPr>
      <w:sz w:val="20"/>
    </w:rPr>
  </w:style>
  <w:style w:type="character" w:customStyle="1" w:styleId="CommentTextChar">
    <w:name w:val="Comment Text Char"/>
    <w:basedOn w:val="DefaultParagraphFont"/>
    <w:link w:val="CommentText"/>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paragraph" w:customStyle="1" w:styleId="BodyChar">
    <w:name w:val="Body Char"/>
    <w:link w:val="BodyCharChar"/>
    <w:rsid w:val="00B7227A"/>
    <w:pPr>
      <w:tabs>
        <w:tab w:val="left" w:pos="567"/>
      </w:tabs>
      <w:jc w:val="both"/>
    </w:pPr>
    <w:rPr>
      <w:rFonts w:ascii="Times" w:hAnsi="Times"/>
      <w:color w:val="000000"/>
      <w:sz w:val="22"/>
      <w:szCs w:val="22"/>
      <w:lang w:eastAsia="en-US"/>
    </w:rPr>
  </w:style>
  <w:style w:type="paragraph" w:customStyle="1" w:styleId="subsection0">
    <w:name w:val="subsection"/>
    <w:rsid w:val="00B7227A"/>
    <w:pPr>
      <w:numPr>
        <w:ilvl w:val="1"/>
        <w:numId w:val="16"/>
      </w:numPr>
      <w:tabs>
        <w:tab w:val="left" w:pos="567"/>
      </w:tabs>
      <w:spacing w:before="240"/>
    </w:pPr>
    <w:rPr>
      <w:rFonts w:ascii="Times" w:hAnsi="Times"/>
      <w:i/>
      <w:iCs/>
      <w:color w:val="000000"/>
      <w:sz w:val="22"/>
      <w:szCs w:val="22"/>
      <w:lang w:val="en-US" w:eastAsia="en-US"/>
    </w:rPr>
  </w:style>
  <w:style w:type="paragraph" w:customStyle="1" w:styleId="section0">
    <w:name w:val="section"/>
    <w:autoRedefine/>
    <w:rsid w:val="00B7227A"/>
    <w:pPr>
      <w:numPr>
        <w:numId w:val="16"/>
      </w:numPr>
      <w:tabs>
        <w:tab w:val="left" w:pos="567"/>
      </w:tabs>
      <w:spacing w:before="240"/>
    </w:pPr>
    <w:rPr>
      <w:rFonts w:ascii="Times" w:hAnsi="Times"/>
      <w:b/>
      <w:color w:val="000000"/>
      <w:sz w:val="22"/>
      <w:szCs w:val="22"/>
      <w:lang w:eastAsia="en-US"/>
    </w:rPr>
  </w:style>
  <w:style w:type="paragraph" w:customStyle="1" w:styleId="subsubsection0">
    <w:name w:val="subsubsection"/>
    <w:autoRedefine/>
    <w:rsid w:val="00B7227A"/>
    <w:pPr>
      <w:numPr>
        <w:ilvl w:val="2"/>
        <w:numId w:val="16"/>
      </w:numPr>
      <w:tabs>
        <w:tab w:val="left" w:pos="567"/>
      </w:tabs>
      <w:spacing w:before="240"/>
      <w:ind w:left="0" w:firstLine="0"/>
      <w:jc w:val="both"/>
    </w:pPr>
    <w:rPr>
      <w:rFonts w:ascii="Times" w:hAnsi="Times"/>
      <w:i/>
      <w:iCs/>
      <w:color w:val="000000"/>
      <w:sz w:val="22"/>
      <w:szCs w:val="22"/>
      <w:lang w:val="en-US" w:eastAsia="en-US"/>
    </w:rPr>
  </w:style>
  <w:style w:type="character" w:customStyle="1" w:styleId="BodyCharChar">
    <w:name w:val="Body Char Char"/>
    <w:link w:val="BodyChar"/>
    <w:rsid w:val="00B7227A"/>
    <w:rPr>
      <w:rFonts w:ascii="Times" w:hAnsi="Times"/>
      <w:color w:val="000000"/>
      <w:sz w:val="22"/>
      <w:szCs w:val="22"/>
      <w:lang w:eastAsia="en-US"/>
    </w:rPr>
  </w:style>
  <w:style w:type="paragraph" w:customStyle="1" w:styleId="TableCaptionCentred">
    <w:name w:val="Table.Caption.Centred"/>
    <w:basedOn w:val="Normal"/>
    <w:autoRedefine/>
    <w:rsid w:val="007142B6"/>
    <w:pPr>
      <w:spacing w:after="120"/>
      <w:jc w:val="center"/>
    </w:pPr>
    <w:rPr>
      <w:color w:val="000000"/>
      <w:szCs w:val="22"/>
    </w:rPr>
  </w:style>
  <w:style w:type="paragraph" w:customStyle="1" w:styleId="TableCaption">
    <w:name w:val="Table.Caption"/>
    <w:rsid w:val="007142B6"/>
    <w:pPr>
      <w:spacing w:after="120" w:line="276" w:lineRule="auto"/>
      <w:jc w:val="both"/>
    </w:pPr>
    <w:rPr>
      <w:rFonts w:ascii="Times" w:hAnsi="Times"/>
      <w:color w:val="000000"/>
      <w:sz w:val="22"/>
      <w:szCs w:val="22"/>
      <w:lang w:val="en-US" w:eastAsia="en-US"/>
    </w:rPr>
  </w:style>
  <w:style w:type="paragraph" w:customStyle="1" w:styleId="Paragraph">
    <w:name w:val="Paragraph"/>
    <w:basedOn w:val="Normal"/>
    <w:link w:val="ParagraphChar"/>
    <w:qFormat/>
    <w:rsid w:val="002202E4"/>
    <w:pPr>
      <w:spacing w:after="120"/>
      <w:jc w:val="both"/>
    </w:pPr>
    <w:rPr>
      <w:rFonts w:ascii="Times New Roman" w:hAnsi="Times New Roman"/>
      <w:bCs/>
      <w:szCs w:val="24"/>
      <w:lang w:val="en-US"/>
    </w:rPr>
  </w:style>
  <w:style w:type="character" w:customStyle="1" w:styleId="ParagraphChar">
    <w:name w:val="Paragraph Char"/>
    <w:link w:val="Paragraph"/>
    <w:rsid w:val="002202E4"/>
    <w:rPr>
      <w:bCs/>
      <w:sz w:val="22"/>
      <w:szCs w:val="24"/>
      <w:lang w:val="en-US" w:eastAsia="en-US"/>
    </w:rPr>
  </w:style>
  <w:style w:type="paragraph" w:customStyle="1" w:styleId="sponsors">
    <w:name w:val="sponsors"/>
    <w:rsid w:val="00D63C04"/>
    <w:pPr>
      <w:pBdr>
        <w:top w:val="single" w:sz="4" w:space="2" w:color="auto"/>
      </w:pBdr>
      <w:spacing w:after="160" w:line="259" w:lineRule="auto"/>
      <w:ind w:firstLine="288"/>
    </w:pPr>
    <w:rPr>
      <w:sz w:val="16"/>
      <w:szCs w:val="16"/>
      <w:lang w:val="en-US" w:eastAsia="en-US"/>
    </w:rPr>
  </w:style>
  <w:style w:type="paragraph" w:customStyle="1" w:styleId="XKeywords">
    <w:name w:val="X Keywords"/>
    <w:rsid w:val="007021DC"/>
    <w:pPr>
      <w:widowControl w:val="0"/>
      <w:spacing w:before="120" w:after="160" w:line="259" w:lineRule="auto"/>
      <w:ind w:left="851"/>
    </w:pPr>
    <w:rPr>
      <w:rFonts w:ascii="Calibri" w:eastAsia="ヒラギノ角ゴ Pro W3" w:hAnsi="Calibri" w:cs="Calibri"/>
      <w:color w:val="000000"/>
      <w:sz w:val="22"/>
      <w:szCs w:val="19"/>
      <w:lang w:val="en-US" w:eastAsia="zh-CN"/>
    </w:rPr>
  </w:style>
  <w:style w:type="paragraph" w:styleId="HTMLPreformatted">
    <w:name w:val="HTML Preformatted"/>
    <w:basedOn w:val="Normal"/>
    <w:link w:val="HTMLPreformattedChar"/>
    <w:uiPriority w:val="99"/>
    <w:unhideWhenUsed/>
    <w:rsid w:val="009A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id-ID" w:eastAsia="id-ID"/>
    </w:rPr>
  </w:style>
  <w:style w:type="character" w:customStyle="1" w:styleId="HTMLPreformattedChar">
    <w:name w:val="HTML Preformatted Char"/>
    <w:basedOn w:val="DefaultParagraphFont"/>
    <w:link w:val="HTMLPreformatted"/>
    <w:uiPriority w:val="99"/>
    <w:rsid w:val="009A5AB1"/>
    <w:rPr>
      <w:rFonts w:ascii="Courier New" w:hAnsi="Courier New" w:cs="Courier New"/>
      <w:lang w:val="id-ID" w:eastAsia="id-ID"/>
    </w:rPr>
  </w:style>
  <w:style w:type="character" w:customStyle="1" w:styleId="y2iqfc">
    <w:name w:val="y2iqfc"/>
    <w:basedOn w:val="DefaultParagraphFont"/>
    <w:rsid w:val="009A5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621500701">
      <w:bodyDiv w:val="1"/>
      <w:marLeft w:val="0"/>
      <w:marRight w:val="0"/>
      <w:marTop w:val="0"/>
      <w:marBottom w:val="0"/>
      <w:divBdr>
        <w:top w:val="none" w:sz="0" w:space="0" w:color="auto"/>
        <w:left w:val="none" w:sz="0" w:space="0" w:color="auto"/>
        <w:bottom w:val="none" w:sz="0" w:space="0" w:color="auto"/>
        <w:right w:val="none" w:sz="0" w:space="0" w:color="auto"/>
      </w:divBdr>
    </w:div>
    <w:div w:id="664666967">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798840173">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98173487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 w:id="199926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94710041059961E-2"/>
          <c:y val="4.3650793650793648E-2"/>
          <c:w val="0.8555808798168334"/>
          <c:h val="0.86979502562179722"/>
        </c:manualLayout>
      </c:layout>
      <c:barChart>
        <c:barDir val="col"/>
        <c:grouping val="clustered"/>
        <c:varyColors val="0"/>
        <c:ser>
          <c:idx val="0"/>
          <c:order val="0"/>
          <c:tx>
            <c:strRef>
              <c:f>Sheet1!$B$1</c:f>
              <c:strCache>
                <c:ptCount val="1"/>
                <c:pt idx="0">
                  <c:v>Unprinted Paper</c:v>
                </c:pt>
              </c:strCache>
            </c:strRef>
          </c:tx>
          <c:spPr>
            <a:no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Sheet1!$B$6:$B$8</c:f>
                <c:numCache>
                  <c:formatCode>General</c:formatCode>
                  <c:ptCount val="3"/>
                  <c:pt idx="0">
                    <c:v>1.0680000000000001</c:v>
                  </c:pt>
                  <c:pt idx="1">
                    <c:v>0.51500000000000001</c:v>
                  </c:pt>
                  <c:pt idx="2">
                    <c:v>0.60199999999999998</c:v>
                  </c:pt>
                </c:numCache>
              </c:numRef>
            </c:plus>
            <c:minus>
              <c:numRef>
                <c:f>Sheet1!$B$6:$B$8</c:f>
                <c:numCache>
                  <c:formatCode>General</c:formatCode>
                  <c:ptCount val="3"/>
                  <c:pt idx="0">
                    <c:v>1.0680000000000001</c:v>
                  </c:pt>
                  <c:pt idx="1">
                    <c:v>0.51500000000000001</c:v>
                  </c:pt>
                  <c:pt idx="2">
                    <c:v>0.60199999999999998</c:v>
                  </c:pt>
                </c:numCache>
              </c:numRef>
            </c:minus>
            <c:spPr>
              <a:noFill/>
              <a:ln w="9525" cap="flat" cmpd="sng" algn="ctr">
                <a:solidFill>
                  <a:schemeClr val="tx1">
                    <a:lumMod val="65000"/>
                    <a:lumOff val="35000"/>
                  </a:schemeClr>
                </a:solidFill>
                <a:round/>
              </a:ln>
              <a:effectLst/>
            </c:spPr>
          </c:errBars>
          <c:cat>
            <c:strRef>
              <c:f>Sheet1!$A$2:$A$4</c:f>
              <c:strCache>
                <c:ptCount val="3"/>
                <c:pt idx="0">
                  <c:v>Water</c:v>
                </c:pt>
                <c:pt idx="1">
                  <c:v>Methanol</c:v>
                </c:pt>
                <c:pt idx="2">
                  <c:v>Hexane</c:v>
                </c:pt>
              </c:strCache>
            </c:strRef>
          </c:cat>
          <c:val>
            <c:numRef>
              <c:f>Sheet1!$B$2:$B$4</c:f>
              <c:numCache>
                <c:formatCode>0.00</c:formatCode>
                <c:ptCount val="3"/>
                <c:pt idx="0">
                  <c:v>74.751000000000005</c:v>
                </c:pt>
                <c:pt idx="1">
                  <c:v>14.686</c:v>
                </c:pt>
                <c:pt idx="2">
                  <c:v>14.313000000000001</c:v>
                </c:pt>
              </c:numCache>
            </c:numRef>
          </c:val>
          <c:extLst xmlns:c16r2="http://schemas.microsoft.com/office/drawing/2015/06/chart">
            <c:ext xmlns:c16="http://schemas.microsoft.com/office/drawing/2014/chart" uri="{C3380CC4-5D6E-409C-BE32-E72D297353CC}">
              <c16:uniqueId val="{00000000-79AF-41F7-BD72-E995EB24E472}"/>
            </c:ext>
          </c:extLst>
        </c:ser>
        <c:ser>
          <c:idx val="1"/>
          <c:order val="1"/>
          <c:tx>
            <c:strRef>
              <c:f>Sheet1!$C$1</c:f>
              <c:strCache>
                <c:ptCount val="1"/>
                <c:pt idx="0">
                  <c:v>FAME-LO Ink</c:v>
                </c:pt>
              </c:strCache>
            </c:strRef>
          </c:tx>
          <c:spPr>
            <a:pattFill prst="pct50">
              <a:fgClr>
                <a:sysClr val="windowText" lastClr="000000"/>
              </a:fgClr>
              <a:bgClr>
                <a:schemeClr val="bg1"/>
              </a:bgClr>
            </a:pattFill>
            <a:ln>
              <a:solidFill>
                <a:schemeClr val="tx1"/>
              </a:solidFill>
            </a:ln>
            <a:effectLst/>
          </c:spPr>
          <c:invertIfNegative val="0"/>
          <c:dLbls>
            <c:dLbl>
              <c:idx val="0"/>
              <c:layout>
                <c:manualLayout>
                  <c:x val="-4.2437781360066642E-17"/>
                  <c:y val="-1.388904511936008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79AF-41F7-BD72-E995EB24E472}"/>
                </c:ext>
                <c:ext xmlns:c15="http://schemas.microsoft.com/office/drawing/2012/chart" uri="{CE6537A1-D6FC-4f65-9D91-7224C49458BB}">
                  <c15:layout>
                    <c:manualLayout>
                      <c:w val="6.0763888888888888E-2"/>
                      <c:h val="4.8988251468566418E-2"/>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Sheet1!$C$6:$C$8</c:f>
                <c:numCache>
                  <c:formatCode>General</c:formatCode>
                  <c:ptCount val="3"/>
                  <c:pt idx="0">
                    <c:v>3.0329999999999999</c:v>
                  </c:pt>
                  <c:pt idx="1">
                    <c:v>1.903</c:v>
                  </c:pt>
                  <c:pt idx="2">
                    <c:v>1.212</c:v>
                  </c:pt>
                </c:numCache>
              </c:numRef>
            </c:plus>
            <c:minus>
              <c:numRef>
                <c:f>Sheet1!$C$6:$C$8</c:f>
                <c:numCache>
                  <c:formatCode>General</c:formatCode>
                  <c:ptCount val="3"/>
                  <c:pt idx="0">
                    <c:v>3.0329999999999999</c:v>
                  </c:pt>
                  <c:pt idx="1">
                    <c:v>1.903</c:v>
                  </c:pt>
                  <c:pt idx="2">
                    <c:v>1.212</c:v>
                  </c:pt>
                </c:numCache>
              </c:numRef>
            </c:minus>
            <c:spPr>
              <a:noFill/>
              <a:ln w="9525" cap="flat" cmpd="sng" algn="ctr">
                <a:solidFill>
                  <a:schemeClr val="tx1">
                    <a:lumMod val="65000"/>
                    <a:lumOff val="35000"/>
                  </a:schemeClr>
                </a:solidFill>
                <a:round/>
              </a:ln>
              <a:effectLst/>
            </c:spPr>
          </c:errBars>
          <c:cat>
            <c:strRef>
              <c:f>Sheet1!$A$2:$A$4</c:f>
              <c:strCache>
                <c:ptCount val="3"/>
                <c:pt idx="0">
                  <c:v>Water</c:v>
                </c:pt>
                <c:pt idx="1">
                  <c:v>Methanol</c:v>
                </c:pt>
                <c:pt idx="2">
                  <c:v>Hexane</c:v>
                </c:pt>
              </c:strCache>
            </c:strRef>
          </c:cat>
          <c:val>
            <c:numRef>
              <c:f>Sheet1!$C$2:$C$4</c:f>
              <c:numCache>
                <c:formatCode>0.00</c:formatCode>
                <c:ptCount val="3"/>
                <c:pt idx="0">
                  <c:v>76.489000000000004</c:v>
                </c:pt>
                <c:pt idx="1">
                  <c:v>12.374000000000001</c:v>
                </c:pt>
                <c:pt idx="2">
                  <c:v>12.451000000000001</c:v>
                </c:pt>
              </c:numCache>
            </c:numRef>
          </c:val>
          <c:extLst xmlns:c16r2="http://schemas.microsoft.com/office/drawing/2015/06/chart">
            <c:ext xmlns:c16="http://schemas.microsoft.com/office/drawing/2014/chart" uri="{C3380CC4-5D6E-409C-BE32-E72D297353CC}">
              <c16:uniqueId val="{00000002-79AF-41F7-BD72-E995EB24E472}"/>
            </c:ext>
          </c:extLst>
        </c:ser>
        <c:ser>
          <c:idx val="2"/>
          <c:order val="2"/>
          <c:tx>
            <c:strRef>
              <c:f>Sheet1!$D$1</c:f>
              <c:strCache>
                <c:ptCount val="1"/>
                <c:pt idx="0">
                  <c:v>FAME-SO Ink</c:v>
                </c:pt>
              </c:strCache>
            </c:strRef>
          </c:tx>
          <c:spPr>
            <a:pattFill prst="ltDnDiag">
              <a:fgClr>
                <a:sysClr val="windowText" lastClr="000000"/>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Sheet1!$D$6:$D$8</c:f>
                <c:numCache>
                  <c:formatCode>General</c:formatCode>
                  <c:ptCount val="3"/>
                  <c:pt idx="0">
                    <c:v>1.016</c:v>
                  </c:pt>
                  <c:pt idx="1">
                    <c:v>0.67100000000000004</c:v>
                  </c:pt>
                  <c:pt idx="2">
                    <c:v>1.282</c:v>
                  </c:pt>
                </c:numCache>
              </c:numRef>
            </c:plus>
            <c:minus>
              <c:numRef>
                <c:f>Sheet1!$D$6:$D$8</c:f>
                <c:numCache>
                  <c:formatCode>General</c:formatCode>
                  <c:ptCount val="3"/>
                  <c:pt idx="0">
                    <c:v>1.016</c:v>
                  </c:pt>
                  <c:pt idx="1">
                    <c:v>0.67100000000000004</c:v>
                  </c:pt>
                  <c:pt idx="2">
                    <c:v>1.282</c:v>
                  </c:pt>
                </c:numCache>
              </c:numRef>
            </c:minus>
            <c:spPr>
              <a:noFill/>
              <a:ln w="9525" cap="flat" cmpd="sng" algn="ctr">
                <a:solidFill>
                  <a:schemeClr val="tx1">
                    <a:lumMod val="65000"/>
                    <a:lumOff val="35000"/>
                  </a:schemeClr>
                </a:solidFill>
                <a:round/>
              </a:ln>
              <a:effectLst/>
            </c:spPr>
          </c:errBars>
          <c:cat>
            <c:strRef>
              <c:f>Sheet1!$A$2:$A$4</c:f>
              <c:strCache>
                <c:ptCount val="3"/>
                <c:pt idx="0">
                  <c:v>Water</c:v>
                </c:pt>
                <c:pt idx="1">
                  <c:v>Methanol</c:v>
                </c:pt>
                <c:pt idx="2">
                  <c:v>Hexane</c:v>
                </c:pt>
              </c:strCache>
            </c:strRef>
          </c:cat>
          <c:val>
            <c:numRef>
              <c:f>Sheet1!$D$2:$D$4</c:f>
              <c:numCache>
                <c:formatCode>0.00</c:formatCode>
                <c:ptCount val="3"/>
                <c:pt idx="0">
                  <c:v>74.212000000000003</c:v>
                </c:pt>
                <c:pt idx="1">
                  <c:v>14.808999999999999</c:v>
                </c:pt>
                <c:pt idx="2">
                  <c:v>14.558</c:v>
                </c:pt>
              </c:numCache>
            </c:numRef>
          </c:val>
          <c:extLst xmlns:c16r2="http://schemas.microsoft.com/office/drawing/2015/06/chart">
            <c:ext xmlns:c16="http://schemas.microsoft.com/office/drawing/2014/chart" uri="{C3380CC4-5D6E-409C-BE32-E72D297353CC}">
              <c16:uniqueId val="{00000003-79AF-41F7-BD72-E995EB24E472}"/>
            </c:ext>
          </c:extLst>
        </c:ser>
        <c:ser>
          <c:idx val="3"/>
          <c:order val="3"/>
          <c:tx>
            <c:strRef>
              <c:f>Sheet1!$E$1</c:f>
              <c:strCache>
                <c:ptCount val="1"/>
                <c:pt idx="0">
                  <c:v>Conventional Ink</c:v>
                </c:pt>
              </c:strCache>
            </c:strRef>
          </c:tx>
          <c:spPr>
            <a:pattFill prst="pct75">
              <a:fgClr>
                <a:sysClr val="windowText" lastClr="000000"/>
              </a:fgClr>
              <a:bgClr>
                <a:schemeClr val="bg1"/>
              </a:bgClr>
            </a:pattFill>
            <a:ln>
              <a:solidFill>
                <a:schemeClr val="tx1"/>
              </a:solidFill>
            </a:ln>
            <a:effectLst/>
          </c:spPr>
          <c:invertIfNegative val="0"/>
          <c:dLbls>
            <c:dLbl>
              <c:idx val="0"/>
              <c:layout>
                <c:manualLayout>
                  <c:x val="-4.2437781360066642E-17"/>
                  <c:y val="-1.98412698412698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79AF-41F7-BD72-E995EB24E472}"/>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Sheet1!$E$6:$E$8</c:f>
                <c:numCache>
                  <c:formatCode>General</c:formatCode>
                  <c:ptCount val="3"/>
                  <c:pt idx="0">
                    <c:v>3.6360000000000001</c:v>
                  </c:pt>
                  <c:pt idx="1">
                    <c:v>0.67600000000000005</c:v>
                  </c:pt>
                  <c:pt idx="2">
                    <c:v>1.18</c:v>
                  </c:pt>
                </c:numCache>
              </c:numRef>
            </c:plus>
            <c:minus>
              <c:numRef>
                <c:f>Sheet1!$E$6:$E$8</c:f>
                <c:numCache>
                  <c:formatCode>General</c:formatCode>
                  <c:ptCount val="3"/>
                  <c:pt idx="0">
                    <c:v>3.6360000000000001</c:v>
                  </c:pt>
                  <c:pt idx="1">
                    <c:v>0.67600000000000005</c:v>
                  </c:pt>
                  <c:pt idx="2">
                    <c:v>1.18</c:v>
                  </c:pt>
                </c:numCache>
              </c:numRef>
            </c:minus>
            <c:spPr>
              <a:noFill/>
              <a:ln w="9525" cap="flat" cmpd="sng" algn="ctr">
                <a:solidFill>
                  <a:schemeClr val="tx1">
                    <a:lumMod val="65000"/>
                    <a:lumOff val="35000"/>
                  </a:schemeClr>
                </a:solidFill>
                <a:round/>
              </a:ln>
              <a:effectLst/>
            </c:spPr>
          </c:errBars>
          <c:cat>
            <c:strRef>
              <c:f>Sheet1!$A$2:$A$4</c:f>
              <c:strCache>
                <c:ptCount val="3"/>
                <c:pt idx="0">
                  <c:v>Water</c:v>
                </c:pt>
                <c:pt idx="1">
                  <c:v>Methanol</c:v>
                </c:pt>
                <c:pt idx="2">
                  <c:v>Hexane</c:v>
                </c:pt>
              </c:strCache>
            </c:strRef>
          </c:cat>
          <c:val>
            <c:numRef>
              <c:f>Sheet1!$E$2:$E$4</c:f>
              <c:numCache>
                <c:formatCode>0.00</c:formatCode>
                <c:ptCount val="3"/>
                <c:pt idx="0">
                  <c:v>64.379000000000005</c:v>
                </c:pt>
                <c:pt idx="1">
                  <c:v>13.717000000000001</c:v>
                </c:pt>
                <c:pt idx="2">
                  <c:v>13.266</c:v>
                </c:pt>
              </c:numCache>
            </c:numRef>
          </c:val>
          <c:extLst xmlns:c16r2="http://schemas.microsoft.com/office/drawing/2015/06/chart">
            <c:ext xmlns:c16="http://schemas.microsoft.com/office/drawing/2014/chart" uri="{C3380CC4-5D6E-409C-BE32-E72D297353CC}">
              <c16:uniqueId val="{00000005-79AF-41F7-BD72-E995EB24E472}"/>
            </c:ext>
          </c:extLst>
        </c:ser>
        <c:dLbls>
          <c:showLegendKey val="0"/>
          <c:showVal val="1"/>
          <c:showCatName val="0"/>
          <c:showSerName val="0"/>
          <c:showPercent val="0"/>
          <c:showBubbleSize val="0"/>
        </c:dLbls>
        <c:gapWidth val="219"/>
        <c:overlap val="-27"/>
        <c:axId val="-1713529584"/>
        <c:axId val="-1713515984"/>
      </c:barChart>
      <c:catAx>
        <c:axId val="-171352958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1713515984"/>
        <c:crosses val="autoZero"/>
        <c:auto val="1"/>
        <c:lblAlgn val="ctr"/>
        <c:lblOffset val="100"/>
        <c:noMultiLvlLbl val="0"/>
      </c:catAx>
      <c:valAx>
        <c:axId val="-171351598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Contact Angle (o)</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numFmt formatCode="0"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1713529584"/>
        <c:crosses val="autoZero"/>
        <c:crossBetween val="between"/>
      </c:valAx>
      <c:spPr>
        <a:noFill/>
        <a:ln>
          <a:noFill/>
        </a:ln>
        <a:effectLst/>
      </c:spPr>
    </c:plotArea>
    <c:legend>
      <c:legendPos val="r"/>
      <c:layout>
        <c:manualLayout>
          <c:xMode val="edge"/>
          <c:yMode val="edge"/>
          <c:x val="0.55766282296377057"/>
          <c:y val="0.14092662683006973"/>
          <c:w val="0.17105142288646893"/>
          <c:h val="0.3269521758002815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11B0E-0270-489A-96EA-B4567ECBB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2</TotalTime>
  <Pages>1</Pages>
  <Words>12341</Words>
  <Characters>70347</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82523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Gema Sukmawati S</dc:creator>
  <cp:keywords>open access, proceedings, template, fast, affordable, flexible</cp:keywords>
  <cp:lastModifiedBy>Windows User</cp:lastModifiedBy>
  <cp:revision>4</cp:revision>
  <cp:lastPrinted>2005-02-25T09:52:00Z</cp:lastPrinted>
  <dcterms:created xsi:type="dcterms:W3CDTF">2022-01-15T05:48:00Z</dcterms:created>
  <dcterms:modified xsi:type="dcterms:W3CDTF">2022-01-15T05:49:00Z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http://www.zotero.org/styles/journal-of-physics-conference-series</vt:lpwstr>
  </property>
  <property fmtid="{D5CDD505-2E9C-101B-9397-08002B2CF9AE}" pid="15" name="Mendeley Recent Style Name 6_1">
    <vt:lpwstr>Journal of Physics: Conference Series</vt:lpwstr>
  </property>
  <property fmtid="{D5CDD505-2E9C-101B-9397-08002B2CF9AE}" pid="16" name="Mendeley Recent Style Id 7_1">
    <vt:lpwstr>http://www.zotero.org/styles/sage-vancouver-brackets</vt:lpwstr>
  </property>
  <property fmtid="{D5CDD505-2E9C-101B-9397-08002B2CF9AE}" pid="17" name="Mendeley Recent Style Name 7_1">
    <vt:lpwstr>SAGE - Vancouver (brackets)</vt:lpwstr>
  </property>
  <property fmtid="{D5CDD505-2E9C-101B-9397-08002B2CF9AE}" pid="18" name="Mendeley Recent Style Id 8_1">
    <vt:lpwstr>http://www.zotero.org/styles/springer-vancouver-brackets</vt:lpwstr>
  </property>
  <property fmtid="{D5CDD505-2E9C-101B-9397-08002B2CF9AE}" pid="19" name="Mendeley Recent Style Name 8_1">
    <vt:lpwstr>Springer - Vancouver (brackets)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69b97aee-6042-3d5c-85db-5be9a0b0333b</vt:lpwstr>
  </property>
  <property fmtid="{D5CDD505-2E9C-101B-9397-08002B2CF9AE}" pid="24" name="Mendeley Citation Style_1">
    <vt:lpwstr>http://www.zotero.org/styles/journal-of-physics-conference-series</vt:lpwstr>
  </property>
</Properties>
</file>