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Kafedra yig‘ilishi bayonnomasi №3</w:t>
      </w:r>
    </w:p>
    <w:p>
      <w:pPr>
        <w:jc w:val="center"/>
      </w:pPr>
      <w:r>
        <w:rPr>
          <w:b/>
          <w:sz w:val="20"/>
        </w:rPr>
        <w:t>KAFEDRAAGENT MVP — SAYTDAGI DEMO MA'LUMOTLARI ASOSIDA</w:t>
      </w:r>
    </w:p>
    <w:p>
      <w:r>
        <w:t>Manba: D03 — Kafedra hujjatlari (Word)</w:t>
      </w:r>
    </w:p>
    <w:p>
      <w:pPr>
        <w:pStyle w:val="Heading2"/>
      </w:pPr>
      <w:r>
        <w:t>Monitoring natijalari</w:t>
      </w:r>
    </w:p>
    <w:p>
      <w:pPr>
        <w:pStyle w:val="ListBullet"/>
      </w:pPr>
      <w:r>
        <w:t>Aliyev B. va Yusupov J. ilmiy rejasining bajarilishi 50 foizdan past.</w:t>
      </w:r>
    </w:p>
    <w:p>
      <w:pPr>
        <w:pStyle w:val="ListBullet"/>
      </w:pPr>
      <w:r>
        <w:t>Yillik hisobotdagi maqolalar soni Evidence Vaultdagi tasdiqlangan dalillar bilan to‘liq mos emas.</w:t>
      </w:r>
    </w:p>
    <w:p>
      <w:pPr>
        <w:pStyle w:val="Heading2"/>
      </w:pPr>
      <w:r>
        <w:t>Qarorlar</w:t>
      </w:r>
    </w:p>
    <w:p>
      <w:pPr>
        <w:pStyle w:val="ListBullet"/>
      </w:pPr>
      <w:r>
        <w:t>Aliyev B. va Yusupov J. bilan individual progress review o‘tkazish tavsiya etildi.</w:t>
      </w:r>
    </w:p>
    <w:p>
      <w:pPr>
        <w:pStyle w:val="ListBullet"/>
      </w:pPr>
      <w:r>
        <w:t>Hisobot va dalillar farqlarini inson tomonidan tekshirish va 25-oktabrgacha hisobotni aniqlashtirish belgilandi.</w:t>
      </w:r>
    </w:p>
    <w:p>
      <w:pPr>
        <w:pStyle w:val="ListBullet"/>
      </w:pPr>
      <w:r>
        <w:t>Haftalik hisobot rahbariyatga har juma kuni yuboriladi.</w:t>
      </w:r>
    </w:p>
    <w:p>
      <w:r>
        <w:t>Izoh: Ushbu hujjat KafedraAgent saytining mavjud DEMO ma'lumotlari asosida tayyorlandi; rasmiy universitet hujjati emas.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