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Professor-o‘qituvchilar KPI reyting nizomi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D04 — Universitet me’yoriy hujjatlari (PDF)</w:t>
      </w:r>
    </w:p>
    <w:p>
      <w:pPr>
        <w:pStyle w:val="Heading2"/>
      </w:pPr>
      <w:r>
        <w:t>KPI tuzilmasi</w:t>
      </w:r>
    </w:p>
    <w:p>
      <w:pPr>
        <w:pStyle w:val="Heading2"/>
      </w:pPr>
      <w:r>
        <w:t>Ball taqsimoti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Maksimal ball</w:t>
            </w:r>
          </w:p>
        </w:tc>
      </w:tr>
      <w:tr>
        <w:tc>
          <w:tcPr>
            <w:tcW w:type="dxa" w:w="4320"/>
          </w:tcPr>
          <w:p>
            <w:r>
              <w:t>Ilmiy maqolalar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Konferensiya ma’ruzalari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O‘quv-metodik ishlar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Grant va loyihalar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Ma’naviy-tarbiyaviy ishlar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Jami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2"/>
      </w:pPr>
      <w:r>
        <w:t>Hisoblash va dalil talablari</w:t>
      </w:r>
    </w:p>
    <w:p>
      <w:pPr>
        <w:pStyle w:val="ListBullet"/>
      </w:pPr>
      <w:r>
        <w:t>KPI bajarilishi = tasdiqlangan ball / maksimal ball × 100.</w:t>
      </w:r>
    </w:p>
    <w:p>
      <w:pPr>
        <w:pStyle w:val="ListBullet"/>
      </w:pPr>
      <w:r>
        <w:t>Faqat tasdiqlangan dalillar hisobga olinadi.</w:t>
      </w:r>
    </w:p>
    <w:p>
      <w:pPr>
        <w:pStyle w:val="ListBullet"/>
      </w:pPr>
      <w:r>
        <w:t>Maqola uchun DOI yoki PDF, konferensiya uchun sertifikat/to‘plam PDF, grant uchun shartnoma nusxasi talab etiladi.</w:t>
      </w:r>
    </w:p>
    <w:p>
      <w:pPr>
        <w:pStyle w:val="ListBullet"/>
      </w:pPr>
      <w:r>
        <w:t>50 foizdan past KPI bo‘lgan o‘qituvchi bilan kafedra mudiri individual suhbat o‘tkazadi.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