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Kafedraning 2026–2027 o‘quv yili ilmiy ish rejasi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D05 — Kafedra hujjatlari (Excel)</w:t>
      </w:r>
    </w:p>
    <w:p>
      <w:pPr>
        <w:pStyle w:val="Heading2"/>
      </w:pPr>
      <w:r>
        <w:t>Ilmiy yo‘nalish</w:t>
      </w:r>
    </w:p>
    <w:p>
      <w:pPr>
        <w:pStyle w:val="ListBullet"/>
      </w:pPr>
      <w:r>
        <w:t>Ta’limda sun’iy intellekt va ma’lumotlar tahlili.</w:t>
      </w:r>
    </w:p>
    <w:p>
      <w:pPr>
        <w:pStyle w:val="Heading2"/>
      </w:pPr>
      <w:r>
        <w:t>O‘qituvchilar rejasi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O‘qituvchi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Reja bandi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Birinchi muddat</w:t>
            </w:r>
          </w:p>
        </w:tc>
      </w:tr>
      <w:tr>
        <w:tc>
          <w:tcPr>
            <w:tcW w:type="dxa" w:w="2880"/>
          </w:tcPr>
          <w:p>
            <w:r>
              <w:t>Aliyev B.</w:t>
            </w:r>
          </w:p>
        </w:tc>
        <w:tc>
          <w:tcPr>
            <w:tcW w:type="dxa" w:w="2880"/>
          </w:tcPr>
          <w:p>
            <w:r>
              <w:t>5 ta: 2 Scopus, 1 xalqaro konferensiya, 1 grant arizasi, 1 o‘quv qo‘llanma</w:t>
            </w:r>
          </w:p>
        </w:tc>
        <w:tc>
          <w:tcPr>
            <w:tcW w:type="dxa" w:w="2880"/>
          </w:tcPr>
          <w:p>
            <w:r>
              <w:t>20.10.2026</w:t>
            </w:r>
          </w:p>
        </w:tc>
      </w:tr>
      <w:tr>
        <w:tc>
          <w:tcPr>
            <w:tcW w:type="dxa" w:w="2880"/>
          </w:tcPr>
          <w:p>
            <w:r>
              <w:t>Karimova D.</w:t>
            </w:r>
          </w:p>
        </w:tc>
        <w:tc>
          <w:tcPr>
            <w:tcW w:type="dxa" w:w="2880"/>
          </w:tcPr>
          <w:p>
            <w:r>
              <w:t>4 ta: 2 OAK, 1 konferensiya, 1 metodik qo‘llanma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Rahimov S.</w:t>
            </w:r>
          </w:p>
        </w:tc>
        <w:tc>
          <w:tcPr>
            <w:tcW w:type="dxa" w:w="2880"/>
          </w:tcPr>
          <w:p>
            <w:r>
              <w:t>4 ta: 1 Scopus, 2 konferensiya, 1 grant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Toshmatova N.</w:t>
            </w:r>
          </w:p>
        </w:tc>
        <w:tc>
          <w:tcPr>
            <w:tcW w:type="dxa" w:w="2880"/>
          </w:tcPr>
          <w:p>
            <w:r>
              <w:t>3 ta: 1 OAK, 1 majmua, 1 konferensiya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Yusupov J.</w:t>
            </w:r>
          </w:p>
        </w:tc>
        <w:tc>
          <w:tcPr>
            <w:tcW w:type="dxa" w:w="2880"/>
          </w:tcPr>
          <w:p>
            <w:r>
              <w:t>5 ta: 2 maqola, 2 konferensiya, 1 patent</w:t>
            </w:r>
          </w:p>
        </w:tc>
        <w:tc>
          <w:tcPr>
            <w:tcW w:type="dxa" w:w="2880"/>
          </w:tcPr>
          <w:p>
            <w:r>
              <w:t>18.10.2026</w:t>
            </w:r>
          </w:p>
        </w:tc>
      </w:tr>
      <w:tr>
        <w:tc>
          <w:tcPr>
            <w:tcW w:type="dxa" w:w="2880"/>
          </w:tcPr>
          <w:p>
            <w:r>
              <w:t>Ergasheva M.</w:t>
            </w:r>
          </w:p>
        </w:tc>
        <w:tc>
          <w:tcPr>
            <w:tcW w:type="dxa" w:w="2880"/>
          </w:tcPr>
          <w:p>
            <w:r>
              <w:t>3 ta: 1 maqola, 1 konferensiya, 1 qo‘llanma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Qodirov A.</w:t>
            </w:r>
          </w:p>
        </w:tc>
        <w:tc>
          <w:tcPr>
            <w:tcW w:type="dxa" w:w="2880"/>
          </w:tcPr>
          <w:p>
            <w:r>
              <w:t>4 ta: 2 maqola, 1 grant, 1 konferensiya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Nazarova Sh.</w:t>
            </w:r>
          </w:p>
        </w:tc>
        <w:tc>
          <w:tcPr>
            <w:tcW w:type="dxa" w:w="2880"/>
          </w:tcPr>
          <w:p>
            <w:r>
              <w:t>3 ta: 1 maqola, 2 konferensiya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Monitoring</w:t>
      </w:r>
    </w:p>
    <w:p>
      <w:pPr>
        <w:pStyle w:val="ListBullet"/>
      </w:pPr>
      <w:r>
        <w:t>Ilmiy reja har oy monitoring qilinadi.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