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Akademik halollik va plagiatga qarshi tartib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D13 — Universitet me’yoriy hujjatlari (PDF)</w:t>
      </w:r>
    </w:p>
    <w:p>
      <w:pPr>
        <w:pStyle w:val="Heading2"/>
      </w:pPr>
      <w:r>
        <w:t>Talablar</w:t>
      </w:r>
    </w:p>
    <w:p>
      <w:pPr>
        <w:pStyle w:val="ListBullet"/>
      </w:pPr>
      <w:r>
        <w:t>Barcha ilmiy maqolalar jurnalga yuborishdan oldin antiplagiat tizimida tekshiriladi.</w:t>
      </w:r>
    </w:p>
    <w:p>
      <w:pPr>
        <w:pStyle w:val="ListBullet"/>
      </w:pPr>
      <w:r>
        <w:t>O‘ziga xoslik darajasi kamida 75% bo‘lishi kerak.</w:t>
      </w:r>
    </w:p>
    <w:p>
      <w:pPr>
        <w:pStyle w:val="ListBullet"/>
      </w:pPr>
      <w:r>
        <w:t>Plagiat aniqlansa maqola KPI hisobiga kiritilmaydi va masala kafedra yig‘ilishida ko‘rib chiqiladi.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