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Kafedra haftalik hisoboti — KafedraAgent</w:t>
      </w:r>
    </w:p>
    <w:p>
      <w:pPr>
        <w:jc w:val="center"/>
      </w:pPr>
      <w:r>
        <w:rPr>
          <w:b/>
          <w:sz w:val="20"/>
        </w:rPr>
        <w:t>KAFEDRAAGENT MVP — SAYTDAGI DEMO MA'LUMOTLARI ASOSIDA</w:t>
      </w:r>
    </w:p>
    <w:p>
      <w:r>
        <w:t>Manba: One-click Report + D01–D15 + KPI/Evidence ma’lumotlari</w:t>
      </w:r>
    </w:p>
    <w:p>
      <w:pPr>
        <w:pStyle w:val="Heading2"/>
      </w:pPr>
      <w:r>
        <w:t>Rahbar uchun qisqa holat</w:t>
      </w:r>
    </w:p>
    <w:p>
      <w:pPr>
        <w:pStyle w:val="ListBullet"/>
      </w:pPr>
      <w:r>
        <w:t>Ilmiy reja monitoringida Aliyev B. va Yusupov J. 50% dan past.</w:t>
      </w:r>
    </w:p>
    <w:p>
      <w:pPr>
        <w:pStyle w:val="ListBullet"/>
      </w:pPr>
      <w:r>
        <w:t>Hisobot va tasdiqlangan evidence o‘rtasida farqlar mavjud.</w:t>
      </w:r>
    </w:p>
    <w:p>
      <w:pPr>
        <w:pStyle w:val="ListBullet"/>
      </w:pPr>
      <w:r>
        <w:t>KPI dalillarini 20-oktabrgacha yuklash talabi mavjud.</w:t>
      </w:r>
    </w:p>
    <w:p>
      <w:pPr>
        <w:pStyle w:val="Heading2"/>
      </w:pPr>
      <w:r>
        <w:t>Asosiy vazifalar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Vazifa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Mas’ul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Muddat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Holat</w:t>
            </w:r>
          </w:p>
        </w:tc>
      </w:tr>
      <w:tr>
        <w:tc>
          <w:tcPr>
            <w:tcW w:type="dxa" w:w="2160"/>
          </w:tcPr>
          <w:p>
            <w:r>
              <w:t>O‘quv-metodik majmualarni yangilash</w:t>
            </w:r>
          </w:p>
        </w:tc>
        <w:tc>
          <w:tcPr>
            <w:tcW w:type="dxa" w:w="2160"/>
          </w:tcPr>
          <w:p>
            <w:r>
              <w:t>Toshmatova N.</w:t>
            </w:r>
          </w:p>
        </w:tc>
        <w:tc>
          <w:tcPr>
            <w:tcW w:type="dxa" w:w="2160"/>
          </w:tcPr>
          <w:p>
            <w:r>
              <w:t>30.09.2026</w:t>
            </w:r>
          </w:p>
        </w:tc>
        <w:tc>
          <w:tcPr>
            <w:tcW w:type="dxa" w:w="2160"/>
          </w:tcPr>
          <w:p>
            <w:r>
              <w:t>Jarayonda / kechikkan</w:t>
            </w:r>
          </w:p>
        </w:tc>
      </w:tr>
      <w:tr>
        <w:tc>
          <w:tcPr>
            <w:tcW w:type="dxa" w:w="2160"/>
          </w:tcPr>
          <w:p>
            <w:r>
              <w:t>Maqolani antiplagiatda qayta tekshirish</w:t>
            </w:r>
          </w:p>
        </w:tc>
        <w:tc>
          <w:tcPr>
            <w:tcW w:type="dxa" w:w="2160"/>
          </w:tcPr>
          <w:p>
            <w:r>
              <w:t>Yusupov J.</w:t>
            </w:r>
          </w:p>
        </w:tc>
        <w:tc>
          <w:tcPr>
            <w:tcW w:type="dxa" w:w="2160"/>
          </w:tcPr>
          <w:p>
            <w:r>
              <w:t>16.10.2026</w:t>
            </w:r>
          </w:p>
        </w:tc>
        <w:tc>
          <w:tcPr>
            <w:tcW w:type="dxa" w:w="2160"/>
          </w:tcPr>
          <w:p>
            <w:r>
              <w:t>Yangi</w:t>
            </w:r>
          </w:p>
        </w:tc>
      </w:tr>
      <w:tr>
        <w:tc>
          <w:tcPr>
            <w:tcW w:type="dxa" w:w="2160"/>
          </w:tcPr>
          <w:p>
            <w:r>
              <w:t>KPI dalillarini yuklash</w:t>
            </w:r>
          </w:p>
        </w:tc>
        <w:tc>
          <w:tcPr>
            <w:tcW w:type="dxa" w:w="2160"/>
          </w:tcPr>
          <w:p>
            <w:r>
              <w:t>Kafedra mudiri</w:t>
            </w:r>
          </w:p>
        </w:tc>
        <w:tc>
          <w:tcPr>
            <w:tcW w:type="dxa" w:w="2160"/>
          </w:tcPr>
          <w:p>
            <w:r>
              <w:t>20.10.2026</w:t>
            </w:r>
          </w:p>
        </w:tc>
        <w:tc>
          <w:tcPr>
            <w:tcW w:type="dxa" w:w="2160"/>
          </w:tcPr>
          <w:p>
            <w:r>
              <w:t>Jarayonda</w:t>
            </w:r>
          </w:p>
        </w:tc>
      </w:tr>
      <w:tr>
        <w:tc>
          <w:tcPr>
            <w:tcW w:type="dxa" w:w="2160"/>
          </w:tcPr>
          <w:p>
            <w:r>
              <w:t>Yillik hisobotdagi farqlarni aniqlashtirish</w:t>
            </w:r>
          </w:p>
        </w:tc>
        <w:tc>
          <w:tcPr>
            <w:tcW w:type="dxa" w:w="2160"/>
          </w:tcPr>
          <w:p>
            <w:r>
              <w:t>Kafedra mudiri</w:t>
            </w:r>
          </w:p>
        </w:tc>
        <w:tc>
          <w:tcPr>
            <w:tcW w:type="dxa" w:w="2160"/>
          </w:tcPr>
          <w:p>
            <w:r>
              <w:t>25.10.2026</w:t>
            </w:r>
          </w:p>
        </w:tc>
        <w:tc>
          <w:tcPr>
            <w:tcW w:type="dxa" w:w="2160"/>
          </w:tcPr>
          <w:p>
            <w:r>
              <w:t>Yangi</w:t>
            </w:r>
          </w:p>
        </w:tc>
      </w:tr>
    </w:tbl>
    <w:p>
      <w:pPr>
        <w:pStyle w:val="Heading2"/>
      </w:pPr>
      <w:r>
        <w:t>Tasdiqlash</w:t>
      </w:r>
    </w:p>
    <w:p>
      <w:pPr>
        <w:pStyle w:val="ListBullet"/>
      </w:pPr>
      <w:r>
        <w:t>Haftalik hisobot rahbariyatga yuborilishidan oldin inson tomonidan tasdiqlanishi kerak.</w:t>
      </w:r>
    </w:p>
    <w:p>
      <w:r>
        <w:t>Izoh: Ushbu hujjat KafedraAgent saytining mavjud DEMO ma'lumotlari asosida tayyorlandi; rasmiy universitet hujjati 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