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HAFTALIK KAFEDRA HISOBOTI</w:t>
      </w:r>
    </w:p>
    <w:p>
      <w:pPr>
        <w:jc w:val="center"/>
      </w:pPr>
      <w:r>
        <w:rPr>
          <w:b/>
          <w:sz w:val="24"/>
        </w:rPr>
        <w:t>06–10 OKTABR 2026</w:t>
      </w:r>
    </w:p>
    <w:p>
      <w:pPr>
        <w:jc w:val="center"/>
      </w:pPr>
      <w:r>
        <w:t>DEMO / NAMUNA — KafedraAgent MVP uchun tayyorlangan.</w:t>
      </w:r>
    </w:p>
    <w:p>
      <w:r>
        <w:t>Hafta davomida bajarilgan o‘quv, ilmiy va tashkiliy ishlar bo‘yicha qisqa boshqaruv hisoboti.</w:t>
      </w:r>
    </w:p>
    <w:p>
      <w:pPr>
        <w:pStyle w:val="Heading2"/>
      </w:pPr>
      <w:r>
        <w:t>1. Bajarilgan ishlar</w:t>
      </w:r>
    </w:p>
    <w:p>
      <w:pPr>
        <w:pStyle w:val="ListBullet"/>
      </w:pPr>
      <w:r>
        <w:t>Dars jarayonlari monitoring qilindi</w:t>
      </w:r>
    </w:p>
    <w:p>
      <w:pPr>
        <w:pStyle w:val="ListBullet"/>
      </w:pPr>
      <w:r>
        <w:t>O‘qituvchilar evidence holati ko‘rib chiqildi</w:t>
      </w:r>
    </w:p>
    <w:p>
      <w:pPr>
        <w:pStyle w:val="ListBullet"/>
      </w:pPr>
      <w:r>
        <w:t>KPI bo‘yicha kechikayotgan bandlar aniqlandi</w:t>
      </w:r>
    </w:p>
    <w:p>
      <w:pPr>
        <w:pStyle w:val="Heading2"/>
      </w:pPr>
      <w:r>
        <w:t>2. Hafta natijalari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Holat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Izoh</w:t>
            </w:r>
          </w:p>
        </w:tc>
      </w:tr>
      <w:tr>
        <w:tc>
          <w:tcPr>
            <w:tcW w:type="dxa" w:w="2880"/>
          </w:tcPr>
          <w:p>
            <w:r>
              <w:t>O‘quv jarayoni</w:t>
            </w:r>
          </w:p>
        </w:tc>
        <w:tc>
          <w:tcPr>
            <w:tcW w:type="dxa" w:w="2880"/>
          </w:tcPr>
          <w:p>
            <w:r>
              <w:t>Bajarildi</w:t>
            </w:r>
          </w:p>
        </w:tc>
        <w:tc>
          <w:tcPr>
            <w:tcW w:type="dxa" w:w="2880"/>
          </w:tcPr>
          <w:p>
            <w:r>
              <w:t>Reja asosida</w:t>
            </w:r>
          </w:p>
        </w:tc>
      </w:tr>
      <w:tr>
        <w:tc>
          <w:tcPr>
            <w:tcW w:type="dxa" w:w="2880"/>
          </w:tcPr>
          <w:p>
            <w:r>
              <w:t>Ilmiy faoliyat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  <w:tc>
          <w:tcPr>
            <w:tcW w:type="dxa" w:w="2880"/>
          </w:tcPr>
          <w:p>
            <w:r>
              <w:t>Dalillar yangilanmoqda</w:t>
            </w:r>
          </w:p>
        </w:tc>
      </w:tr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  <w:tc>
          <w:tcPr>
            <w:tcW w:type="dxa" w:w="2880"/>
          </w:tcPr>
          <w:p>
            <w:r>
              <w:t>Ayrim natijalar 50% chegaradan past</w:t>
            </w:r>
          </w:p>
        </w:tc>
      </w:tr>
    </w:tbl>
    <w:p>
      <w:pPr>
        <w:pStyle w:val="Heading2"/>
      </w:pPr>
      <w:r>
        <w:t>3. Muammolar</w:t>
      </w:r>
    </w:p>
    <w:p>
      <w:pPr>
        <w:pStyle w:val="ListBullet"/>
      </w:pPr>
      <w:r>
        <w:t>Yusupov J. bo‘yicha evidence talabga yetmagan</w:t>
      </w:r>
    </w:p>
    <w:p>
      <w:pPr>
        <w:pStyle w:val="ListBullet"/>
      </w:pPr>
      <w:r>
        <w:t>O‘quv-metodik majmuani yangilash muddati o‘tgan</w:t>
      </w:r>
    </w:p>
    <w:p>
      <w:pPr>
        <w:pStyle w:val="Heading2"/>
      </w:pPr>
      <w:r>
        <w:t>4. Keyingi hafta</w:t>
      </w:r>
    </w:p>
    <w:p>
      <w:pPr>
        <w:pStyle w:val="ListBullet"/>
      </w:pPr>
      <w:r>
        <w:t>Yetishmayotgan dalillarni yig‘ish</w:t>
      </w:r>
    </w:p>
    <w:p>
      <w:pPr>
        <w:pStyle w:val="ListBullet"/>
      </w:pPr>
      <w:r>
        <w:t>KPI risklarini kamaytirish</w:t>
      </w:r>
    </w:p>
    <w:p>
      <w:pPr>
        <w:pStyle w:val="ListBullet"/>
      </w:pPr>
      <w:r>
        <w:t>Ochiq darslar jadvalini yangilash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