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OYLIK KAFEDRA HISOBOTI</w:t>
      </w:r>
    </w:p>
    <w:p>
      <w:pPr>
        <w:jc w:val="center"/>
      </w:pPr>
      <w:r>
        <w:rPr>
          <w:b/>
          <w:sz w:val="24"/>
        </w:rPr>
        <w:t>SENTABR 2026</w:t>
      </w:r>
    </w:p>
    <w:p>
      <w:pPr>
        <w:jc w:val="center"/>
      </w:pPr>
      <w:r>
        <w:t>DEMO / NAMUNA — KafedraAgent MVP uchun tayyorlangan.</w:t>
      </w:r>
    </w:p>
    <w:p>
      <w:r>
        <w:t>Sentabr oyida kafedraning asosiy faoliyat yo‘nalishlari bo‘yicha umumlashtirilgan hisobot.</w:t>
      </w:r>
    </w:p>
    <w:p>
      <w:pPr>
        <w:pStyle w:val="Heading2"/>
      </w:pPr>
      <w:r>
        <w:t>1. Asosiy natijalar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Yo‘nalish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Natija</w:t>
            </w:r>
          </w:p>
        </w:tc>
      </w:tr>
      <w:tr>
        <w:tc>
          <w:tcPr>
            <w:tcW w:type="dxa" w:w="4320"/>
          </w:tcPr>
          <w:p>
            <w:r>
              <w:t>Ilmiy maqolalar</w:t>
            </w:r>
          </w:p>
        </w:tc>
        <w:tc>
          <w:tcPr>
            <w:tcW w:type="dxa" w:w="4320"/>
          </w:tcPr>
          <w:p>
            <w:r>
              <w:t>12 ta hisobotda qayd etilgan</w:t>
            </w:r>
          </w:p>
        </w:tc>
      </w:tr>
      <w:tr>
        <w:tc>
          <w:tcPr>
            <w:tcW w:type="dxa" w:w="4320"/>
          </w:tcPr>
          <w:p>
            <w:r>
              <w:t>Konferensiyalar</w:t>
            </w:r>
          </w:p>
        </w:tc>
        <w:tc>
          <w:tcPr>
            <w:tcW w:type="dxa" w:w="4320"/>
          </w:tcPr>
          <w:p>
            <w:r>
              <w:t>7 ta</w:t>
            </w:r>
          </w:p>
        </w:tc>
      </w:tr>
      <w:tr>
        <w:tc>
          <w:tcPr>
            <w:tcW w:type="dxa" w:w="4320"/>
          </w:tcPr>
          <w:p>
            <w:r>
              <w:t>Grantlar</w:t>
            </w:r>
          </w:p>
        </w:tc>
        <w:tc>
          <w:tcPr>
            <w:tcW w:type="dxa" w:w="4320"/>
          </w:tcPr>
          <w:p>
            <w:r>
              <w:t>3 ta</w:t>
            </w:r>
          </w:p>
        </w:tc>
      </w:tr>
      <w:tr>
        <w:tc>
          <w:tcPr>
            <w:tcW w:type="dxa" w:w="4320"/>
          </w:tcPr>
          <w:p>
            <w:r>
              <w:t>Patent/dasturiy mahsulot</w:t>
            </w:r>
          </w:p>
        </w:tc>
        <w:tc>
          <w:tcPr>
            <w:tcW w:type="dxa" w:w="4320"/>
          </w:tcPr>
          <w:p>
            <w:r>
              <w:t>1 ta</w:t>
            </w:r>
          </w:p>
        </w:tc>
      </w:tr>
    </w:tbl>
    <w:p>
      <w:pPr>
        <w:pStyle w:val="Heading2"/>
      </w:pPr>
      <w:r>
        <w:t>2. O‘quv faoliyati</w:t>
      </w:r>
    </w:p>
    <w:p>
      <w:pPr>
        <w:pStyle w:val="ListBullet"/>
      </w:pPr>
      <w:r>
        <w:t>Fan dasturlari va sillabuslar ko‘rib chiqildi</w:t>
      </w:r>
    </w:p>
    <w:p>
      <w:pPr>
        <w:pStyle w:val="ListBullet"/>
      </w:pPr>
      <w:r>
        <w:t>Ochiq darslar bo‘yicha reja shakllantirildi</w:t>
      </w:r>
    </w:p>
    <w:p>
      <w:pPr>
        <w:pStyle w:val="Heading2"/>
      </w:pPr>
      <w:r>
        <w:t>3. Ilmiy faoliyat</w:t>
      </w:r>
    </w:p>
    <w:p>
      <w:pPr>
        <w:pStyle w:val="ListBullet"/>
      </w:pPr>
      <w:r>
        <w:t>Maqolalar va konferensiya materiallari evidence bilan bog‘landi</w:t>
      </w:r>
    </w:p>
    <w:p>
      <w:pPr>
        <w:pStyle w:val="ListBullet"/>
      </w:pPr>
      <w:r>
        <w:t>Grant loyihalari holati yangilandi</w:t>
      </w:r>
    </w:p>
    <w:p>
      <w:pPr>
        <w:pStyle w:val="Heading2"/>
      </w:pPr>
      <w:r>
        <w:t>4. Xulosa</w:t>
      </w:r>
    </w:p>
    <w:p>
      <w:pPr>
        <w:pStyle w:val="ListBullet"/>
      </w:pPr>
      <w:r>
        <w:t>Keyingi oyda evidence coverage va freshness ko‘rsatkichlarini yaxshilash ustuvor vazifa etib belgilandi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