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O‘QUV-METODIK FAOLIYAT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Kafedraning fan dasturlari, sillabus, metodik majmua va ochiq darslar bo‘yicha faoliyati.</w:t>
      </w:r>
    </w:p>
    <w:p>
      <w:pPr>
        <w:pStyle w:val="Heading2"/>
      </w:pPr>
      <w:r>
        <w:t>1. Bajarilgan ishlar</w:t>
      </w:r>
    </w:p>
    <w:p>
      <w:pPr>
        <w:pStyle w:val="ListBullet"/>
      </w:pPr>
      <w:r>
        <w:t>Fan dasturlari ko‘rib chiqildi</w:t>
      </w:r>
    </w:p>
    <w:p>
      <w:pPr>
        <w:pStyle w:val="ListBullet"/>
      </w:pPr>
      <w:r>
        <w:t>Sillabuslar reyestri shakllantirildi</w:t>
      </w:r>
    </w:p>
    <w:p>
      <w:pPr>
        <w:pStyle w:val="ListBullet"/>
      </w:pPr>
      <w:r>
        <w:t>Ochiq darslar rejasi tuzildi</w:t>
      </w:r>
    </w:p>
    <w:p>
      <w:pPr>
        <w:pStyle w:val="Heading2"/>
      </w:pPr>
      <w:r>
        <w:t>2.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4320"/>
          </w:tcPr>
          <w:p>
            <w:r>
              <w:t>Sillabuslar</w:t>
            </w:r>
          </w:p>
        </w:tc>
        <w:tc>
          <w:tcPr>
            <w:tcW w:type="dxa" w:w="4320"/>
          </w:tcPr>
          <w:p>
            <w:r>
              <w:t>Nazoratda</w:t>
            </w:r>
          </w:p>
        </w:tc>
      </w:tr>
      <w:tr>
        <w:tc>
          <w:tcPr>
            <w:tcW w:type="dxa" w:w="4320"/>
          </w:tcPr>
          <w:p>
            <w:r>
              <w:t>Metodik majmualar</w:t>
            </w:r>
          </w:p>
        </w:tc>
        <w:tc>
          <w:tcPr>
            <w:tcW w:type="dxa" w:w="4320"/>
          </w:tcPr>
          <w:p>
            <w:r>
              <w:t>Diqqat</w:t>
            </w:r>
          </w:p>
        </w:tc>
      </w:tr>
      <w:tr>
        <w:tc>
          <w:tcPr>
            <w:tcW w:type="dxa" w:w="4320"/>
          </w:tcPr>
          <w:p>
            <w:r>
              <w:t>Ochiq darslar</w:t>
            </w:r>
          </w:p>
        </w:tc>
        <w:tc>
          <w:tcPr>
            <w:tcW w:type="dxa" w:w="4320"/>
          </w:tcPr>
          <w:p>
            <w:r>
              <w:t>Reja asosida</w:t>
            </w:r>
          </w:p>
        </w:tc>
      </w:tr>
    </w:tbl>
    <w:p>
      <w:pPr>
        <w:pStyle w:val="Heading2"/>
      </w:pPr>
      <w:r>
        <w:t>3. Muammo</w:t>
      </w:r>
    </w:p>
    <w:p>
      <w:pPr>
        <w:pStyle w:val="ListBullet"/>
      </w:pPr>
      <w:r>
        <w:t>O‘quv-metodik majmualarni yangilash bo‘yicha bitta vazifa muddati 30.09.2026 bo‘lgan</w:t>
      </w:r>
    </w:p>
    <w:p>
      <w:pPr>
        <w:pStyle w:val="Heading2"/>
      </w:pPr>
      <w:r>
        <w:t>4. Tavsiya</w:t>
      </w:r>
    </w:p>
    <w:p>
      <w:pPr>
        <w:pStyle w:val="ListBullet"/>
      </w:pPr>
      <w:r>
        <w:t>Yangilash uchun mas’ul va yangi muddatni belgilash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