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O‘QITUVCHILAR FAOLIYATI HISOBOTI</w:t>
      </w:r>
    </w:p>
    <w:p>
      <w:pPr>
        <w:jc w:val="center"/>
      </w:pPr>
      <w:r>
        <w:rPr>
          <w:b/>
          <w:sz w:val="24"/>
        </w:rPr>
        <w:t>OKTABR 2026</w:t>
      </w:r>
    </w:p>
    <w:p>
      <w:pPr>
        <w:jc w:val="center"/>
      </w:pPr>
      <w:r>
        <w:t>DEMO / NAMUNA — KafedraAgent MVP uchun tayyorlangan.</w:t>
      </w:r>
    </w:p>
    <w:p>
      <w:r>
        <w:t>O‘qituvchilarning ilmiy, metodik va KPI faoliyatini qisqa kesimda ko‘rsatadi.</w:t>
      </w:r>
    </w:p>
    <w:p>
      <w:pPr>
        <w:pStyle w:val="Heading2"/>
      </w:pPr>
      <w:r>
        <w:t>1. O‘qituvchilar kesimi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880"/>
          </w:tcPr>
          <w:p>
            <w:r>
              <w:t>Aliyev B.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</w:tr>
      <w:tr>
        <w:tc>
          <w:tcPr>
            <w:tcW w:type="dxa" w:w="2880"/>
          </w:tcPr>
          <w:p>
            <w:r>
              <w:t>Karimova D.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Rahimov S.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</w:tr>
      <w:tr>
        <w:tc>
          <w:tcPr>
            <w:tcW w:type="dxa" w:w="2880"/>
          </w:tcPr>
          <w:p>
            <w:r>
              <w:t>Toshmatova N.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Yusupov J.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</w:tr>
      <w:tr>
        <w:tc>
          <w:tcPr>
            <w:tcW w:type="dxa" w:w="2880"/>
          </w:tcPr>
          <w:p>
            <w:r>
              <w:t>Ergasheva M.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Qodirov A.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Nazarova Sh.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</w:tbl>
    <w:p>
      <w:pPr>
        <w:pStyle w:val="Heading2"/>
      </w:pPr>
      <w:r>
        <w:t>2. Diqqat talab qiluvchi holatlar</w:t>
      </w:r>
    </w:p>
    <w:p>
      <w:pPr>
        <w:pStyle w:val="ListBullet"/>
      </w:pPr>
      <w:r>
        <w:t>Aliyev B.: KPI bo‘yicha 20% natija, 50% chegaradan past</w:t>
      </w:r>
    </w:p>
    <w:p>
      <w:pPr>
        <w:pStyle w:val="ListBullet"/>
      </w:pPr>
      <w:r>
        <w:t>Yusupov J.: KPI bo‘yicha 20%, evidence talabga javob bermagan</w:t>
      </w:r>
    </w:p>
    <w:p>
      <w:pPr>
        <w:pStyle w:val="Heading2"/>
      </w:pPr>
      <w:r>
        <w:t>3. Boshqaruv qarori</w:t>
      </w:r>
    </w:p>
    <w:p>
      <w:pPr>
        <w:pStyle w:val="ListBullet"/>
      </w:pPr>
      <w:r>
        <w:t>Har bir risk uchun mas’ul va deadline belgilanadi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