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PATENT VA DASTURIY MAHSULOTLAR HISOBOTI</w:t>
      </w:r>
    </w:p>
    <w:p>
      <w:pPr>
        <w:jc w:val="center"/>
      </w:pPr>
      <w:r>
        <w:rPr>
          <w:b/>
          <w:sz w:val="24"/>
        </w:rPr>
        <w:t>2026-YIL</w:t>
      </w:r>
    </w:p>
    <w:p>
      <w:pPr>
        <w:jc w:val="center"/>
      </w:pPr>
      <w:r>
        <w:t>DEMO / NAMUNA — KafedraAgent MVP uchun tayyorlangan.</w:t>
      </w:r>
    </w:p>
    <w:p>
      <w:r>
        <w:t>Intellektual faoliyat natijalarini qayd etish va dalillar bilan tekshirish.</w:t>
      </w:r>
    </w:p>
    <w:p>
      <w:pPr>
        <w:pStyle w:val="Heading2"/>
      </w:pPr>
      <w:r>
        <w:t>1. Reyestr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Hisobot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Patent/dasturiy mahsulot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2. Tekshiruv</w:t>
      </w:r>
    </w:p>
    <w:p>
      <w:pPr>
        <w:pStyle w:val="ListBullet"/>
      </w:pPr>
      <w:r>
        <w:t>Hisobotdagi bitta natija evidence bilan mos keladi</w:t>
      </w:r>
    </w:p>
    <w:p>
      <w:pPr>
        <w:pStyle w:val="ListBullet"/>
      </w:pPr>
      <w:r>
        <w:t>Tasdiqlovchi hujjat va ro‘yxat ma’lumotlari bog‘lanadi</w:t>
      </w:r>
    </w:p>
    <w:p>
      <w:pPr>
        <w:pStyle w:val="Heading2"/>
      </w:pPr>
      <w:r>
        <w:t>3. Tavsiya</w:t>
      </w:r>
    </w:p>
    <w:p>
      <w:pPr>
        <w:pStyle w:val="ListBullet"/>
      </w:pPr>
      <w:r>
        <w:t>Har bir yangi natija uchun fayl yoki rasmiy ro‘yxat raqamini saqlash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