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 FAOLIYATI MONITORING HISOBOTI</w:t>
      </w:r>
    </w:p>
    <w:p>
      <w:pPr>
        <w:jc w:val="center"/>
      </w:pPr>
      <w:r>
        <w:rPr>
          <w:b/>
          <w:sz w:val="24"/>
        </w:rPr>
        <w:t>07.10.2026</w:t>
      </w:r>
    </w:p>
    <w:p>
      <w:pPr>
        <w:jc w:val="center"/>
      </w:pPr>
      <w:r>
        <w:t>DEMO / NAMUNA — KafedraAgent MVP uchun tayyorlangan.</w:t>
      </w:r>
    </w:p>
    <w:p>
      <w:r>
        <w:t>Kafedraning umumiy holatini KPI, evidence va ma’lumotlar sifati orqali baholash.</w:t>
      </w:r>
    </w:p>
    <w:p>
      <w:pPr>
        <w:pStyle w:val="Heading2"/>
      </w:pPr>
      <w:r>
        <w:t>1. Monitoring paneli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4320"/>
          </w:tcPr>
          <w:p>
            <w:r>
              <w:t>Data Health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Completeness</w:t>
            </w:r>
          </w:p>
        </w:tc>
        <w:tc>
          <w:tcPr>
            <w:tcW w:type="dxa" w:w="4320"/>
          </w:tcPr>
          <w:p>
            <w:r>
              <w:t>93%</w:t>
            </w:r>
          </w:p>
        </w:tc>
      </w:tr>
      <w:tr>
        <w:tc>
          <w:tcPr>
            <w:tcW w:type="dxa" w:w="4320"/>
          </w:tcPr>
          <w:p>
            <w:r>
              <w:t>Evidence coverage</w:t>
            </w:r>
          </w:p>
        </w:tc>
        <w:tc>
          <w:tcPr>
            <w:tcW w:type="dxa" w:w="4320"/>
          </w:tcPr>
          <w:p>
            <w:r>
              <w:t>78%</w:t>
            </w:r>
          </w:p>
        </w:tc>
      </w:tr>
      <w:tr>
        <w:tc>
          <w:tcPr>
            <w:tcW w:type="dxa" w:w="4320"/>
          </w:tcPr>
          <w:p>
            <w:r>
              <w:t>Freshness</w:t>
            </w:r>
          </w:p>
        </w:tc>
        <w:tc>
          <w:tcPr>
            <w:tcW w:type="dxa" w:w="4320"/>
          </w:tcPr>
          <w:p>
            <w:r>
              <w:t>70%</w:t>
            </w:r>
          </w:p>
        </w:tc>
      </w:tr>
      <w:tr>
        <w:tc>
          <w:tcPr>
            <w:tcW w:type="dxa" w:w="4320"/>
          </w:tcPr>
          <w:p>
            <w:r>
              <w:t>Conflicts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Duplicates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 Tahlil</w:t>
      </w:r>
    </w:p>
    <w:p>
      <w:pPr>
        <w:pStyle w:val="ListBullet"/>
      </w:pPr>
      <w:r>
        <w:t>Ma’lumotlar to‘liqligi yaxshi, ammo freshness va evidence coverage yaxshilanishi kerak</w:t>
      </w:r>
    </w:p>
    <w:p>
      <w:pPr>
        <w:pStyle w:val="Heading2"/>
      </w:pPr>
      <w:r>
        <w:t>3. Ustuvor choralar</w:t>
      </w:r>
    </w:p>
    <w:p>
      <w:pPr>
        <w:pStyle w:val="ListBullet"/>
      </w:pPr>
      <w:r>
        <w:t>Eski ma’lumotlarni yangilash</w:t>
      </w:r>
    </w:p>
    <w:p>
      <w:pPr>
        <w:pStyle w:val="ListBullet"/>
      </w:pPr>
      <w:r>
        <w:t>Yetishmayotgan evidence'larni to‘ldirish</w:t>
      </w:r>
    </w:p>
    <w:p>
      <w:pPr>
        <w:pStyle w:val="ListBullet"/>
      </w:pPr>
      <w:r>
        <w:t>Konfliktlarni tekshirish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