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KPI RISK MONITORING HISOBOTI</w:t>
      </w:r>
    </w:p>
    <w:p>
      <w:pPr>
        <w:jc w:val="center"/>
      </w:pPr>
      <w:r>
        <w:rPr>
          <w:b/>
          <w:sz w:val="24"/>
        </w:rPr>
        <w:t>07.10.2026</w:t>
      </w:r>
    </w:p>
    <w:p>
      <w:pPr>
        <w:jc w:val="center"/>
      </w:pPr>
      <w:r>
        <w:t>DEMO / NAMUNA — KafedraAgent MVP uchun tayyorlangan.</w:t>
      </w:r>
    </w:p>
    <w:p>
      <w:r>
        <w:t>KPI bo‘yicha deadline, past progress va dalil yetishmasligi kabi xavflarni aniqlash.</w:t>
      </w:r>
    </w:p>
    <w:p>
      <w:pPr>
        <w:pStyle w:val="Heading2"/>
      </w:pPr>
      <w:r>
        <w:t>1. Risklar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Subyekt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Muddat</w:t>
            </w:r>
          </w:p>
        </w:tc>
      </w:tr>
      <w:tr>
        <w:tc>
          <w:tcPr>
            <w:tcW w:type="dxa" w:w="2880"/>
          </w:tcPr>
          <w:p>
            <w:r>
              <w:t>Aliyev B.</w:t>
            </w:r>
          </w:p>
        </w:tc>
        <w:tc>
          <w:tcPr>
            <w:tcW w:type="dxa" w:w="2880"/>
          </w:tcPr>
          <w:p>
            <w:r>
              <w:t>20% &lt; 50%</w:t>
            </w:r>
          </w:p>
        </w:tc>
        <w:tc>
          <w:tcPr>
            <w:tcW w:type="dxa" w:w="2880"/>
          </w:tcPr>
          <w:p>
            <w:r>
              <w:t>20.10.2026</w:t>
            </w:r>
          </w:p>
        </w:tc>
      </w:tr>
      <w:tr>
        <w:tc>
          <w:tcPr>
            <w:tcW w:type="dxa" w:w="2880"/>
          </w:tcPr>
          <w:p>
            <w:r>
              <w:t>Yusupov J.</w:t>
            </w:r>
          </w:p>
        </w:tc>
        <w:tc>
          <w:tcPr>
            <w:tcW w:type="dxa" w:w="2880"/>
          </w:tcPr>
          <w:p>
            <w:r>
              <w:t>20% &lt; 50%</w:t>
            </w:r>
          </w:p>
        </w:tc>
        <w:tc>
          <w:tcPr>
            <w:tcW w:type="dxa" w:w="2880"/>
          </w:tcPr>
          <w:p>
            <w:r>
              <w:t>18.10.2026</w:t>
            </w:r>
          </w:p>
        </w:tc>
      </w:tr>
      <w:tr>
        <w:tc>
          <w:tcPr>
            <w:tcW w:type="dxa" w:w="2880"/>
          </w:tcPr>
          <w:p>
            <w:r>
              <w:t>Nazarova Sh.</w:t>
            </w:r>
          </w:p>
        </w:tc>
        <w:tc>
          <w:tcPr>
            <w:tcW w:type="dxa" w:w="2880"/>
          </w:tcPr>
          <w:p>
            <w:r>
              <w:t>33% &lt; 50%</w:t>
            </w:r>
          </w:p>
        </w:tc>
        <w:tc>
          <w:tcPr>
            <w:tcW w:type="dxa" w:w="2880"/>
          </w:tcPr>
          <w:p>
            <w:r>
              <w:t>30.10.2026</w:t>
            </w:r>
          </w:p>
        </w:tc>
      </w:tr>
    </w:tbl>
    <w:p>
      <w:pPr>
        <w:pStyle w:val="Heading2"/>
      </w:pPr>
      <w:r>
        <w:t>2. Qo‘shimcha risk</w:t>
      </w:r>
    </w:p>
    <w:p>
      <w:pPr>
        <w:pStyle w:val="ListBullet"/>
      </w:pPr>
      <w:r>
        <w:t>O‘quv-metodik majmualarni yangilash vazifasi 6 kun kechikkan</w:t>
      </w:r>
    </w:p>
    <w:p>
      <w:pPr>
        <w:pStyle w:val="ListBullet"/>
      </w:pPr>
      <w:r>
        <w:t>Qodirov A. bo‘yicha 34 kun davomida progress kuzatilmagan</w:t>
      </w:r>
    </w:p>
    <w:p>
      <w:pPr>
        <w:pStyle w:val="Heading2"/>
      </w:pPr>
      <w:r>
        <w:t>3. Tavsiya</w:t>
      </w:r>
    </w:p>
    <w:p>
      <w:pPr>
        <w:pStyle w:val="ListBullet"/>
      </w:pPr>
      <w:r>
        <w:t>Deadline yaqin bo‘lgan vazifalarni Action Center orqali nazorat qilish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