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HEALTH HISOBOTI</w:t>
      </w:r>
    </w:p>
    <w:p>
      <w:pPr>
        <w:jc w:val="center"/>
      </w:pPr>
      <w:r>
        <w:rPr>
          <w:b/>
          <w:sz w:val="24"/>
        </w:rPr>
        <w:t>07.10.2026</w:t>
      </w:r>
    </w:p>
    <w:p>
      <w:pPr>
        <w:jc w:val="center"/>
      </w:pPr>
      <w:r>
        <w:t>DEMO / NAMUNA — KafedraAgent MVP uchun tayyorlangan.</w:t>
      </w:r>
    </w:p>
    <w:p>
      <w:r>
        <w:t>Kafedradagi ma’lumotlarning to‘liqligi, yangiligi va izchilligini baholash.</w:t>
      </w:r>
    </w:p>
    <w:p>
      <w:pPr>
        <w:pStyle w:val="Heading2"/>
      </w:pPr>
      <w:r>
        <w:t>1. Sifat ko‘rsatkichlari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Metrika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320"/>
          </w:tcPr>
          <w:p>
            <w:r>
              <w:t>Data Health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Completeness</w:t>
            </w:r>
          </w:p>
        </w:tc>
        <w:tc>
          <w:tcPr>
            <w:tcW w:type="dxa" w:w="4320"/>
          </w:tcPr>
          <w:p>
            <w:r>
              <w:t>93% (161/174)</w:t>
            </w:r>
          </w:p>
        </w:tc>
      </w:tr>
      <w:tr>
        <w:tc>
          <w:tcPr>
            <w:tcW w:type="dxa" w:w="4320"/>
          </w:tcPr>
          <w:p>
            <w:r>
              <w:t>Evidence coverage</w:t>
            </w:r>
          </w:p>
        </w:tc>
        <w:tc>
          <w:tcPr>
            <w:tcW w:type="dxa" w:w="4320"/>
          </w:tcPr>
          <w:p>
            <w:r>
              <w:t>78% (31/40)</w:t>
            </w:r>
          </w:p>
        </w:tc>
      </w:tr>
      <w:tr>
        <w:tc>
          <w:tcPr>
            <w:tcW w:type="dxa" w:w="4320"/>
          </w:tcPr>
          <w:p>
            <w:r>
              <w:t>Freshness</w:t>
            </w:r>
          </w:p>
        </w:tc>
        <w:tc>
          <w:tcPr>
            <w:tcW w:type="dxa" w:w="4320"/>
          </w:tcPr>
          <w:p>
            <w:r>
              <w:t>70% (7/10)</w:t>
            </w:r>
          </w:p>
        </w:tc>
      </w:tr>
      <w:tr>
        <w:tc>
          <w:tcPr>
            <w:tcW w:type="dxa" w:w="4320"/>
          </w:tcPr>
          <w:p>
            <w:r>
              <w:t>Conflicts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Duplicates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2. Manbalar</w:t>
      </w:r>
    </w:p>
    <w:p>
      <w:pPr>
        <w:pStyle w:val="ListBullet"/>
      </w:pPr>
      <w:r>
        <w:t>Evidence Vault</w:t>
      </w:r>
    </w:p>
    <w:p>
      <w:pPr>
        <w:pStyle w:val="ListBullet"/>
      </w:pPr>
      <w:r>
        <w:t>KPI jadvali (Excel)</w:t>
      </w:r>
    </w:p>
    <w:p>
      <w:pPr>
        <w:pStyle w:val="ListBullet"/>
      </w:pPr>
      <w:r>
        <w:t>Kafedra hujjatlari</w:t>
      </w:r>
    </w:p>
    <w:p>
      <w:pPr>
        <w:pStyle w:val="ListBullet"/>
      </w:pPr>
      <w:r>
        <w:t>HEMIS eksporti</w:t>
      </w:r>
    </w:p>
    <w:p>
      <w:pPr>
        <w:pStyle w:val="ListBullet"/>
      </w:pPr>
      <w:r>
        <w:t>Dekanat PDF</w:t>
      </w:r>
    </w:p>
    <w:p>
      <w:pPr>
        <w:pStyle w:val="ListBullet"/>
      </w:pPr>
      <w:r>
        <w:t>Ilmiy bo‘lim reyestri</w:t>
      </w:r>
    </w:p>
    <w:p>
      <w:pPr>
        <w:pStyle w:val="Heading2"/>
      </w:pPr>
      <w:r>
        <w:t>3. Xulosa</w:t>
      </w:r>
    </w:p>
    <w:p>
      <w:pPr>
        <w:pStyle w:val="ListBullet"/>
      </w:pPr>
      <w:r>
        <w:t>Ma’lumotlar bazasi ishlash uchun yetarli, lekin yangilanish va evidence qamrovini oshirish zarur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