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YILLIK YAKUNIY KAFEDRA HISOBOTI</w:t>
      </w:r>
    </w:p>
    <w:p>
      <w:pPr>
        <w:jc w:val="center"/>
      </w:pPr>
      <w:r>
        <w:rPr>
          <w:b/>
          <w:sz w:val="24"/>
        </w:rPr>
        <w:t>2025–2026</w:t>
      </w:r>
    </w:p>
    <w:p>
      <w:pPr>
        <w:jc w:val="center"/>
      </w:pPr>
      <w:r>
        <w:t>DEMO / NAMUNA — KafedraAgent MVP uchun tayyorlangan.</w:t>
      </w:r>
    </w:p>
    <w:p>
      <w:r>
        <w:t>Kafedraning o‘quv, ilmiy, metodik va boshqaruv faoliyatini yakuniy ko‘rinishda jamlash.</w:t>
      </w:r>
    </w:p>
    <w:p>
      <w:pPr>
        <w:pStyle w:val="Heading2"/>
      </w:pPr>
      <w:r>
        <w:t>1. Yakuniy natijalar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Yo‘nalish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Natija</w:t>
            </w:r>
          </w:p>
        </w:tc>
      </w:tr>
      <w:tr>
        <w:tc>
          <w:tcPr>
            <w:tcW w:type="dxa" w:w="4320"/>
          </w:tcPr>
          <w:p>
            <w:r>
              <w:t>Ilmiy maqolalar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Konferensiyalar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Grantlar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Patent/software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Health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</w:tbl>
    <w:p>
      <w:pPr>
        <w:pStyle w:val="Heading2"/>
      </w:pPr>
      <w:r>
        <w:t>2. Asosiy yutuqlar</w:t>
      </w:r>
    </w:p>
    <w:p>
      <w:pPr>
        <w:pStyle w:val="ListBullet"/>
      </w:pPr>
      <w:r>
        <w:t>Evidence Vault orqali dalillarni markazlashtirish</w:t>
      </w:r>
    </w:p>
    <w:p>
      <w:pPr>
        <w:pStyle w:val="ListBullet"/>
      </w:pPr>
      <w:r>
        <w:t>KPI monitoringini tizimlashtirish</w:t>
      </w:r>
    </w:p>
    <w:p>
      <w:pPr>
        <w:pStyle w:val="ListBullet"/>
      </w:pPr>
      <w:r>
        <w:t>AI Auditor orqali reconciliation</w:t>
      </w:r>
    </w:p>
    <w:p>
      <w:pPr>
        <w:pStyle w:val="Heading2"/>
      </w:pPr>
      <w:r>
        <w:t>3. Asosiy muammolar</w:t>
      </w:r>
    </w:p>
    <w:p>
      <w:pPr>
        <w:pStyle w:val="ListBullet"/>
      </w:pPr>
      <w:r>
        <w:t>Evidence coverage 78%</w:t>
      </w:r>
    </w:p>
    <w:p>
      <w:pPr>
        <w:pStyle w:val="ListBullet"/>
      </w:pPr>
      <w:r>
        <w:t>Freshness 70%</w:t>
      </w:r>
    </w:p>
    <w:p>
      <w:pPr>
        <w:pStyle w:val="ListBullet"/>
      </w:pPr>
      <w:r>
        <w:t>2 conflict va 1 duplicate</w:t>
      </w:r>
    </w:p>
    <w:p>
      <w:pPr>
        <w:pStyle w:val="Heading2"/>
      </w:pPr>
      <w:r>
        <w:t>4. Keyingi yil ustuvorliklari</w:t>
      </w:r>
    </w:p>
    <w:p>
      <w:pPr>
        <w:pStyle w:val="ListBullet"/>
      </w:pPr>
      <w:r>
        <w:t>Data sifatini oshirish</w:t>
      </w:r>
    </w:p>
    <w:p>
      <w:pPr>
        <w:pStyle w:val="ListBullet"/>
      </w:pPr>
      <w:r>
        <w:t>Evidence qamrovini 90%+ ga chiqarish</w:t>
      </w:r>
    </w:p>
    <w:p>
      <w:pPr>
        <w:pStyle w:val="ListBullet"/>
      </w:pPr>
      <w:r>
        <w:t>KPI risklarini oldindan aniqlash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