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048C5" w14:textId="53E1D074" w:rsidR="007E0304" w:rsidRPr="00592A33" w:rsidRDefault="007E0304" w:rsidP="007E0304">
      <w:pPr>
        <w:rPr>
          <w:sz w:val="36"/>
          <w:szCs w:val="36"/>
        </w:rPr>
      </w:pPr>
      <w:r>
        <w:rPr>
          <w:b/>
          <w:sz w:val="36"/>
          <w:szCs w:val="36"/>
        </w:rPr>
        <w:t xml:space="preserve">Lecture </w:t>
      </w:r>
      <w:r w:rsidR="0009545A">
        <w:rPr>
          <w:b/>
          <w:sz w:val="36"/>
          <w:szCs w:val="36"/>
        </w:rPr>
        <w:t>9</w:t>
      </w:r>
      <w:r w:rsidR="00CD7C45">
        <w:rPr>
          <w:b/>
          <w:sz w:val="36"/>
          <w:szCs w:val="36"/>
        </w:rPr>
        <w:t>:</w:t>
      </w:r>
      <w:r w:rsidR="00A00D09">
        <w:rPr>
          <w:b/>
          <w:sz w:val="36"/>
          <w:szCs w:val="36"/>
        </w:rPr>
        <w:t xml:space="preserve"> C</w:t>
      </w:r>
      <w:r w:rsidR="006E1482">
        <w:rPr>
          <w:b/>
          <w:sz w:val="36"/>
          <w:szCs w:val="36"/>
        </w:rPr>
        <w:t>itizens and C</w:t>
      </w:r>
      <w:r w:rsidR="00A00D09">
        <w:rPr>
          <w:b/>
          <w:sz w:val="36"/>
          <w:szCs w:val="36"/>
        </w:rPr>
        <w:t>riminal Justice</w:t>
      </w:r>
      <w:r w:rsidR="00CD7C45">
        <w:rPr>
          <w:b/>
          <w:sz w:val="36"/>
          <w:szCs w:val="36"/>
        </w:rPr>
        <w:t xml:space="preserve"> – </w:t>
      </w:r>
      <w:r>
        <w:rPr>
          <w:b/>
          <w:sz w:val="36"/>
          <w:szCs w:val="36"/>
        </w:rPr>
        <w:t>Sentencing</w:t>
      </w:r>
      <w:r w:rsidR="00D47F73" w:rsidRPr="00CD360F">
        <w:rPr>
          <w:rStyle w:val="FootnoteReference"/>
          <w:sz w:val="28"/>
          <w:szCs w:val="28"/>
        </w:rPr>
        <w:footnoteReference w:id="1"/>
      </w:r>
    </w:p>
    <w:p w14:paraId="56645474" w14:textId="77777777" w:rsidR="00A00D09" w:rsidRDefault="00A00D09" w:rsidP="007E0304">
      <w:pPr>
        <w:rPr>
          <w:b/>
          <w:sz w:val="32"/>
          <w:szCs w:val="32"/>
        </w:rPr>
      </w:pPr>
    </w:p>
    <w:p w14:paraId="06495FE2" w14:textId="77777777" w:rsidR="00A00D09" w:rsidRDefault="00A00D09" w:rsidP="007E0304">
      <w:pPr>
        <w:rPr>
          <w:b/>
          <w:sz w:val="28"/>
          <w:szCs w:val="28"/>
        </w:rPr>
      </w:pPr>
    </w:p>
    <w:p w14:paraId="47F016C0" w14:textId="63129B1D" w:rsidR="007E0304" w:rsidRDefault="00C73002" w:rsidP="007E0304">
      <w:pPr>
        <w:rPr>
          <w:b/>
          <w:sz w:val="28"/>
          <w:szCs w:val="28"/>
        </w:rPr>
      </w:pPr>
      <w:r>
        <w:rPr>
          <w:b/>
          <w:sz w:val="28"/>
          <w:szCs w:val="28"/>
        </w:rPr>
        <w:t>9</w:t>
      </w:r>
      <w:r w:rsidR="007E0304">
        <w:rPr>
          <w:b/>
          <w:sz w:val="28"/>
          <w:szCs w:val="28"/>
        </w:rPr>
        <w:t>.1 Introduction</w:t>
      </w:r>
      <w:r w:rsidR="000514A4" w:rsidRPr="00CD360F">
        <w:rPr>
          <w:rStyle w:val="FootnoteReference"/>
          <w:sz w:val="28"/>
          <w:szCs w:val="28"/>
        </w:rPr>
        <w:footnoteReference w:id="2"/>
      </w:r>
    </w:p>
    <w:p w14:paraId="60A59FAF" w14:textId="77777777" w:rsidR="00A00D09" w:rsidRDefault="00A00D09" w:rsidP="007E0304">
      <w:pPr>
        <w:rPr>
          <w:sz w:val="28"/>
          <w:szCs w:val="28"/>
        </w:rPr>
      </w:pPr>
    </w:p>
    <w:p w14:paraId="4CEBF7E8" w14:textId="706CA000" w:rsidR="007E0304" w:rsidRDefault="007E0304" w:rsidP="007E0304">
      <w:pPr>
        <w:rPr>
          <w:sz w:val="28"/>
          <w:szCs w:val="28"/>
        </w:rPr>
      </w:pPr>
      <w:r>
        <w:rPr>
          <w:sz w:val="28"/>
          <w:szCs w:val="28"/>
        </w:rPr>
        <w:t>Sentencing is to a degree, ‘more an art than</w:t>
      </w:r>
      <w:r w:rsidR="00E33EED">
        <w:rPr>
          <w:sz w:val="28"/>
          <w:szCs w:val="28"/>
        </w:rPr>
        <w:t xml:space="preserve"> a</w:t>
      </w:r>
      <w:r>
        <w:rPr>
          <w:sz w:val="28"/>
          <w:szCs w:val="28"/>
        </w:rPr>
        <w:t xml:space="preserve"> science’ if one is to achieve ‘justice’. Traditionally, the populace at large tends to </w:t>
      </w:r>
      <w:proofErr w:type="spellStart"/>
      <w:r>
        <w:rPr>
          <w:sz w:val="28"/>
          <w:szCs w:val="28"/>
        </w:rPr>
        <w:t>favour</w:t>
      </w:r>
      <w:proofErr w:type="spellEnd"/>
      <w:r>
        <w:rPr>
          <w:sz w:val="28"/>
          <w:szCs w:val="28"/>
        </w:rPr>
        <w:t xml:space="preserve"> harsher sentences than well-educated elites, often simply for the reason that the former are more in danger from acts of criminals. Over the centuries, not only in common law jurisdictions</w:t>
      </w:r>
      <w:r w:rsidR="00D119A6">
        <w:rPr>
          <w:sz w:val="28"/>
          <w:szCs w:val="28"/>
        </w:rPr>
        <w:t>,</w:t>
      </w:r>
      <w:r>
        <w:rPr>
          <w:sz w:val="28"/>
          <w:szCs w:val="28"/>
        </w:rPr>
        <w:t xml:space="preserve"> but </w:t>
      </w:r>
      <w:r w:rsidR="00F00F64">
        <w:rPr>
          <w:sz w:val="28"/>
          <w:szCs w:val="28"/>
        </w:rPr>
        <w:t xml:space="preserve">also </w:t>
      </w:r>
      <w:r>
        <w:rPr>
          <w:sz w:val="28"/>
          <w:szCs w:val="28"/>
        </w:rPr>
        <w:t xml:space="preserve">in the world generally, we have seen more humanitarian punishments employed to deal with crime. </w:t>
      </w:r>
    </w:p>
    <w:p w14:paraId="13925860" w14:textId="77777777" w:rsidR="00CA29BA" w:rsidRDefault="00CA29BA" w:rsidP="007E0304">
      <w:pPr>
        <w:rPr>
          <w:sz w:val="28"/>
          <w:szCs w:val="28"/>
        </w:rPr>
      </w:pPr>
    </w:p>
    <w:p w14:paraId="70550D39" w14:textId="4057D29B" w:rsidR="007E0304" w:rsidRDefault="007E0304" w:rsidP="007E0304">
      <w:pPr>
        <w:rPr>
          <w:sz w:val="28"/>
          <w:szCs w:val="28"/>
        </w:rPr>
      </w:pPr>
      <w:r>
        <w:rPr>
          <w:sz w:val="28"/>
          <w:szCs w:val="28"/>
        </w:rPr>
        <w:t>For over two thousand years in Great Britain</w:t>
      </w:r>
      <w:r w:rsidR="00F00F64">
        <w:rPr>
          <w:sz w:val="28"/>
          <w:szCs w:val="28"/>
        </w:rPr>
        <w:t>,</w:t>
      </w:r>
      <w:r>
        <w:rPr>
          <w:sz w:val="28"/>
          <w:szCs w:val="28"/>
        </w:rPr>
        <w:t xml:space="preserve"> the </w:t>
      </w:r>
      <w:r w:rsidR="0004522D">
        <w:rPr>
          <w:sz w:val="28"/>
          <w:szCs w:val="28"/>
        </w:rPr>
        <w:t>ghastliest</w:t>
      </w:r>
      <w:r>
        <w:rPr>
          <w:sz w:val="28"/>
          <w:szCs w:val="28"/>
        </w:rPr>
        <w:t xml:space="preserve"> punishments were routinely, systematically and publicly administered for what we would regard today as fairly minor offences, some of which might not automatically result in a prison sentence. It was only in the nineteenth century that more ‘humane’ deterrents began to be employed.</w:t>
      </w:r>
    </w:p>
    <w:p w14:paraId="09E94650" w14:textId="77777777" w:rsidR="00CA29BA" w:rsidRDefault="00CA29BA" w:rsidP="007E0304">
      <w:pPr>
        <w:rPr>
          <w:sz w:val="28"/>
          <w:szCs w:val="28"/>
        </w:rPr>
      </w:pPr>
    </w:p>
    <w:p w14:paraId="553B0F40" w14:textId="77777777" w:rsidR="007E0304" w:rsidRDefault="007E0304" w:rsidP="007E0304">
      <w:pPr>
        <w:rPr>
          <w:sz w:val="28"/>
          <w:szCs w:val="28"/>
        </w:rPr>
      </w:pPr>
      <w:r>
        <w:rPr>
          <w:sz w:val="28"/>
          <w:szCs w:val="28"/>
        </w:rPr>
        <w:t>A very rough vertical timeline of pun</w:t>
      </w:r>
      <w:r w:rsidR="008B16EE">
        <w:rPr>
          <w:sz w:val="28"/>
          <w:szCs w:val="28"/>
        </w:rPr>
        <w:t>ishment on page 2 (applying</w:t>
      </w:r>
      <w:r>
        <w:rPr>
          <w:sz w:val="28"/>
          <w:szCs w:val="28"/>
        </w:rPr>
        <w:t xml:space="preserve"> to Great Britain) gives some indication of the degree to which human nature is susceptible to ‘barbaric’ punishment.</w:t>
      </w:r>
      <w:r>
        <w:rPr>
          <w:rStyle w:val="FootnoteReference"/>
          <w:sz w:val="28"/>
          <w:szCs w:val="28"/>
        </w:rPr>
        <w:footnoteReference w:id="3"/>
      </w:r>
    </w:p>
    <w:p w14:paraId="55C50030" w14:textId="77777777" w:rsidR="007E0304" w:rsidRDefault="007E0304" w:rsidP="007E0304">
      <w:pPr>
        <w:rPr>
          <w:sz w:val="28"/>
          <w:szCs w:val="28"/>
        </w:rPr>
      </w:pPr>
    </w:p>
    <w:p w14:paraId="01A50789" w14:textId="77777777" w:rsidR="007E0304" w:rsidRDefault="007E0304" w:rsidP="007E0304">
      <w:pPr>
        <w:rPr>
          <w:sz w:val="28"/>
          <w:szCs w:val="28"/>
        </w:rPr>
      </w:pPr>
    </w:p>
    <w:p w14:paraId="331EBAEF" w14:textId="77777777" w:rsidR="007E0304" w:rsidRDefault="007E0304" w:rsidP="007E0304">
      <w:pPr>
        <w:rPr>
          <w:sz w:val="28"/>
          <w:szCs w:val="28"/>
        </w:rPr>
      </w:pPr>
    </w:p>
    <w:p w14:paraId="3CF62417" w14:textId="77777777" w:rsidR="007E0304" w:rsidRDefault="007E0304" w:rsidP="007E0304">
      <w:pPr>
        <w:rPr>
          <w:sz w:val="28"/>
          <w:szCs w:val="28"/>
        </w:rPr>
      </w:pPr>
    </w:p>
    <w:p w14:paraId="49D34D5A" w14:textId="77777777" w:rsidR="007E0304" w:rsidRDefault="007E0304" w:rsidP="007E0304">
      <w:pPr>
        <w:rPr>
          <w:sz w:val="28"/>
          <w:szCs w:val="28"/>
        </w:rPr>
      </w:pPr>
    </w:p>
    <w:p w14:paraId="4A4B4053" w14:textId="77777777" w:rsidR="007E0304" w:rsidRDefault="007E0304" w:rsidP="007E0304">
      <w:pPr>
        <w:rPr>
          <w:sz w:val="28"/>
          <w:szCs w:val="28"/>
        </w:rPr>
      </w:pPr>
    </w:p>
    <w:p w14:paraId="43EF86B2" w14:textId="77777777" w:rsidR="007E0304" w:rsidRDefault="007E0304" w:rsidP="007E0304">
      <w:pPr>
        <w:rPr>
          <w:sz w:val="28"/>
          <w:szCs w:val="28"/>
        </w:rPr>
      </w:pPr>
    </w:p>
    <w:p w14:paraId="570F2CA2" w14:textId="38DDE33F" w:rsidR="007E0304" w:rsidRDefault="007E0304" w:rsidP="007E0304">
      <w:pPr>
        <w:rPr>
          <w:sz w:val="28"/>
          <w:szCs w:val="28"/>
        </w:rPr>
      </w:pPr>
    </w:p>
    <w:p w14:paraId="3363A9F9" w14:textId="77777777" w:rsidR="002E3E4D" w:rsidRDefault="002E3E4D" w:rsidP="007E0304">
      <w:pPr>
        <w:rPr>
          <w:sz w:val="28"/>
          <w:szCs w:val="28"/>
        </w:rPr>
      </w:pPr>
    </w:p>
    <w:p w14:paraId="44C2F35A" w14:textId="77777777" w:rsidR="007E0304" w:rsidRDefault="007E0304" w:rsidP="007E0304">
      <w:pPr>
        <w:rPr>
          <w:sz w:val="28"/>
          <w:szCs w:val="28"/>
        </w:rPr>
      </w:pPr>
    </w:p>
    <w:p w14:paraId="05FE98F8" w14:textId="77777777" w:rsidR="007E0304" w:rsidRDefault="007E0304" w:rsidP="007E0304">
      <w:pPr>
        <w:rPr>
          <w:b/>
          <w:sz w:val="28"/>
          <w:szCs w:val="28"/>
        </w:rPr>
      </w:pPr>
      <w:r>
        <w:rPr>
          <w:b/>
          <w:sz w:val="28"/>
          <w:szCs w:val="28"/>
        </w:rPr>
        <w:lastRenderedPageBreak/>
        <w:t>TIMELINE IN RELATION TO SENTENCING IN GREAT BRITAIN</w:t>
      </w:r>
    </w:p>
    <w:p w14:paraId="133F0A55" w14:textId="77777777" w:rsidR="007E0304" w:rsidRDefault="007E0304" w:rsidP="007E0304">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15"/>
        <w:gridCol w:w="2339"/>
        <w:gridCol w:w="2355"/>
        <w:gridCol w:w="2341"/>
      </w:tblGrid>
      <w:tr w:rsidR="007E0304" w14:paraId="40315B18" w14:textId="77777777" w:rsidTr="007E0304">
        <w:tc>
          <w:tcPr>
            <w:tcW w:w="2394" w:type="dxa"/>
            <w:tcBorders>
              <w:top w:val="single" w:sz="4" w:space="0" w:color="000000"/>
              <w:left w:val="single" w:sz="4" w:space="0" w:color="000000"/>
              <w:bottom w:val="single" w:sz="4" w:space="0" w:color="000000"/>
              <w:right w:val="single" w:sz="4" w:space="0" w:color="000000"/>
            </w:tcBorders>
            <w:hideMark/>
          </w:tcPr>
          <w:p w14:paraId="747C271B" w14:textId="77777777" w:rsidR="007E0304" w:rsidRDefault="007E0304">
            <w:pPr>
              <w:rPr>
                <w:sz w:val="28"/>
                <w:szCs w:val="28"/>
              </w:rPr>
            </w:pPr>
            <w:r>
              <w:rPr>
                <w:sz w:val="28"/>
                <w:szCs w:val="28"/>
              </w:rPr>
              <w:t>Roman Times</w:t>
            </w:r>
          </w:p>
        </w:tc>
        <w:tc>
          <w:tcPr>
            <w:tcW w:w="2394" w:type="dxa"/>
            <w:tcBorders>
              <w:top w:val="single" w:sz="4" w:space="0" w:color="000000"/>
              <w:left w:val="single" w:sz="4" w:space="0" w:color="000000"/>
              <w:bottom w:val="single" w:sz="4" w:space="0" w:color="000000"/>
              <w:right w:val="single" w:sz="4" w:space="0" w:color="000000"/>
            </w:tcBorders>
            <w:hideMark/>
          </w:tcPr>
          <w:p w14:paraId="59F53AE8" w14:textId="4130918B" w:rsidR="007E0304" w:rsidRDefault="002903B1">
            <w:pPr>
              <w:rPr>
                <w:sz w:val="28"/>
                <w:szCs w:val="28"/>
              </w:rPr>
            </w:pPr>
            <w:r>
              <w:rPr>
                <w:sz w:val="28"/>
                <w:szCs w:val="28"/>
              </w:rPr>
              <w:t>Crucifixion</w:t>
            </w:r>
          </w:p>
        </w:tc>
        <w:tc>
          <w:tcPr>
            <w:tcW w:w="2394" w:type="dxa"/>
            <w:tcBorders>
              <w:top w:val="single" w:sz="4" w:space="0" w:color="000000"/>
              <w:left w:val="single" w:sz="4" w:space="0" w:color="000000"/>
              <w:bottom w:val="single" w:sz="4" w:space="0" w:color="000000"/>
              <w:right w:val="single" w:sz="4" w:space="0" w:color="000000"/>
            </w:tcBorders>
            <w:hideMark/>
          </w:tcPr>
          <w:p w14:paraId="2FE1B91D" w14:textId="77777777" w:rsidR="007E0304" w:rsidRDefault="007E0304">
            <w:pPr>
              <w:rPr>
                <w:sz w:val="28"/>
                <w:szCs w:val="28"/>
              </w:rPr>
            </w:pPr>
            <w:r>
              <w:rPr>
                <w:sz w:val="28"/>
                <w:szCs w:val="28"/>
              </w:rPr>
              <w:t>Torture</w:t>
            </w:r>
          </w:p>
        </w:tc>
        <w:tc>
          <w:tcPr>
            <w:tcW w:w="2394" w:type="dxa"/>
            <w:tcBorders>
              <w:top w:val="single" w:sz="4" w:space="0" w:color="000000"/>
              <w:left w:val="single" w:sz="4" w:space="0" w:color="000000"/>
              <w:bottom w:val="single" w:sz="4" w:space="0" w:color="000000"/>
              <w:right w:val="single" w:sz="4" w:space="0" w:color="000000"/>
            </w:tcBorders>
            <w:hideMark/>
          </w:tcPr>
          <w:p w14:paraId="0187576B" w14:textId="77777777" w:rsidR="007E0304" w:rsidRDefault="007E0304">
            <w:pPr>
              <w:rPr>
                <w:sz w:val="28"/>
                <w:szCs w:val="28"/>
              </w:rPr>
            </w:pPr>
            <w:r>
              <w:rPr>
                <w:sz w:val="28"/>
                <w:szCs w:val="28"/>
              </w:rPr>
              <w:t>Gladiatorial combat</w:t>
            </w:r>
          </w:p>
        </w:tc>
      </w:tr>
      <w:tr w:rsidR="007E0304" w14:paraId="550DDEDB" w14:textId="77777777" w:rsidTr="007E0304">
        <w:tc>
          <w:tcPr>
            <w:tcW w:w="2394" w:type="dxa"/>
            <w:tcBorders>
              <w:top w:val="single" w:sz="4" w:space="0" w:color="000000"/>
              <w:left w:val="single" w:sz="4" w:space="0" w:color="000000"/>
              <w:bottom w:val="single" w:sz="4" w:space="0" w:color="000000"/>
              <w:right w:val="single" w:sz="4" w:space="0" w:color="000000"/>
            </w:tcBorders>
          </w:tcPr>
          <w:p w14:paraId="40807C8A" w14:textId="77777777" w:rsidR="007E0304" w:rsidRDefault="007E0304">
            <w:pPr>
              <w:rPr>
                <w:sz w:val="28"/>
                <w:szCs w:val="28"/>
              </w:rPr>
            </w:pPr>
          </w:p>
          <w:p w14:paraId="1C3690C1" w14:textId="77777777" w:rsidR="007E0304" w:rsidRDefault="007E0304">
            <w:pPr>
              <w:rPr>
                <w:sz w:val="28"/>
                <w:szCs w:val="28"/>
              </w:rPr>
            </w:pPr>
            <w:r>
              <w:rPr>
                <w:sz w:val="28"/>
                <w:szCs w:val="28"/>
              </w:rPr>
              <w:t>Anglo Saxon</w:t>
            </w:r>
          </w:p>
        </w:tc>
        <w:tc>
          <w:tcPr>
            <w:tcW w:w="2394" w:type="dxa"/>
            <w:tcBorders>
              <w:top w:val="single" w:sz="4" w:space="0" w:color="000000"/>
              <w:left w:val="single" w:sz="4" w:space="0" w:color="000000"/>
              <w:bottom w:val="single" w:sz="4" w:space="0" w:color="000000"/>
              <w:right w:val="single" w:sz="4" w:space="0" w:color="000000"/>
            </w:tcBorders>
            <w:hideMark/>
          </w:tcPr>
          <w:p w14:paraId="745BEEB0" w14:textId="77777777" w:rsidR="007E0304" w:rsidRDefault="007E0304">
            <w:pPr>
              <w:rPr>
                <w:sz w:val="28"/>
                <w:szCs w:val="28"/>
              </w:rPr>
            </w:pPr>
            <w:r>
              <w:rPr>
                <w:sz w:val="28"/>
                <w:szCs w:val="28"/>
              </w:rPr>
              <w:t>Hanging/ beheading</w:t>
            </w:r>
          </w:p>
        </w:tc>
        <w:tc>
          <w:tcPr>
            <w:tcW w:w="2394" w:type="dxa"/>
            <w:tcBorders>
              <w:top w:val="single" w:sz="4" w:space="0" w:color="000000"/>
              <w:left w:val="single" w:sz="4" w:space="0" w:color="000000"/>
              <w:bottom w:val="single" w:sz="4" w:space="0" w:color="000000"/>
              <w:right w:val="single" w:sz="4" w:space="0" w:color="000000"/>
            </w:tcBorders>
            <w:hideMark/>
          </w:tcPr>
          <w:p w14:paraId="05E0C715" w14:textId="77777777" w:rsidR="007E0304" w:rsidRDefault="007E0304">
            <w:pPr>
              <w:rPr>
                <w:sz w:val="28"/>
                <w:szCs w:val="28"/>
              </w:rPr>
            </w:pPr>
            <w:r>
              <w:rPr>
                <w:sz w:val="28"/>
                <w:szCs w:val="28"/>
              </w:rPr>
              <w:t>Facial mutilation</w:t>
            </w:r>
          </w:p>
        </w:tc>
        <w:tc>
          <w:tcPr>
            <w:tcW w:w="2394" w:type="dxa"/>
            <w:tcBorders>
              <w:top w:val="single" w:sz="4" w:space="0" w:color="000000"/>
              <w:left w:val="single" w:sz="4" w:space="0" w:color="000000"/>
              <w:bottom w:val="single" w:sz="4" w:space="0" w:color="000000"/>
              <w:right w:val="single" w:sz="4" w:space="0" w:color="000000"/>
            </w:tcBorders>
            <w:hideMark/>
          </w:tcPr>
          <w:p w14:paraId="1B422EE6" w14:textId="77777777" w:rsidR="007E0304" w:rsidRDefault="007E0304">
            <w:pPr>
              <w:rPr>
                <w:sz w:val="28"/>
                <w:szCs w:val="28"/>
              </w:rPr>
            </w:pPr>
            <w:r>
              <w:rPr>
                <w:sz w:val="28"/>
                <w:szCs w:val="28"/>
              </w:rPr>
              <w:t>Body flayed alive</w:t>
            </w:r>
          </w:p>
        </w:tc>
      </w:tr>
      <w:tr w:rsidR="007E0304" w14:paraId="145474FF" w14:textId="77777777" w:rsidTr="007E0304">
        <w:tc>
          <w:tcPr>
            <w:tcW w:w="2394" w:type="dxa"/>
            <w:tcBorders>
              <w:top w:val="single" w:sz="4" w:space="0" w:color="000000"/>
              <w:left w:val="single" w:sz="4" w:space="0" w:color="000000"/>
              <w:bottom w:val="single" w:sz="4" w:space="0" w:color="000000"/>
              <w:right w:val="single" w:sz="4" w:space="0" w:color="000000"/>
            </w:tcBorders>
            <w:hideMark/>
          </w:tcPr>
          <w:p w14:paraId="102B6555" w14:textId="77777777" w:rsidR="007E0304" w:rsidRDefault="007E0304">
            <w:pPr>
              <w:rPr>
                <w:sz w:val="28"/>
                <w:szCs w:val="28"/>
              </w:rPr>
            </w:pPr>
            <w:r>
              <w:rPr>
                <w:sz w:val="28"/>
                <w:szCs w:val="28"/>
              </w:rPr>
              <w:t>Norman</w:t>
            </w:r>
          </w:p>
        </w:tc>
        <w:tc>
          <w:tcPr>
            <w:tcW w:w="2394" w:type="dxa"/>
            <w:tcBorders>
              <w:top w:val="single" w:sz="4" w:space="0" w:color="000000"/>
              <w:left w:val="single" w:sz="4" w:space="0" w:color="000000"/>
              <w:bottom w:val="single" w:sz="4" w:space="0" w:color="000000"/>
              <w:right w:val="single" w:sz="4" w:space="0" w:color="000000"/>
            </w:tcBorders>
            <w:hideMark/>
          </w:tcPr>
          <w:p w14:paraId="6BDB2553" w14:textId="77777777" w:rsidR="007E0304" w:rsidRDefault="007E0304">
            <w:pPr>
              <w:rPr>
                <w:sz w:val="28"/>
                <w:szCs w:val="28"/>
              </w:rPr>
            </w:pPr>
            <w:r>
              <w:rPr>
                <w:sz w:val="28"/>
                <w:szCs w:val="28"/>
              </w:rPr>
              <w:t>Less use of death penalty (so disfigured criminals could be seen to act as a deterrent)</w:t>
            </w:r>
          </w:p>
        </w:tc>
        <w:tc>
          <w:tcPr>
            <w:tcW w:w="2394" w:type="dxa"/>
            <w:tcBorders>
              <w:top w:val="single" w:sz="4" w:space="0" w:color="000000"/>
              <w:left w:val="single" w:sz="4" w:space="0" w:color="000000"/>
              <w:bottom w:val="single" w:sz="4" w:space="0" w:color="000000"/>
              <w:right w:val="single" w:sz="4" w:space="0" w:color="000000"/>
            </w:tcBorders>
            <w:hideMark/>
          </w:tcPr>
          <w:p w14:paraId="5133CAE0" w14:textId="77777777" w:rsidR="007E0304" w:rsidRDefault="007E0304">
            <w:pPr>
              <w:rPr>
                <w:sz w:val="28"/>
                <w:szCs w:val="28"/>
              </w:rPr>
            </w:pPr>
            <w:r>
              <w:rPr>
                <w:sz w:val="28"/>
                <w:szCs w:val="28"/>
              </w:rPr>
              <w:t>Facial mutilation</w:t>
            </w:r>
          </w:p>
        </w:tc>
        <w:tc>
          <w:tcPr>
            <w:tcW w:w="2394" w:type="dxa"/>
            <w:tcBorders>
              <w:top w:val="single" w:sz="4" w:space="0" w:color="000000"/>
              <w:left w:val="single" w:sz="4" w:space="0" w:color="000000"/>
              <w:bottom w:val="single" w:sz="4" w:space="0" w:color="000000"/>
              <w:right w:val="single" w:sz="4" w:space="0" w:color="000000"/>
            </w:tcBorders>
            <w:hideMark/>
          </w:tcPr>
          <w:p w14:paraId="4AFAD89A" w14:textId="77777777" w:rsidR="007E0304" w:rsidRDefault="007E0304">
            <w:pPr>
              <w:rPr>
                <w:sz w:val="28"/>
                <w:szCs w:val="28"/>
              </w:rPr>
            </w:pPr>
            <w:r>
              <w:rPr>
                <w:sz w:val="28"/>
                <w:szCs w:val="28"/>
              </w:rPr>
              <w:t>Castration (for rape)</w:t>
            </w:r>
          </w:p>
        </w:tc>
      </w:tr>
      <w:tr w:rsidR="007E0304" w14:paraId="4AF5B9F7" w14:textId="77777777" w:rsidTr="007E0304">
        <w:tc>
          <w:tcPr>
            <w:tcW w:w="2394" w:type="dxa"/>
            <w:tcBorders>
              <w:top w:val="single" w:sz="4" w:space="0" w:color="000000"/>
              <w:left w:val="single" w:sz="4" w:space="0" w:color="000000"/>
              <w:bottom w:val="single" w:sz="4" w:space="0" w:color="000000"/>
              <w:right w:val="single" w:sz="4" w:space="0" w:color="000000"/>
            </w:tcBorders>
            <w:hideMark/>
          </w:tcPr>
          <w:p w14:paraId="07192771" w14:textId="77777777" w:rsidR="007E0304" w:rsidRDefault="007E0304">
            <w:pPr>
              <w:rPr>
                <w:sz w:val="28"/>
                <w:szCs w:val="28"/>
              </w:rPr>
            </w:pPr>
            <w:r>
              <w:rPr>
                <w:sz w:val="28"/>
                <w:szCs w:val="28"/>
              </w:rPr>
              <w:t>Tudors</w:t>
            </w:r>
          </w:p>
        </w:tc>
        <w:tc>
          <w:tcPr>
            <w:tcW w:w="2394" w:type="dxa"/>
            <w:tcBorders>
              <w:top w:val="single" w:sz="4" w:space="0" w:color="000000"/>
              <w:left w:val="single" w:sz="4" w:space="0" w:color="000000"/>
              <w:bottom w:val="single" w:sz="4" w:space="0" w:color="000000"/>
              <w:right w:val="single" w:sz="4" w:space="0" w:color="000000"/>
            </w:tcBorders>
            <w:hideMark/>
          </w:tcPr>
          <w:p w14:paraId="6B0AD47E" w14:textId="77777777" w:rsidR="007E0304" w:rsidRDefault="007E0304">
            <w:pPr>
              <w:rPr>
                <w:sz w:val="28"/>
                <w:szCs w:val="28"/>
              </w:rPr>
            </w:pPr>
            <w:r>
              <w:rPr>
                <w:sz w:val="28"/>
                <w:szCs w:val="28"/>
              </w:rPr>
              <w:t>Increase in capital punishment</w:t>
            </w:r>
          </w:p>
        </w:tc>
        <w:tc>
          <w:tcPr>
            <w:tcW w:w="2394" w:type="dxa"/>
            <w:tcBorders>
              <w:top w:val="single" w:sz="4" w:space="0" w:color="000000"/>
              <w:left w:val="single" w:sz="4" w:space="0" w:color="000000"/>
              <w:bottom w:val="single" w:sz="4" w:space="0" w:color="000000"/>
              <w:right w:val="single" w:sz="4" w:space="0" w:color="000000"/>
            </w:tcBorders>
            <w:hideMark/>
          </w:tcPr>
          <w:p w14:paraId="1986D9B1" w14:textId="77777777" w:rsidR="007E0304" w:rsidRDefault="007E0304">
            <w:pPr>
              <w:rPr>
                <w:sz w:val="28"/>
                <w:szCs w:val="28"/>
              </w:rPr>
            </w:pPr>
            <w:r>
              <w:rPr>
                <w:sz w:val="28"/>
                <w:szCs w:val="28"/>
              </w:rPr>
              <w:t>Hang, drawing and quartering (males)</w:t>
            </w:r>
          </w:p>
        </w:tc>
        <w:tc>
          <w:tcPr>
            <w:tcW w:w="2394" w:type="dxa"/>
            <w:tcBorders>
              <w:top w:val="single" w:sz="4" w:space="0" w:color="000000"/>
              <w:left w:val="single" w:sz="4" w:space="0" w:color="000000"/>
              <w:bottom w:val="single" w:sz="4" w:space="0" w:color="000000"/>
              <w:right w:val="single" w:sz="4" w:space="0" w:color="000000"/>
            </w:tcBorders>
            <w:hideMark/>
          </w:tcPr>
          <w:p w14:paraId="655A0EC6" w14:textId="77777777" w:rsidR="007E0304" w:rsidRDefault="007E0304">
            <w:pPr>
              <w:rPr>
                <w:sz w:val="28"/>
                <w:szCs w:val="28"/>
              </w:rPr>
            </w:pPr>
            <w:r>
              <w:rPr>
                <w:sz w:val="28"/>
                <w:szCs w:val="28"/>
              </w:rPr>
              <w:t>Burning alive (females)</w:t>
            </w:r>
          </w:p>
        </w:tc>
      </w:tr>
      <w:tr w:rsidR="007E0304" w14:paraId="7F0329D3" w14:textId="77777777" w:rsidTr="007E0304">
        <w:tc>
          <w:tcPr>
            <w:tcW w:w="2394" w:type="dxa"/>
            <w:tcBorders>
              <w:top w:val="single" w:sz="4" w:space="0" w:color="000000"/>
              <w:left w:val="single" w:sz="4" w:space="0" w:color="000000"/>
              <w:bottom w:val="single" w:sz="4" w:space="0" w:color="000000"/>
              <w:right w:val="single" w:sz="4" w:space="0" w:color="000000"/>
            </w:tcBorders>
            <w:hideMark/>
          </w:tcPr>
          <w:p w14:paraId="4FEC121F" w14:textId="77777777" w:rsidR="007E0304" w:rsidRDefault="007E0304">
            <w:pPr>
              <w:rPr>
                <w:sz w:val="28"/>
                <w:szCs w:val="28"/>
              </w:rPr>
            </w:pPr>
            <w:r>
              <w:rPr>
                <w:sz w:val="28"/>
                <w:szCs w:val="28"/>
              </w:rPr>
              <w:t>19</w:t>
            </w:r>
            <w:r>
              <w:rPr>
                <w:sz w:val="28"/>
                <w:szCs w:val="28"/>
                <w:vertAlign w:val="superscript"/>
              </w:rPr>
              <w:t>th</w:t>
            </w:r>
            <w:r>
              <w:rPr>
                <w:sz w:val="28"/>
                <w:szCs w:val="28"/>
              </w:rPr>
              <w:t xml:space="preserve"> century</w:t>
            </w:r>
          </w:p>
        </w:tc>
        <w:tc>
          <w:tcPr>
            <w:tcW w:w="2394" w:type="dxa"/>
            <w:tcBorders>
              <w:top w:val="single" w:sz="4" w:space="0" w:color="000000"/>
              <w:left w:val="single" w:sz="4" w:space="0" w:color="000000"/>
              <w:bottom w:val="single" w:sz="4" w:space="0" w:color="000000"/>
              <w:right w:val="single" w:sz="4" w:space="0" w:color="000000"/>
            </w:tcBorders>
            <w:hideMark/>
          </w:tcPr>
          <w:p w14:paraId="2E7FFD7D" w14:textId="7E363C59" w:rsidR="007E0304" w:rsidRDefault="002903B1">
            <w:pPr>
              <w:rPr>
                <w:sz w:val="28"/>
                <w:szCs w:val="28"/>
              </w:rPr>
            </w:pPr>
            <w:r>
              <w:rPr>
                <w:sz w:val="28"/>
                <w:szCs w:val="28"/>
              </w:rPr>
              <w:t xml:space="preserve">1817 – public whipping abolished </w:t>
            </w:r>
          </w:p>
        </w:tc>
        <w:tc>
          <w:tcPr>
            <w:tcW w:w="2394" w:type="dxa"/>
            <w:tcBorders>
              <w:top w:val="single" w:sz="4" w:space="0" w:color="000000"/>
              <w:left w:val="single" w:sz="4" w:space="0" w:color="000000"/>
              <w:bottom w:val="single" w:sz="4" w:space="0" w:color="000000"/>
              <w:right w:val="single" w:sz="4" w:space="0" w:color="000000"/>
            </w:tcBorders>
            <w:hideMark/>
          </w:tcPr>
          <w:p w14:paraId="7F2C7029" w14:textId="77777777" w:rsidR="007E0304" w:rsidRDefault="007E0304">
            <w:pPr>
              <w:rPr>
                <w:sz w:val="28"/>
                <w:szCs w:val="28"/>
              </w:rPr>
            </w:pPr>
            <w:r>
              <w:rPr>
                <w:sz w:val="28"/>
                <w:szCs w:val="28"/>
              </w:rPr>
              <w:t>1833- Death penalty abolished for shoplifting  and replaced by transportation</w:t>
            </w:r>
          </w:p>
        </w:tc>
        <w:tc>
          <w:tcPr>
            <w:tcW w:w="2394" w:type="dxa"/>
            <w:tcBorders>
              <w:top w:val="single" w:sz="4" w:space="0" w:color="000000"/>
              <w:left w:val="single" w:sz="4" w:space="0" w:color="000000"/>
              <w:bottom w:val="single" w:sz="4" w:space="0" w:color="000000"/>
              <w:right w:val="single" w:sz="4" w:space="0" w:color="000000"/>
            </w:tcBorders>
            <w:hideMark/>
          </w:tcPr>
          <w:p w14:paraId="66D7C73C" w14:textId="44C4C32B" w:rsidR="007E0304" w:rsidRDefault="002903B1">
            <w:pPr>
              <w:rPr>
                <w:sz w:val="28"/>
                <w:szCs w:val="28"/>
              </w:rPr>
            </w:pPr>
            <w:r>
              <w:rPr>
                <w:sz w:val="28"/>
                <w:szCs w:val="28"/>
              </w:rPr>
              <w:t>1868 – end of public executions</w:t>
            </w:r>
            <w:r w:rsidDel="002903B1">
              <w:rPr>
                <w:sz w:val="28"/>
                <w:szCs w:val="28"/>
              </w:rPr>
              <w:t xml:space="preserve"> </w:t>
            </w:r>
          </w:p>
        </w:tc>
      </w:tr>
      <w:tr w:rsidR="007E0304" w14:paraId="5B6E7154" w14:textId="77777777" w:rsidTr="007E0304">
        <w:tc>
          <w:tcPr>
            <w:tcW w:w="2394" w:type="dxa"/>
            <w:tcBorders>
              <w:top w:val="single" w:sz="4" w:space="0" w:color="000000"/>
              <w:left w:val="single" w:sz="4" w:space="0" w:color="000000"/>
              <w:bottom w:val="single" w:sz="4" w:space="0" w:color="000000"/>
              <w:right w:val="single" w:sz="4" w:space="0" w:color="000000"/>
            </w:tcBorders>
            <w:hideMark/>
          </w:tcPr>
          <w:p w14:paraId="37688C79" w14:textId="77777777" w:rsidR="007E0304" w:rsidRDefault="007E0304">
            <w:pPr>
              <w:rPr>
                <w:sz w:val="28"/>
                <w:szCs w:val="28"/>
              </w:rPr>
            </w:pPr>
            <w:r>
              <w:rPr>
                <w:sz w:val="28"/>
                <w:szCs w:val="28"/>
              </w:rPr>
              <w:t>20</w:t>
            </w:r>
            <w:r>
              <w:rPr>
                <w:sz w:val="28"/>
                <w:szCs w:val="28"/>
                <w:vertAlign w:val="superscript"/>
              </w:rPr>
              <w:t>th</w:t>
            </w:r>
            <w:r>
              <w:rPr>
                <w:sz w:val="28"/>
                <w:szCs w:val="28"/>
              </w:rPr>
              <w:t xml:space="preserve"> century</w:t>
            </w:r>
          </w:p>
        </w:tc>
        <w:tc>
          <w:tcPr>
            <w:tcW w:w="2394" w:type="dxa"/>
            <w:tcBorders>
              <w:top w:val="single" w:sz="4" w:space="0" w:color="000000"/>
              <w:left w:val="single" w:sz="4" w:space="0" w:color="000000"/>
              <w:bottom w:val="single" w:sz="4" w:space="0" w:color="000000"/>
              <w:right w:val="single" w:sz="4" w:space="0" w:color="000000"/>
            </w:tcBorders>
            <w:hideMark/>
          </w:tcPr>
          <w:p w14:paraId="40E1CB82" w14:textId="4B80174C" w:rsidR="002903B1" w:rsidRDefault="002903B1">
            <w:pPr>
              <w:rPr>
                <w:sz w:val="28"/>
                <w:szCs w:val="28"/>
              </w:rPr>
            </w:pPr>
            <w:r>
              <w:rPr>
                <w:sz w:val="28"/>
                <w:szCs w:val="28"/>
              </w:rPr>
              <w:t>1948 – corporal punishment generally abolished in prisons</w:t>
            </w:r>
          </w:p>
        </w:tc>
        <w:tc>
          <w:tcPr>
            <w:tcW w:w="2394" w:type="dxa"/>
            <w:tcBorders>
              <w:top w:val="single" w:sz="4" w:space="0" w:color="000000"/>
              <w:left w:val="single" w:sz="4" w:space="0" w:color="000000"/>
              <w:bottom w:val="single" w:sz="4" w:space="0" w:color="000000"/>
              <w:right w:val="single" w:sz="4" w:space="0" w:color="000000"/>
            </w:tcBorders>
            <w:hideMark/>
          </w:tcPr>
          <w:p w14:paraId="314913FE" w14:textId="0C0AA4D1" w:rsidR="007E0304" w:rsidRDefault="002903B1">
            <w:pPr>
              <w:rPr>
                <w:sz w:val="28"/>
                <w:szCs w:val="28"/>
              </w:rPr>
            </w:pPr>
            <w:r>
              <w:rPr>
                <w:sz w:val="28"/>
                <w:szCs w:val="28"/>
              </w:rPr>
              <w:t>1967 –Introduction of parole</w:t>
            </w:r>
            <w:r w:rsidDel="002903B1">
              <w:rPr>
                <w:sz w:val="28"/>
                <w:szCs w:val="28"/>
              </w:rPr>
              <w:t xml:space="preserve"> </w:t>
            </w:r>
          </w:p>
        </w:tc>
        <w:tc>
          <w:tcPr>
            <w:tcW w:w="2394" w:type="dxa"/>
            <w:tcBorders>
              <w:top w:val="single" w:sz="4" w:space="0" w:color="000000"/>
              <w:left w:val="single" w:sz="4" w:space="0" w:color="000000"/>
              <w:bottom w:val="single" w:sz="4" w:space="0" w:color="000000"/>
              <w:right w:val="single" w:sz="4" w:space="0" w:color="000000"/>
            </w:tcBorders>
            <w:hideMark/>
          </w:tcPr>
          <w:p w14:paraId="29FE3CE9" w14:textId="77777777" w:rsidR="002903B1" w:rsidRDefault="002903B1" w:rsidP="002903B1">
            <w:pPr>
              <w:rPr>
                <w:sz w:val="28"/>
                <w:szCs w:val="28"/>
              </w:rPr>
            </w:pPr>
            <w:r>
              <w:rPr>
                <w:sz w:val="28"/>
                <w:szCs w:val="28"/>
              </w:rPr>
              <w:t>1969 – abolition of death penalty</w:t>
            </w:r>
          </w:p>
          <w:p w14:paraId="5B90C1FA" w14:textId="0F61901D" w:rsidR="007E0304" w:rsidRDefault="007E0304">
            <w:pPr>
              <w:rPr>
                <w:sz w:val="28"/>
                <w:szCs w:val="28"/>
              </w:rPr>
            </w:pPr>
          </w:p>
        </w:tc>
      </w:tr>
    </w:tbl>
    <w:p w14:paraId="36FE97BB" w14:textId="77777777" w:rsidR="007E0304" w:rsidRDefault="007E0304" w:rsidP="007E0304">
      <w:pPr>
        <w:rPr>
          <w:sz w:val="28"/>
          <w:szCs w:val="28"/>
        </w:rPr>
      </w:pPr>
    </w:p>
    <w:p w14:paraId="600FB035" w14:textId="77777777" w:rsidR="007E0304" w:rsidRDefault="007E0304" w:rsidP="007E0304">
      <w:pPr>
        <w:rPr>
          <w:sz w:val="28"/>
          <w:szCs w:val="28"/>
        </w:rPr>
      </w:pPr>
      <w:r>
        <w:rPr>
          <w:sz w:val="28"/>
          <w:szCs w:val="28"/>
        </w:rPr>
        <w:t>It can be seen that it was not until the 19</w:t>
      </w:r>
      <w:r>
        <w:rPr>
          <w:sz w:val="28"/>
          <w:szCs w:val="28"/>
          <w:vertAlign w:val="superscript"/>
        </w:rPr>
        <w:t>th</w:t>
      </w:r>
      <w:r>
        <w:rPr>
          <w:sz w:val="28"/>
          <w:szCs w:val="28"/>
        </w:rPr>
        <w:t xml:space="preserve"> century that the UK began to uniformly adopt a more sympathetic approach to offenders. More starkly, it has been little more than 50 years (or less than the period of popular music) that many reforms which we take for granted have been introduced.  Furthermore, in Hong Kong, corporal and capital punishment were not formally abolished until 1990 and 1993 respectively.</w:t>
      </w:r>
      <w:r>
        <w:rPr>
          <w:rStyle w:val="FootnoteReference"/>
          <w:sz w:val="28"/>
          <w:szCs w:val="28"/>
        </w:rPr>
        <w:footnoteReference w:id="4"/>
      </w:r>
      <w:r>
        <w:rPr>
          <w:sz w:val="28"/>
          <w:szCs w:val="28"/>
        </w:rPr>
        <w:t xml:space="preserve"> </w:t>
      </w:r>
    </w:p>
    <w:p w14:paraId="689064E0" w14:textId="77777777" w:rsidR="00367CC4" w:rsidRDefault="00367CC4" w:rsidP="007E0304">
      <w:pPr>
        <w:rPr>
          <w:b/>
          <w:sz w:val="28"/>
          <w:szCs w:val="28"/>
        </w:rPr>
      </w:pPr>
    </w:p>
    <w:p w14:paraId="19976CC6" w14:textId="77777777" w:rsidR="000D5AAD" w:rsidRDefault="000D5AAD" w:rsidP="007E0304">
      <w:pPr>
        <w:rPr>
          <w:b/>
          <w:sz w:val="28"/>
          <w:szCs w:val="28"/>
        </w:rPr>
      </w:pPr>
    </w:p>
    <w:p w14:paraId="61349C01" w14:textId="1C8B9A3D" w:rsidR="000D5AAD" w:rsidRDefault="000D5AAD" w:rsidP="007E0304">
      <w:pPr>
        <w:rPr>
          <w:b/>
          <w:sz w:val="28"/>
          <w:szCs w:val="28"/>
        </w:rPr>
      </w:pPr>
    </w:p>
    <w:p w14:paraId="32A8D4E0" w14:textId="634A1CB9" w:rsidR="00EA1A7A" w:rsidRDefault="00EA1A7A" w:rsidP="007E0304">
      <w:pPr>
        <w:rPr>
          <w:b/>
          <w:sz w:val="28"/>
          <w:szCs w:val="28"/>
        </w:rPr>
      </w:pPr>
    </w:p>
    <w:p w14:paraId="2D3CD826" w14:textId="77777777" w:rsidR="00CD360F" w:rsidRDefault="00CD360F" w:rsidP="007E0304">
      <w:pPr>
        <w:rPr>
          <w:b/>
          <w:sz w:val="28"/>
          <w:szCs w:val="28"/>
        </w:rPr>
      </w:pPr>
    </w:p>
    <w:p w14:paraId="573B5B7D" w14:textId="7E85F079" w:rsidR="00A00D09" w:rsidRPr="001101B3" w:rsidRDefault="00367CC4" w:rsidP="007E0304">
      <w:pPr>
        <w:rPr>
          <w:sz w:val="28"/>
          <w:szCs w:val="28"/>
        </w:rPr>
      </w:pPr>
      <w:r>
        <w:rPr>
          <w:b/>
          <w:sz w:val="28"/>
          <w:szCs w:val="28"/>
        </w:rPr>
        <w:br/>
      </w:r>
      <w:r w:rsidR="00C73002" w:rsidRPr="001101B3">
        <w:rPr>
          <w:b/>
          <w:sz w:val="28"/>
          <w:szCs w:val="28"/>
        </w:rPr>
        <w:lastRenderedPageBreak/>
        <w:t>9</w:t>
      </w:r>
      <w:r w:rsidR="007E0304" w:rsidRPr="001101B3">
        <w:rPr>
          <w:b/>
          <w:sz w:val="28"/>
          <w:szCs w:val="28"/>
        </w:rPr>
        <w:t xml:space="preserve">.2 Sentencing </w:t>
      </w:r>
      <w:r w:rsidR="003209EE" w:rsidRPr="001101B3">
        <w:rPr>
          <w:b/>
          <w:sz w:val="28"/>
          <w:szCs w:val="28"/>
        </w:rPr>
        <w:t>principles</w:t>
      </w:r>
      <w:r w:rsidR="007E0304" w:rsidRPr="001101B3">
        <w:rPr>
          <w:rStyle w:val="FootnoteReference"/>
          <w:sz w:val="28"/>
          <w:szCs w:val="28"/>
        </w:rPr>
        <w:footnoteReference w:id="5"/>
      </w:r>
      <w:r w:rsidR="007E0304" w:rsidRPr="001101B3">
        <w:rPr>
          <w:sz w:val="28"/>
          <w:szCs w:val="28"/>
        </w:rPr>
        <w:t xml:space="preserve"> </w:t>
      </w:r>
    </w:p>
    <w:p w14:paraId="64CE2447" w14:textId="77777777" w:rsidR="001640C6" w:rsidRPr="001101B3" w:rsidRDefault="001640C6" w:rsidP="007E0304">
      <w:pPr>
        <w:rPr>
          <w:b/>
          <w:sz w:val="28"/>
          <w:szCs w:val="28"/>
        </w:rPr>
      </w:pPr>
    </w:p>
    <w:p w14:paraId="1B31B975" w14:textId="73674319" w:rsidR="007E0304" w:rsidRPr="001101B3" w:rsidRDefault="00C73002" w:rsidP="007E0304">
      <w:pPr>
        <w:rPr>
          <w:b/>
          <w:sz w:val="28"/>
          <w:szCs w:val="28"/>
        </w:rPr>
      </w:pPr>
      <w:r w:rsidRPr="001101B3">
        <w:rPr>
          <w:b/>
          <w:sz w:val="28"/>
          <w:szCs w:val="28"/>
        </w:rPr>
        <w:t>9</w:t>
      </w:r>
      <w:r w:rsidR="007E0304" w:rsidRPr="001101B3">
        <w:rPr>
          <w:b/>
          <w:sz w:val="28"/>
          <w:szCs w:val="28"/>
        </w:rPr>
        <w:t xml:space="preserve">.2.1 </w:t>
      </w:r>
      <w:r w:rsidR="00630F40" w:rsidRPr="001101B3">
        <w:rPr>
          <w:b/>
          <w:sz w:val="28"/>
          <w:szCs w:val="28"/>
        </w:rPr>
        <w:t>Just d</w:t>
      </w:r>
      <w:r w:rsidR="007E0304" w:rsidRPr="001101B3">
        <w:rPr>
          <w:b/>
          <w:sz w:val="28"/>
          <w:szCs w:val="28"/>
        </w:rPr>
        <w:t>esert</w:t>
      </w:r>
      <w:r w:rsidR="00630F40" w:rsidRPr="001101B3">
        <w:rPr>
          <w:b/>
          <w:sz w:val="28"/>
          <w:szCs w:val="28"/>
        </w:rPr>
        <w:t>s</w:t>
      </w:r>
      <w:r w:rsidR="007E0304" w:rsidRPr="001101B3">
        <w:rPr>
          <w:b/>
          <w:sz w:val="28"/>
          <w:szCs w:val="28"/>
        </w:rPr>
        <w:t xml:space="preserve"> or retribution </w:t>
      </w:r>
      <w:r w:rsidR="003209EE" w:rsidRPr="001101B3">
        <w:rPr>
          <w:b/>
          <w:sz w:val="28"/>
          <w:szCs w:val="28"/>
        </w:rPr>
        <w:t>principles</w:t>
      </w:r>
    </w:p>
    <w:p w14:paraId="5DA47852" w14:textId="77777777" w:rsidR="00367CC4" w:rsidRPr="001101B3" w:rsidRDefault="00367CC4" w:rsidP="007E0304">
      <w:pPr>
        <w:rPr>
          <w:b/>
          <w:sz w:val="28"/>
          <w:szCs w:val="28"/>
        </w:rPr>
      </w:pPr>
    </w:p>
    <w:p w14:paraId="09A8D22F" w14:textId="77777777" w:rsidR="009D3DAA" w:rsidRPr="001101B3" w:rsidRDefault="009D3DAA" w:rsidP="007E0304">
      <w:pPr>
        <w:rPr>
          <w:sz w:val="28"/>
          <w:szCs w:val="28"/>
        </w:rPr>
      </w:pPr>
      <w:r w:rsidRPr="001101B3">
        <w:rPr>
          <w:sz w:val="28"/>
          <w:szCs w:val="28"/>
        </w:rPr>
        <w:t>Key points are:</w:t>
      </w:r>
    </w:p>
    <w:p w14:paraId="2C941A3C" w14:textId="77777777" w:rsidR="009D3DAA" w:rsidRPr="001101B3" w:rsidRDefault="009D3DAA" w:rsidP="007E0304">
      <w:pPr>
        <w:rPr>
          <w:b/>
          <w:sz w:val="28"/>
          <w:szCs w:val="28"/>
        </w:rPr>
      </w:pPr>
    </w:p>
    <w:p w14:paraId="48BF3C60" w14:textId="54CC0581" w:rsidR="007E0304" w:rsidRPr="001101B3" w:rsidRDefault="009D3DAA" w:rsidP="007E0304">
      <w:pPr>
        <w:numPr>
          <w:ilvl w:val="0"/>
          <w:numId w:val="1"/>
        </w:numPr>
        <w:rPr>
          <w:sz w:val="28"/>
          <w:szCs w:val="28"/>
        </w:rPr>
      </w:pPr>
      <w:r w:rsidRPr="001101B3">
        <w:rPr>
          <w:sz w:val="28"/>
          <w:szCs w:val="28"/>
        </w:rPr>
        <w:t>Offenders should receive p</w:t>
      </w:r>
      <w:r w:rsidR="007E0304" w:rsidRPr="001101B3">
        <w:rPr>
          <w:sz w:val="28"/>
          <w:szCs w:val="28"/>
        </w:rPr>
        <w:t>unishment for</w:t>
      </w:r>
      <w:r w:rsidRPr="001101B3">
        <w:rPr>
          <w:sz w:val="28"/>
          <w:szCs w:val="28"/>
        </w:rPr>
        <w:t xml:space="preserve"> their</w:t>
      </w:r>
      <w:r w:rsidR="007E0304" w:rsidRPr="001101B3">
        <w:rPr>
          <w:sz w:val="28"/>
          <w:szCs w:val="28"/>
        </w:rPr>
        <w:t xml:space="preserve"> crime</w:t>
      </w:r>
      <w:r w:rsidRPr="001101B3">
        <w:rPr>
          <w:sz w:val="28"/>
          <w:szCs w:val="28"/>
        </w:rPr>
        <w:t>s</w:t>
      </w:r>
      <w:r w:rsidR="007A7384" w:rsidRPr="001101B3">
        <w:rPr>
          <w:sz w:val="28"/>
          <w:szCs w:val="28"/>
        </w:rPr>
        <w:t>.</w:t>
      </w:r>
    </w:p>
    <w:p w14:paraId="6B7BFAC6" w14:textId="31FBF8F6" w:rsidR="007E0304" w:rsidRPr="001101B3" w:rsidRDefault="007E0304" w:rsidP="007E0304">
      <w:pPr>
        <w:numPr>
          <w:ilvl w:val="0"/>
          <w:numId w:val="1"/>
        </w:numPr>
        <w:rPr>
          <w:sz w:val="28"/>
          <w:szCs w:val="28"/>
        </w:rPr>
      </w:pPr>
      <w:r w:rsidRPr="001101B3">
        <w:rPr>
          <w:sz w:val="28"/>
          <w:szCs w:val="28"/>
        </w:rPr>
        <w:t>Criminals should be ‘censured’ for the act in the form of hard treatment</w:t>
      </w:r>
      <w:r w:rsidR="007A7384" w:rsidRPr="001101B3">
        <w:rPr>
          <w:sz w:val="28"/>
          <w:szCs w:val="28"/>
        </w:rPr>
        <w:t>.</w:t>
      </w:r>
    </w:p>
    <w:p w14:paraId="0E507E36" w14:textId="77777777" w:rsidR="007E0304" w:rsidRPr="001101B3" w:rsidRDefault="007E0304" w:rsidP="007E0304">
      <w:pPr>
        <w:numPr>
          <w:ilvl w:val="0"/>
          <w:numId w:val="1"/>
        </w:numPr>
        <w:rPr>
          <w:sz w:val="28"/>
          <w:szCs w:val="28"/>
        </w:rPr>
      </w:pPr>
      <w:r w:rsidRPr="001101B3">
        <w:rPr>
          <w:sz w:val="28"/>
          <w:szCs w:val="28"/>
        </w:rPr>
        <w:t>Matters relating to the seriousness of the crime include:</w:t>
      </w:r>
    </w:p>
    <w:p w14:paraId="41068FE5" w14:textId="77777777" w:rsidR="007E0304" w:rsidRPr="001101B3" w:rsidRDefault="009D3DAA" w:rsidP="007E0304">
      <w:pPr>
        <w:pStyle w:val="ListParagraph"/>
        <w:numPr>
          <w:ilvl w:val="0"/>
          <w:numId w:val="2"/>
        </w:numPr>
        <w:rPr>
          <w:sz w:val="28"/>
          <w:szCs w:val="28"/>
        </w:rPr>
      </w:pPr>
      <w:r w:rsidRPr="001101B3">
        <w:rPr>
          <w:sz w:val="28"/>
          <w:szCs w:val="28"/>
        </w:rPr>
        <w:t>The t</w:t>
      </w:r>
      <w:r w:rsidR="007E0304" w:rsidRPr="001101B3">
        <w:rPr>
          <w:sz w:val="28"/>
          <w:szCs w:val="28"/>
        </w:rPr>
        <w:t>ype of offence</w:t>
      </w:r>
    </w:p>
    <w:p w14:paraId="33CB1976" w14:textId="77777777" w:rsidR="007E0304" w:rsidRPr="001101B3" w:rsidRDefault="009D3DAA" w:rsidP="007E0304">
      <w:pPr>
        <w:pStyle w:val="ListParagraph"/>
        <w:numPr>
          <w:ilvl w:val="0"/>
          <w:numId w:val="2"/>
        </w:numPr>
        <w:rPr>
          <w:sz w:val="28"/>
          <w:szCs w:val="28"/>
        </w:rPr>
      </w:pPr>
      <w:r w:rsidRPr="001101B3">
        <w:rPr>
          <w:sz w:val="28"/>
          <w:szCs w:val="28"/>
        </w:rPr>
        <w:t>The h</w:t>
      </w:r>
      <w:r w:rsidR="007E0304" w:rsidRPr="001101B3">
        <w:rPr>
          <w:sz w:val="28"/>
          <w:szCs w:val="28"/>
        </w:rPr>
        <w:t>arm caused</w:t>
      </w:r>
    </w:p>
    <w:p w14:paraId="119C9278" w14:textId="77777777" w:rsidR="007E0304" w:rsidRPr="001101B3" w:rsidRDefault="009D3DAA" w:rsidP="007E0304">
      <w:pPr>
        <w:pStyle w:val="ListParagraph"/>
        <w:numPr>
          <w:ilvl w:val="0"/>
          <w:numId w:val="2"/>
        </w:numPr>
        <w:rPr>
          <w:sz w:val="28"/>
          <w:szCs w:val="28"/>
        </w:rPr>
      </w:pPr>
      <w:r w:rsidRPr="001101B3">
        <w:rPr>
          <w:sz w:val="28"/>
          <w:szCs w:val="28"/>
        </w:rPr>
        <w:t>The d</w:t>
      </w:r>
      <w:r w:rsidR="007E0304" w:rsidRPr="001101B3">
        <w:rPr>
          <w:sz w:val="28"/>
          <w:szCs w:val="28"/>
        </w:rPr>
        <w:t>egree of moral blameworthiness.</w:t>
      </w:r>
      <w:r w:rsidR="007E0304" w:rsidRPr="001101B3">
        <w:rPr>
          <w:rStyle w:val="FootnoteReference"/>
          <w:sz w:val="28"/>
          <w:szCs w:val="28"/>
        </w:rPr>
        <w:footnoteReference w:id="6"/>
      </w:r>
    </w:p>
    <w:p w14:paraId="3EABCDD3" w14:textId="3ED11253" w:rsidR="007E0304" w:rsidRPr="001101B3" w:rsidRDefault="007E0304" w:rsidP="007E0304">
      <w:pPr>
        <w:numPr>
          <w:ilvl w:val="0"/>
          <w:numId w:val="1"/>
        </w:numPr>
        <w:rPr>
          <w:sz w:val="28"/>
          <w:szCs w:val="28"/>
        </w:rPr>
      </w:pPr>
      <w:r w:rsidRPr="001101B3">
        <w:rPr>
          <w:sz w:val="28"/>
          <w:szCs w:val="28"/>
        </w:rPr>
        <w:t>Nevertheless, har</w:t>
      </w:r>
      <w:r w:rsidR="00D119A6">
        <w:rPr>
          <w:sz w:val="28"/>
          <w:szCs w:val="28"/>
        </w:rPr>
        <w:t>sh</w:t>
      </w:r>
      <w:r w:rsidRPr="001101B3">
        <w:rPr>
          <w:sz w:val="28"/>
          <w:szCs w:val="28"/>
        </w:rPr>
        <w:t xml:space="preserve"> treatment should be proportionate to the nature of the offence</w:t>
      </w:r>
      <w:r w:rsidR="00CD7C45" w:rsidRPr="001101B3">
        <w:rPr>
          <w:sz w:val="28"/>
          <w:szCs w:val="28"/>
        </w:rPr>
        <w:t>,</w:t>
      </w:r>
      <w:r w:rsidRPr="001101B3">
        <w:rPr>
          <w:sz w:val="28"/>
          <w:szCs w:val="28"/>
        </w:rPr>
        <w:t xml:space="preserve"> i.e. ten years imprisonment for stealing a bike would clearly not be a proportionate sentence for that particular</w:t>
      </w:r>
      <w:r w:rsidR="009C5C4C">
        <w:rPr>
          <w:sz w:val="28"/>
          <w:szCs w:val="28"/>
        </w:rPr>
        <w:t xml:space="preserve"> </w:t>
      </w:r>
      <w:r w:rsidRPr="001101B3">
        <w:rPr>
          <w:sz w:val="28"/>
          <w:szCs w:val="28"/>
        </w:rPr>
        <w:t>crime</w:t>
      </w:r>
      <w:r w:rsidR="007A7384" w:rsidRPr="001101B3">
        <w:rPr>
          <w:sz w:val="28"/>
          <w:szCs w:val="28"/>
        </w:rPr>
        <w:t>.</w:t>
      </w:r>
    </w:p>
    <w:p w14:paraId="6003F563" w14:textId="2702FB0B" w:rsidR="007E0304" w:rsidRPr="001101B3" w:rsidRDefault="007E0304" w:rsidP="007E0304">
      <w:pPr>
        <w:numPr>
          <w:ilvl w:val="0"/>
          <w:numId w:val="1"/>
        </w:numPr>
        <w:rPr>
          <w:sz w:val="28"/>
          <w:szCs w:val="28"/>
        </w:rPr>
      </w:pPr>
      <w:r w:rsidRPr="001101B3">
        <w:rPr>
          <w:sz w:val="28"/>
          <w:szCs w:val="28"/>
        </w:rPr>
        <w:t>Put simply, the offender gets his or her ‘just deserts’</w:t>
      </w:r>
      <w:r w:rsidR="007A7384" w:rsidRPr="001101B3">
        <w:rPr>
          <w:sz w:val="28"/>
          <w:szCs w:val="28"/>
        </w:rPr>
        <w:t>.</w:t>
      </w:r>
    </w:p>
    <w:p w14:paraId="12E9B9B9" w14:textId="0CFA5BCC" w:rsidR="007E0304" w:rsidRPr="001101B3" w:rsidRDefault="007E0304" w:rsidP="007E0304">
      <w:pPr>
        <w:numPr>
          <w:ilvl w:val="0"/>
          <w:numId w:val="1"/>
        </w:numPr>
        <w:rPr>
          <w:sz w:val="28"/>
          <w:szCs w:val="28"/>
        </w:rPr>
      </w:pPr>
      <w:r w:rsidRPr="001101B3">
        <w:rPr>
          <w:sz w:val="28"/>
          <w:szCs w:val="28"/>
        </w:rPr>
        <w:t xml:space="preserve">An example of a disproportionate response arose in </w:t>
      </w:r>
      <w:r w:rsidRPr="001101B3">
        <w:rPr>
          <w:i/>
          <w:sz w:val="28"/>
          <w:szCs w:val="28"/>
        </w:rPr>
        <w:t>HKSAR</w:t>
      </w:r>
      <w:r w:rsidRPr="001101B3">
        <w:rPr>
          <w:sz w:val="28"/>
          <w:szCs w:val="28"/>
        </w:rPr>
        <w:t xml:space="preserve"> v</w:t>
      </w:r>
      <w:r w:rsidRPr="001101B3">
        <w:rPr>
          <w:i/>
          <w:sz w:val="28"/>
          <w:szCs w:val="28"/>
        </w:rPr>
        <w:t xml:space="preserve"> Wong Chun Cheong</w:t>
      </w:r>
      <w:r w:rsidRPr="001101B3">
        <w:rPr>
          <w:rStyle w:val="FootnoteReference"/>
          <w:sz w:val="28"/>
          <w:szCs w:val="28"/>
        </w:rPr>
        <w:footnoteReference w:id="7"/>
      </w:r>
      <w:r w:rsidRPr="001101B3">
        <w:rPr>
          <w:sz w:val="28"/>
          <w:szCs w:val="28"/>
        </w:rPr>
        <w:t xml:space="preserve"> – </w:t>
      </w:r>
      <w:r w:rsidR="009D3DAA" w:rsidRPr="001101B3">
        <w:rPr>
          <w:sz w:val="28"/>
          <w:szCs w:val="28"/>
        </w:rPr>
        <w:t>a 16</w:t>
      </w:r>
      <w:r w:rsidR="00E33EED" w:rsidRPr="001101B3">
        <w:rPr>
          <w:sz w:val="28"/>
          <w:szCs w:val="28"/>
        </w:rPr>
        <w:t>-</w:t>
      </w:r>
      <w:r w:rsidR="009D3DAA" w:rsidRPr="001101B3">
        <w:rPr>
          <w:sz w:val="28"/>
          <w:szCs w:val="28"/>
        </w:rPr>
        <w:t>year</w:t>
      </w:r>
      <w:r w:rsidR="00E33EED" w:rsidRPr="001101B3">
        <w:rPr>
          <w:sz w:val="28"/>
          <w:szCs w:val="28"/>
        </w:rPr>
        <w:t>s</w:t>
      </w:r>
      <w:r w:rsidR="0004522D" w:rsidRPr="001101B3">
        <w:rPr>
          <w:sz w:val="28"/>
          <w:szCs w:val="28"/>
        </w:rPr>
        <w:t>-</w:t>
      </w:r>
      <w:r w:rsidRPr="001101B3">
        <w:rPr>
          <w:sz w:val="28"/>
          <w:szCs w:val="28"/>
        </w:rPr>
        <w:t xml:space="preserve">old boy sentenced to detention in a training </w:t>
      </w:r>
      <w:proofErr w:type="spellStart"/>
      <w:r w:rsidRPr="001101B3">
        <w:rPr>
          <w:sz w:val="28"/>
          <w:szCs w:val="28"/>
        </w:rPr>
        <w:t>centre</w:t>
      </w:r>
      <w:proofErr w:type="spellEnd"/>
      <w:r w:rsidRPr="001101B3">
        <w:rPr>
          <w:sz w:val="28"/>
          <w:szCs w:val="28"/>
        </w:rPr>
        <w:t xml:space="preserve"> for unauthorized participation in a Lion Dance</w:t>
      </w:r>
      <w:r w:rsidR="007A7384" w:rsidRPr="001101B3">
        <w:rPr>
          <w:sz w:val="28"/>
          <w:szCs w:val="28"/>
        </w:rPr>
        <w:t>.</w:t>
      </w:r>
    </w:p>
    <w:p w14:paraId="2B86B11F" w14:textId="77777777" w:rsidR="007E0304" w:rsidRPr="001101B3" w:rsidRDefault="007E0304" w:rsidP="007E0304">
      <w:pPr>
        <w:numPr>
          <w:ilvl w:val="0"/>
          <w:numId w:val="1"/>
        </w:numPr>
        <w:rPr>
          <w:sz w:val="28"/>
          <w:szCs w:val="28"/>
        </w:rPr>
      </w:pPr>
      <w:r w:rsidRPr="001101B3">
        <w:rPr>
          <w:sz w:val="28"/>
          <w:szCs w:val="28"/>
        </w:rPr>
        <w:t>Proportionality is enshrined in Article 28 of the Basic Law whereby persons are protected from “arbitrary or unlawful…detention or imprisonment”.</w:t>
      </w:r>
    </w:p>
    <w:p w14:paraId="6E65DEC4" w14:textId="77777777" w:rsidR="00D47F73" w:rsidRPr="001101B3" w:rsidRDefault="00D47F73" w:rsidP="00AE2811">
      <w:pPr>
        <w:rPr>
          <w:sz w:val="28"/>
          <w:szCs w:val="28"/>
        </w:rPr>
      </w:pPr>
    </w:p>
    <w:p w14:paraId="55200840" w14:textId="2C1729AF" w:rsidR="00D47F73" w:rsidRPr="001101B3" w:rsidRDefault="00D47F73" w:rsidP="00AE2811">
      <w:pPr>
        <w:rPr>
          <w:i/>
          <w:sz w:val="28"/>
          <w:szCs w:val="28"/>
        </w:rPr>
      </w:pPr>
      <w:r w:rsidRPr="001101B3">
        <w:rPr>
          <w:sz w:val="28"/>
          <w:szCs w:val="28"/>
        </w:rPr>
        <w:t>Because of the vicious nature of attacks where there is a charge of wounding with intent to cause grievous bodily harm pursuant to s.</w:t>
      </w:r>
      <w:r w:rsidR="00176DE4" w:rsidRPr="001101B3">
        <w:rPr>
          <w:sz w:val="28"/>
          <w:szCs w:val="28"/>
        </w:rPr>
        <w:t xml:space="preserve">17 </w:t>
      </w:r>
      <w:r w:rsidR="000C7856" w:rsidRPr="001101B3">
        <w:rPr>
          <w:sz w:val="28"/>
          <w:szCs w:val="28"/>
        </w:rPr>
        <w:t xml:space="preserve">OAPO, </w:t>
      </w:r>
      <w:r w:rsidRPr="001101B3">
        <w:rPr>
          <w:sz w:val="28"/>
          <w:szCs w:val="28"/>
        </w:rPr>
        <w:t>retribution will also be a sentencing principle in these cases:</w:t>
      </w:r>
      <w:r w:rsidRPr="001101B3">
        <w:rPr>
          <w:i/>
          <w:sz w:val="28"/>
          <w:szCs w:val="28"/>
        </w:rPr>
        <w:t xml:space="preserve"> HKSAR</w:t>
      </w:r>
      <w:r w:rsidRPr="001101B3">
        <w:rPr>
          <w:sz w:val="28"/>
          <w:szCs w:val="28"/>
        </w:rPr>
        <w:t xml:space="preserve"> v </w:t>
      </w:r>
      <w:r w:rsidRPr="001101B3">
        <w:rPr>
          <w:i/>
          <w:sz w:val="28"/>
          <w:szCs w:val="28"/>
        </w:rPr>
        <w:t>Chiu Wai Ka.</w:t>
      </w:r>
      <w:r w:rsidRPr="001101B3">
        <w:rPr>
          <w:rStyle w:val="FootnoteReference"/>
          <w:sz w:val="28"/>
          <w:szCs w:val="28"/>
        </w:rPr>
        <w:footnoteReference w:id="8"/>
      </w:r>
    </w:p>
    <w:p w14:paraId="6945AD9A" w14:textId="77777777" w:rsidR="007E0304" w:rsidRPr="001101B3" w:rsidRDefault="007E0304" w:rsidP="007E0304">
      <w:pPr>
        <w:rPr>
          <w:sz w:val="28"/>
          <w:szCs w:val="28"/>
        </w:rPr>
      </w:pPr>
    </w:p>
    <w:p w14:paraId="3121E7C1" w14:textId="5B85FAB6" w:rsidR="007E0304" w:rsidRPr="001101B3" w:rsidRDefault="00C73002" w:rsidP="007E0304">
      <w:pPr>
        <w:rPr>
          <w:b/>
          <w:sz w:val="28"/>
          <w:szCs w:val="28"/>
        </w:rPr>
      </w:pPr>
      <w:r w:rsidRPr="001101B3">
        <w:rPr>
          <w:b/>
          <w:sz w:val="28"/>
          <w:szCs w:val="28"/>
        </w:rPr>
        <w:t>9</w:t>
      </w:r>
      <w:r w:rsidR="007E0304" w:rsidRPr="001101B3">
        <w:rPr>
          <w:b/>
          <w:sz w:val="28"/>
          <w:szCs w:val="28"/>
        </w:rPr>
        <w:t xml:space="preserve">.3 Deterrence </w:t>
      </w:r>
      <w:r w:rsidR="003209EE" w:rsidRPr="001101B3">
        <w:rPr>
          <w:b/>
          <w:sz w:val="28"/>
          <w:szCs w:val="28"/>
        </w:rPr>
        <w:t>principles</w:t>
      </w:r>
    </w:p>
    <w:p w14:paraId="7CC4A5C9" w14:textId="77777777" w:rsidR="00367CC4" w:rsidRPr="001101B3" w:rsidRDefault="00367CC4" w:rsidP="007E0304">
      <w:pPr>
        <w:rPr>
          <w:b/>
          <w:sz w:val="28"/>
          <w:szCs w:val="28"/>
        </w:rPr>
      </w:pPr>
    </w:p>
    <w:p w14:paraId="1F190596" w14:textId="77777777" w:rsidR="007E0304" w:rsidRPr="001101B3" w:rsidRDefault="009D3DAA" w:rsidP="00227B70">
      <w:pPr>
        <w:rPr>
          <w:sz w:val="28"/>
          <w:szCs w:val="28"/>
        </w:rPr>
      </w:pPr>
      <w:r w:rsidRPr="001101B3">
        <w:rPr>
          <w:sz w:val="28"/>
          <w:szCs w:val="28"/>
        </w:rPr>
        <w:t>The a</w:t>
      </w:r>
      <w:r w:rsidR="007E0304" w:rsidRPr="001101B3">
        <w:rPr>
          <w:sz w:val="28"/>
          <w:szCs w:val="28"/>
        </w:rPr>
        <w:t>im is to deter others from committing certain crimes</w:t>
      </w:r>
      <w:r w:rsidRPr="001101B3">
        <w:rPr>
          <w:sz w:val="28"/>
          <w:szCs w:val="28"/>
        </w:rPr>
        <w:t xml:space="preserve"> through</w:t>
      </w:r>
      <w:r w:rsidR="007E0304" w:rsidRPr="001101B3">
        <w:rPr>
          <w:sz w:val="28"/>
          <w:szCs w:val="28"/>
        </w:rPr>
        <w:t xml:space="preserve">: </w:t>
      </w:r>
    </w:p>
    <w:p w14:paraId="1DF7FED2" w14:textId="77777777" w:rsidR="007E0304" w:rsidRPr="001101B3" w:rsidRDefault="007E0304" w:rsidP="007E0304">
      <w:pPr>
        <w:numPr>
          <w:ilvl w:val="1"/>
          <w:numId w:val="3"/>
        </w:numPr>
        <w:rPr>
          <w:sz w:val="28"/>
          <w:szCs w:val="28"/>
        </w:rPr>
      </w:pPr>
      <w:r w:rsidRPr="001101B3">
        <w:rPr>
          <w:sz w:val="28"/>
          <w:szCs w:val="28"/>
        </w:rPr>
        <w:t>Specific deterrence</w:t>
      </w:r>
    </w:p>
    <w:p w14:paraId="4DF78206" w14:textId="77777777" w:rsidR="007E0304" w:rsidRPr="001101B3" w:rsidRDefault="007E0304" w:rsidP="007E0304">
      <w:pPr>
        <w:numPr>
          <w:ilvl w:val="1"/>
          <w:numId w:val="3"/>
        </w:numPr>
        <w:rPr>
          <w:sz w:val="28"/>
          <w:szCs w:val="28"/>
        </w:rPr>
      </w:pPr>
      <w:r w:rsidRPr="001101B3">
        <w:rPr>
          <w:sz w:val="28"/>
          <w:szCs w:val="28"/>
        </w:rPr>
        <w:t>General deterrence.</w:t>
      </w:r>
    </w:p>
    <w:p w14:paraId="2E3493CF" w14:textId="77777777" w:rsidR="00C111B8" w:rsidRPr="001101B3" w:rsidRDefault="00C111B8" w:rsidP="006C4CFC">
      <w:pPr>
        <w:rPr>
          <w:sz w:val="28"/>
          <w:szCs w:val="28"/>
        </w:rPr>
      </w:pPr>
    </w:p>
    <w:p w14:paraId="6B065609" w14:textId="3DEFEFDC" w:rsidR="007E0304" w:rsidRPr="001101B3" w:rsidRDefault="00C73002" w:rsidP="007E0304">
      <w:pPr>
        <w:rPr>
          <w:b/>
          <w:sz w:val="28"/>
          <w:szCs w:val="28"/>
        </w:rPr>
      </w:pPr>
      <w:r w:rsidRPr="001101B3">
        <w:rPr>
          <w:b/>
          <w:sz w:val="28"/>
          <w:szCs w:val="28"/>
        </w:rPr>
        <w:t>9</w:t>
      </w:r>
      <w:r w:rsidR="007E0304" w:rsidRPr="001101B3">
        <w:rPr>
          <w:b/>
          <w:sz w:val="28"/>
          <w:szCs w:val="28"/>
        </w:rPr>
        <w:t>.3.1 Specific deterrence</w:t>
      </w:r>
    </w:p>
    <w:p w14:paraId="6D1F906D" w14:textId="77777777" w:rsidR="009D3DAA" w:rsidRPr="001101B3" w:rsidRDefault="009D3DAA" w:rsidP="007E0304">
      <w:pPr>
        <w:rPr>
          <w:b/>
          <w:sz w:val="28"/>
          <w:szCs w:val="28"/>
        </w:rPr>
      </w:pPr>
    </w:p>
    <w:p w14:paraId="6EF49ADC" w14:textId="77777777" w:rsidR="009D3DAA" w:rsidRPr="001101B3" w:rsidRDefault="009D3DAA" w:rsidP="009D3DAA">
      <w:pPr>
        <w:rPr>
          <w:sz w:val="28"/>
          <w:szCs w:val="28"/>
        </w:rPr>
      </w:pPr>
      <w:r w:rsidRPr="001101B3">
        <w:rPr>
          <w:sz w:val="28"/>
          <w:szCs w:val="28"/>
        </w:rPr>
        <w:t>Key points are:</w:t>
      </w:r>
    </w:p>
    <w:p w14:paraId="38E5CE1A" w14:textId="77777777" w:rsidR="00367CC4" w:rsidRPr="001101B3" w:rsidRDefault="00367CC4" w:rsidP="007E0304">
      <w:pPr>
        <w:rPr>
          <w:b/>
          <w:sz w:val="28"/>
          <w:szCs w:val="28"/>
        </w:rPr>
      </w:pPr>
    </w:p>
    <w:p w14:paraId="63208FBD" w14:textId="77777777" w:rsidR="007E0304" w:rsidRPr="001101B3" w:rsidRDefault="007E0304" w:rsidP="007E0304">
      <w:pPr>
        <w:numPr>
          <w:ilvl w:val="0"/>
          <w:numId w:val="3"/>
        </w:numPr>
        <w:rPr>
          <w:sz w:val="28"/>
          <w:szCs w:val="28"/>
        </w:rPr>
      </w:pPr>
      <w:r w:rsidRPr="001101B3">
        <w:rPr>
          <w:sz w:val="28"/>
          <w:szCs w:val="28"/>
        </w:rPr>
        <w:t>Repeat offenders may need harsh punishment so they get the message to stop committing crimes</w:t>
      </w:r>
    </w:p>
    <w:p w14:paraId="73372CC2" w14:textId="080BEB2D" w:rsidR="007E0304" w:rsidRPr="001101B3" w:rsidRDefault="007E0304" w:rsidP="007E0304">
      <w:pPr>
        <w:numPr>
          <w:ilvl w:val="0"/>
          <w:numId w:val="3"/>
        </w:numPr>
        <w:rPr>
          <w:sz w:val="28"/>
          <w:szCs w:val="28"/>
        </w:rPr>
      </w:pPr>
      <w:r w:rsidRPr="001101B3">
        <w:rPr>
          <w:sz w:val="28"/>
          <w:szCs w:val="28"/>
        </w:rPr>
        <w:t xml:space="preserve"> First time offenders</w:t>
      </w:r>
      <w:r w:rsidR="00E33EED" w:rsidRPr="001101B3">
        <w:rPr>
          <w:sz w:val="28"/>
          <w:szCs w:val="28"/>
        </w:rPr>
        <w:t>,</w:t>
      </w:r>
      <w:r w:rsidRPr="001101B3">
        <w:rPr>
          <w:sz w:val="28"/>
          <w:szCs w:val="28"/>
        </w:rPr>
        <w:t xml:space="preserve"> less so.</w:t>
      </w:r>
    </w:p>
    <w:p w14:paraId="26BD0C48" w14:textId="77777777" w:rsidR="008B16EE" w:rsidRPr="001101B3" w:rsidRDefault="008B16EE" w:rsidP="007E0304">
      <w:pPr>
        <w:rPr>
          <w:sz w:val="28"/>
          <w:szCs w:val="28"/>
        </w:rPr>
      </w:pPr>
    </w:p>
    <w:p w14:paraId="3D8CFF19" w14:textId="38D1994C" w:rsidR="007E0304" w:rsidRPr="001101B3" w:rsidRDefault="00C73002" w:rsidP="007E0304">
      <w:pPr>
        <w:rPr>
          <w:b/>
          <w:sz w:val="28"/>
          <w:szCs w:val="28"/>
        </w:rPr>
      </w:pPr>
      <w:r w:rsidRPr="001101B3">
        <w:rPr>
          <w:b/>
          <w:sz w:val="28"/>
          <w:szCs w:val="28"/>
        </w:rPr>
        <w:t>9</w:t>
      </w:r>
      <w:r w:rsidR="007E0304" w:rsidRPr="001101B3">
        <w:rPr>
          <w:b/>
          <w:sz w:val="28"/>
          <w:szCs w:val="28"/>
        </w:rPr>
        <w:t>.3.2 Analysis of specific deterrence</w:t>
      </w:r>
    </w:p>
    <w:p w14:paraId="65232CDC" w14:textId="77777777" w:rsidR="007E0304" w:rsidRPr="001101B3" w:rsidRDefault="007E0304" w:rsidP="007E0304">
      <w:pPr>
        <w:ind w:left="480"/>
        <w:rPr>
          <w:sz w:val="28"/>
          <w:szCs w:val="28"/>
        </w:rPr>
      </w:pPr>
    </w:p>
    <w:p w14:paraId="117CD867" w14:textId="77777777" w:rsidR="007E0304" w:rsidRPr="001101B3" w:rsidRDefault="007E0304" w:rsidP="007E0304">
      <w:pPr>
        <w:rPr>
          <w:sz w:val="28"/>
          <w:szCs w:val="28"/>
        </w:rPr>
      </w:pPr>
      <w:r w:rsidRPr="001101B3">
        <w:rPr>
          <w:sz w:val="28"/>
          <w:szCs w:val="28"/>
        </w:rPr>
        <w:t>The classic phrase used to advance the efficacy of the use of specific deterrents is the “the short, sharp clang of the prison gates”. The reasoning here is that if someone experiences an unpleasant sensation then they will be deterred from re-offending. This is consistent with the theories of the behavioral psychologist, BF Skinner.</w:t>
      </w:r>
    </w:p>
    <w:p w14:paraId="7D86B125" w14:textId="77777777" w:rsidR="007E0304" w:rsidRPr="001101B3" w:rsidRDefault="007E0304" w:rsidP="007E0304">
      <w:pPr>
        <w:rPr>
          <w:sz w:val="28"/>
          <w:szCs w:val="28"/>
        </w:rPr>
      </w:pPr>
    </w:p>
    <w:p w14:paraId="3346CE74" w14:textId="77777777" w:rsidR="007E0304" w:rsidRPr="001101B3" w:rsidRDefault="007E0304" w:rsidP="007E0304">
      <w:pPr>
        <w:rPr>
          <w:sz w:val="28"/>
          <w:szCs w:val="28"/>
        </w:rPr>
      </w:pPr>
      <w:r w:rsidRPr="001101B3">
        <w:rPr>
          <w:sz w:val="28"/>
          <w:szCs w:val="28"/>
        </w:rPr>
        <w:t>Much of course depends on factors such as:</w:t>
      </w:r>
    </w:p>
    <w:p w14:paraId="3E6B1547" w14:textId="765B878F" w:rsidR="007E0304" w:rsidRPr="001101B3" w:rsidRDefault="007E0304" w:rsidP="007E0304">
      <w:pPr>
        <w:pStyle w:val="ListParagraph"/>
        <w:numPr>
          <w:ilvl w:val="0"/>
          <w:numId w:val="4"/>
        </w:numPr>
        <w:rPr>
          <w:sz w:val="28"/>
          <w:szCs w:val="28"/>
        </w:rPr>
      </w:pPr>
      <w:r w:rsidRPr="001101B3">
        <w:rPr>
          <w:sz w:val="28"/>
          <w:szCs w:val="28"/>
        </w:rPr>
        <w:t>The support system of the offender</w:t>
      </w:r>
    </w:p>
    <w:p w14:paraId="2D1C162B" w14:textId="306C6C7D" w:rsidR="007E0304" w:rsidRPr="001101B3" w:rsidRDefault="007E0304" w:rsidP="007E0304">
      <w:pPr>
        <w:pStyle w:val="ListParagraph"/>
        <w:numPr>
          <w:ilvl w:val="0"/>
          <w:numId w:val="4"/>
        </w:numPr>
        <w:rPr>
          <w:sz w:val="28"/>
          <w:szCs w:val="28"/>
        </w:rPr>
      </w:pPr>
      <w:r w:rsidRPr="001101B3">
        <w:rPr>
          <w:sz w:val="28"/>
          <w:szCs w:val="28"/>
        </w:rPr>
        <w:t xml:space="preserve">The negative effects of </w:t>
      </w:r>
      <w:r w:rsidR="00E73EC9" w:rsidRPr="001101B3">
        <w:rPr>
          <w:sz w:val="28"/>
          <w:szCs w:val="28"/>
        </w:rPr>
        <w:t>label</w:t>
      </w:r>
      <w:r w:rsidR="00E2730F" w:rsidRPr="001101B3">
        <w:rPr>
          <w:sz w:val="28"/>
          <w:szCs w:val="28"/>
        </w:rPr>
        <w:t>l</w:t>
      </w:r>
      <w:r w:rsidR="00E73EC9" w:rsidRPr="001101B3">
        <w:rPr>
          <w:sz w:val="28"/>
          <w:szCs w:val="28"/>
        </w:rPr>
        <w:t>ing</w:t>
      </w:r>
    </w:p>
    <w:p w14:paraId="298B2D24" w14:textId="4A8AD4D8" w:rsidR="007E0304" w:rsidRPr="001101B3" w:rsidRDefault="007E0304" w:rsidP="007E0304">
      <w:pPr>
        <w:pStyle w:val="ListParagraph"/>
        <w:numPr>
          <w:ilvl w:val="0"/>
          <w:numId w:val="4"/>
        </w:numPr>
        <w:rPr>
          <w:sz w:val="28"/>
          <w:szCs w:val="28"/>
        </w:rPr>
      </w:pPr>
      <w:r w:rsidRPr="001101B3">
        <w:rPr>
          <w:sz w:val="28"/>
          <w:szCs w:val="28"/>
        </w:rPr>
        <w:t xml:space="preserve">The possibility </w:t>
      </w:r>
      <w:r w:rsidR="00CD7C45" w:rsidRPr="001101B3">
        <w:rPr>
          <w:sz w:val="28"/>
          <w:szCs w:val="28"/>
        </w:rPr>
        <w:t xml:space="preserve">that </w:t>
      </w:r>
      <w:r w:rsidRPr="001101B3">
        <w:rPr>
          <w:sz w:val="28"/>
          <w:szCs w:val="28"/>
        </w:rPr>
        <w:t xml:space="preserve">the offender may learn criminal </w:t>
      </w:r>
      <w:proofErr w:type="spellStart"/>
      <w:r w:rsidRPr="001101B3">
        <w:rPr>
          <w:sz w:val="28"/>
          <w:szCs w:val="28"/>
        </w:rPr>
        <w:t>behavio</w:t>
      </w:r>
      <w:r w:rsidR="00E73EC9" w:rsidRPr="001101B3">
        <w:rPr>
          <w:sz w:val="28"/>
          <w:szCs w:val="28"/>
        </w:rPr>
        <w:t>u</w:t>
      </w:r>
      <w:r w:rsidRPr="001101B3">
        <w:rPr>
          <w:sz w:val="28"/>
          <w:szCs w:val="28"/>
        </w:rPr>
        <w:t>r</w:t>
      </w:r>
      <w:proofErr w:type="spellEnd"/>
      <w:r w:rsidRPr="001101B3">
        <w:rPr>
          <w:sz w:val="28"/>
          <w:szCs w:val="28"/>
        </w:rPr>
        <w:t xml:space="preserve"> while incarcerated</w:t>
      </w:r>
    </w:p>
    <w:p w14:paraId="5B4F766C" w14:textId="77777777" w:rsidR="007E0304" w:rsidRPr="001101B3" w:rsidRDefault="007E0304" w:rsidP="007E0304">
      <w:pPr>
        <w:pStyle w:val="ListParagraph"/>
        <w:numPr>
          <w:ilvl w:val="0"/>
          <w:numId w:val="4"/>
        </w:numPr>
        <w:rPr>
          <w:sz w:val="28"/>
          <w:szCs w:val="28"/>
        </w:rPr>
      </w:pPr>
      <w:r w:rsidRPr="001101B3">
        <w:rPr>
          <w:sz w:val="28"/>
          <w:szCs w:val="28"/>
        </w:rPr>
        <w:t>The effect that imprisonment may have on the offender’s ability to reintegrate back into society.</w:t>
      </w:r>
    </w:p>
    <w:p w14:paraId="127EFDDB" w14:textId="77777777" w:rsidR="007E0304" w:rsidRPr="001101B3" w:rsidRDefault="007E0304" w:rsidP="007E0304">
      <w:pPr>
        <w:pStyle w:val="ListParagraph"/>
        <w:ind w:left="1200"/>
        <w:rPr>
          <w:sz w:val="28"/>
          <w:szCs w:val="28"/>
        </w:rPr>
      </w:pPr>
    </w:p>
    <w:p w14:paraId="2CDD6E43" w14:textId="5BF2D24C" w:rsidR="007E0304" w:rsidRPr="001101B3" w:rsidRDefault="00C73002" w:rsidP="007E0304">
      <w:pPr>
        <w:rPr>
          <w:b/>
          <w:sz w:val="28"/>
          <w:szCs w:val="28"/>
        </w:rPr>
      </w:pPr>
      <w:r w:rsidRPr="001101B3">
        <w:rPr>
          <w:b/>
          <w:sz w:val="28"/>
          <w:szCs w:val="28"/>
        </w:rPr>
        <w:t>9</w:t>
      </w:r>
      <w:r w:rsidR="007E0304" w:rsidRPr="001101B3">
        <w:rPr>
          <w:b/>
          <w:sz w:val="28"/>
          <w:szCs w:val="28"/>
        </w:rPr>
        <w:t>.3.3 General deterrence</w:t>
      </w:r>
    </w:p>
    <w:p w14:paraId="45DBC08E" w14:textId="77777777" w:rsidR="00684CD2" w:rsidRPr="001101B3" w:rsidRDefault="00684CD2" w:rsidP="007E0304">
      <w:pPr>
        <w:rPr>
          <w:sz w:val="28"/>
          <w:szCs w:val="28"/>
        </w:rPr>
      </w:pPr>
    </w:p>
    <w:p w14:paraId="1A76D49D" w14:textId="0B0E9CA1" w:rsidR="007E0304" w:rsidRPr="001101B3" w:rsidRDefault="007E0304" w:rsidP="009E7112">
      <w:pPr>
        <w:jc w:val="both"/>
        <w:rPr>
          <w:sz w:val="28"/>
          <w:szCs w:val="28"/>
        </w:rPr>
      </w:pPr>
      <w:r w:rsidRPr="001101B3">
        <w:rPr>
          <w:sz w:val="28"/>
          <w:szCs w:val="28"/>
        </w:rPr>
        <w:t xml:space="preserve">On this basis, a harsher punishment than that merited by the ‘just deserts’ approach can be justified if it prevents people </w:t>
      </w:r>
      <w:r w:rsidR="00E73EC9" w:rsidRPr="001101B3">
        <w:rPr>
          <w:sz w:val="28"/>
          <w:szCs w:val="28"/>
        </w:rPr>
        <w:t xml:space="preserve">from </w:t>
      </w:r>
      <w:r w:rsidRPr="001101B3">
        <w:rPr>
          <w:sz w:val="28"/>
          <w:szCs w:val="28"/>
        </w:rPr>
        <w:t xml:space="preserve">engaging in undesirable </w:t>
      </w:r>
      <w:proofErr w:type="spellStart"/>
      <w:r w:rsidRPr="001101B3">
        <w:rPr>
          <w:sz w:val="28"/>
          <w:szCs w:val="28"/>
        </w:rPr>
        <w:t>behaviour</w:t>
      </w:r>
      <w:proofErr w:type="spellEnd"/>
      <w:r w:rsidRPr="001101B3">
        <w:rPr>
          <w:sz w:val="28"/>
          <w:szCs w:val="28"/>
        </w:rPr>
        <w:t>. An example might be unusually heavy fines for littering offences.</w:t>
      </w:r>
    </w:p>
    <w:p w14:paraId="5BC75A62" w14:textId="77777777" w:rsidR="00684CD2" w:rsidRPr="001101B3" w:rsidRDefault="00684CD2" w:rsidP="007E0304">
      <w:pPr>
        <w:rPr>
          <w:b/>
          <w:sz w:val="28"/>
          <w:szCs w:val="28"/>
        </w:rPr>
      </w:pPr>
    </w:p>
    <w:p w14:paraId="09E34928" w14:textId="0D7A97B6" w:rsidR="007E0304" w:rsidRPr="001101B3" w:rsidRDefault="00C73002" w:rsidP="007E0304">
      <w:pPr>
        <w:rPr>
          <w:b/>
          <w:sz w:val="28"/>
          <w:szCs w:val="28"/>
        </w:rPr>
      </w:pPr>
      <w:r w:rsidRPr="001101B3">
        <w:rPr>
          <w:b/>
          <w:sz w:val="28"/>
          <w:szCs w:val="28"/>
        </w:rPr>
        <w:t>9</w:t>
      </w:r>
      <w:r w:rsidR="007E0304" w:rsidRPr="001101B3">
        <w:rPr>
          <w:b/>
          <w:sz w:val="28"/>
          <w:szCs w:val="28"/>
        </w:rPr>
        <w:t xml:space="preserve">.3.4 Analysis of the general deterrence </w:t>
      </w:r>
      <w:r w:rsidR="003209EE" w:rsidRPr="001101B3">
        <w:rPr>
          <w:b/>
          <w:sz w:val="28"/>
          <w:szCs w:val="28"/>
        </w:rPr>
        <w:t>principle</w:t>
      </w:r>
    </w:p>
    <w:p w14:paraId="6F7A380E" w14:textId="77777777" w:rsidR="00684CD2" w:rsidRPr="001101B3" w:rsidRDefault="00684CD2" w:rsidP="007E0304">
      <w:pPr>
        <w:rPr>
          <w:sz w:val="28"/>
          <w:szCs w:val="28"/>
        </w:rPr>
      </w:pPr>
    </w:p>
    <w:p w14:paraId="1B5C417B" w14:textId="1B793BBF" w:rsidR="007E0304" w:rsidRPr="001101B3" w:rsidRDefault="007E0304" w:rsidP="009E7112">
      <w:pPr>
        <w:jc w:val="both"/>
        <w:rPr>
          <w:sz w:val="28"/>
          <w:szCs w:val="28"/>
        </w:rPr>
      </w:pPr>
      <w:r w:rsidRPr="001101B3">
        <w:rPr>
          <w:sz w:val="28"/>
          <w:szCs w:val="28"/>
        </w:rPr>
        <w:t>It is generally thought that this kind of sentencing works well to deter certain offences like littering</w:t>
      </w:r>
      <w:r w:rsidR="008B16EE" w:rsidRPr="001101B3">
        <w:rPr>
          <w:sz w:val="28"/>
          <w:szCs w:val="28"/>
        </w:rPr>
        <w:t>,</w:t>
      </w:r>
      <w:r w:rsidRPr="001101B3">
        <w:rPr>
          <w:sz w:val="28"/>
          <w:szCs w:val="28"/>
        </w:rPr>
        <w:t xml:space="preserve"> versus murder</w:t>
      </w:r>
      <w:r w:rsidR="00CD7C45" w:rsidRPr="001101B3">
        <w:rPr>
          <w:sz w:val="28"/>
          <w:szCs w:val="28"/>
        </w:rPr>
        <w:t>,</w:t>
      </w:r>
      <w:r w:rsidRPr="001101B3">
        <w:rPr>
          <w:sz w:val="28"/>
          <w:szCs w:val="28"/>
        </w:rPr>
        <w:t xml:space="preserve"> which involve</w:t>
      </w:r>
      <w:r w:rsidR="00CD7C45" w:rsidRPr="001101B3">
        <w:rPr>
          <w:sz w:val="28"/>
          <w:szCs w:val="28"/>
        </w:rPr>
        <w:t>s</w:t>
      </w:r>
      <w:r w:rsidRPr="001101B3">
        <w:rPr>
          <w:sz w:val="28"/>
          <w:szCs w:val="28"/>
        </w:rPr>
        <w:t xml:space="preserve"> ‘crimes of passion’. In general</w:t>
      </w:r>
      <w:r w:rsidR="009D3DAA" w:rsidRPr="001101B3">
        <w:rPr>
          <w:sz w:val="28"/>
          <w:szCs w:val="28"/>
        </w:rPr>
        <w:t>,</w:t>
      </w:r>
      <w:r w:rsidRPr="001101B3">
        <w:rPr>
          <w:sz w:val="28"/>
          <w:szCs w:val="28"/>
        </w:rPr>
        <w:t xml:space="preserve"> there is</w:t>
      </w:r>
      <w:r w:rsidR="009D3DAA" w:rsidRPr="001101B3">
        <w:rPr>
          <w:sz w:val="28"/>
          <w:szCs w:val="28"/>
        </w:rPr>
        <w:t xml:space="preserve"> </w:t>
      </w:r>
      <w:r w:rsidRPr="001101B3">
        <w:rPr>
          <w:sz w:val="28"/>
          <w:szCs w:val="28"/>
        </w:rPr>
        <w:t>much greater evidence of a link between</w:t>
      </w:r>
      <w:r w:rsidR="009D3DAA" w:rsidRPr="001101B3">
        <w:rPr>
          <w:sz w:val="28"/>
          <w:szCs w:val="28"/>
        </w:rPr>
        <w:t xml:space="preserve"> the</w:t>
      </w:r>
      <w:r w:rsidRPr="001101B3">
        <w:rPr>
          <w:sz w:val="28"/>
          <w:szCs w:val="28"/>
        </w:rPr>
        <w:t xml:space="preserve"> </w:t>
      </w:r>
      <w:r w:rsidR="00630F40" w:rsidRPr="001101B3">
        <w:rPr>
          <w:sz w:val="28"/>
          <w:szCs w:val="28"/>
        </w:rPr>
        <w:t>likelihood</w:t>
      </w:r>
      <w:r w:rsidRPr="001101B3">
        <w:rPr>
          <w:sz w:val="28"/>
          <w:szCs w:val="28"/>
        </w:rPr>
        <w:t xml:space="preserve"> of punishment and deterrence</w:t>
      </w:r>
      <w:r w:rsidR="00630F40" w:rsidRPr="001101B3">
        <w:rPr>
          <w:sz w:val="28"/>
          <w:szCs w:val="28"/>
        </w:rPr>
        <w:t>,</w:t>
      </w:r>
      <w:r w:rsidRPr="001101B3">
        <w:rPr>
          <w:sz w:val="28"/>
          <w:szCs w:val="28"/>
        </w:rPr>
        <w:t xml:space="preserve"> rather than between severity of sentences and crime rates.</w:t>
      </w:r>
      <w:r w:rsidRPr="001101B3">
        <w:rPr>
          <w:rStyle w:val="FootnoteReference"/>
          <w:sz w:val="28"/>
          <w:szCs w:val="28"/>
        </w:rPr>
        <w:footnoteReference w:id="9"/>
      </w:r>
      <w:r w:rsidRPr="001101B3">
        <w:rPr>
          <w:sz w:val="28"/>
          <w:szCs w:val="28"/>
        </w:rPr>
        <w:t xml:space="preserve"> </w:t>
      </w:r>
    </w:p>
    <w:p w14:paraId="0C0CF173" w14:textId="77777777" w:rsidR="008C3C1A" w:rsidRPr="001101B3" w:rsidRDefault="008C3C1A" w:rsidP="009E7112">
      <w:pPr>
        <w:jc w:val="both"/>
        <w:rPr>
          <w:sz w:val="28"/>
          <w:szCs w:val="28"/>
        </w:rPr>
      </w:pPr>
    </w:p>
    <w:p w14:paraId="1E643B90" w14:textId="79ED2513" w:rsidR="008C3C1A" w:rsidRPr="001101B3" w:rsidRDefault="008C3C1A" w:rsidP="009E7112">
      <w:pPr>
        <w:jc w:val="both"/>
        <w:rPr>
          <w:i/>
          <w:sz w:val="28"/>
          <w:szCs w:val="28"/>
        </w:rPr>
      </w:pPr>
      <w:r w:rsidRPr="001101B3">
        <w:rPr>
          <w:sz w:val="28"/>
          <w:szCs w:val="28"/>
        </w:rPr>
        <w:t xml:space="preserve">However, that is not to say that </w:t>
      </w:r>
      <w:r w:rsidR="00E2730F" w:rsidRPr="001101B3">
        <w:rPr>
          <w:sz w:val="28"/>
          <w:szCs w:val="28"/>
        </w:rPr>
        <w:t xml:space="preserve">sentences </w:t>
      </w:r>
      <w:r w:rsidRPr="001101B3">
        <w:rPr>
          <w:sz w:val="28"/>
          <w:szCs w:val="28"/>
        </w:rPr>
        <w:t>of general deterren</w:t>
      </w:r>
      <w:r w:rsidR="00E33EED" w:rsidRPr="001101B3">
        <w:rPr>
          <w:sz w:val="28"/>
          <w:szCs w:val="28"/>
        </w:rPr>
        <w:t>ce</w:t>
      </w:r>
      <w:r w:rsidRPr="001101B3">
        <w:rPr>
          <w:sz w:val="28"/>
          <w:szCs w:val="28"/>
        </w:rPr>
        <w:t xml:space="preserve"> are limited to offences of this nature. In </w:t>
      </w:r>
      <w:r w:rsidRPr="001101B3">
        <w:rPr>
          <w:i/>
          <w:sz w:val="28"/>
          <w:szCs w:val="28"/>
        </w:rPr>
        <w:t>HKSAR</w:t>
      </w:r>
      <w:r w:rsidRPr="001101B3">
        <w:rPr>
          <w:sz w:val="28"/>
          <w:szCs w:val="28"/>
        </w:rPr>
        <w:t xml:space="preserve"> v </w:t>
      </w:r>
      <w:r w:rsidRPr="001101B3">
        <w:rPr>
          <w:i/>
          <w:sz w:val="28"/>
          <w:szCs w:val="28"/>
        </w:rPr>
        <w:t>Tang Ho Cho</w:t>
      </w:r>
      <w:r w:rsidRPr="001101B3">
        <w:rPr>
          <w:sz w:val="28"/>
          <w:szCs w:val="28"/>
        </w:rPr>
        <w:t>,</w:t>
      </w:r>
      <w:r w:rsidRPr="001101B3">
        <w:rPr>
          <w:rStyle w:val="FootnoteReference"/>
          <w:sz w:val="28"/>
          <w:szCs w:val="28"/>
        </w:rPr>
        <w:footnoteReference w:id="10"/>
      </w:r>
      <w:r w:rsidRPr="001101B3">
        <w:rPr>
          <w:sz w:val="28"/>
          <w:szCs w:val="28"/>
        </w:rPr>
        <w:t xml:space="preserve"> the defendant ultimately plead guilty to unlawfully and maliciously wounding his live</w:t>
      </w:r>
      <w:r w:rsidR="00C111B8" w:rsidRPr="001101B3">
        <w:rPr>
          <w:sz w:val="28"/>
          <w:szCs w:val="28"/>
        </w:rPr>
        <w:t>-</w:t>
      </w:r>
      <w:r w:rsidRPr="001101B3">
        <w:rPr>
          <w:sz w:val="28"/>
          <w:szCs w:val="28"/>
        </w:rPr>
        <w:t>in</w:t>
      </w:r>
      <w:r w:rsidR="00C111B8" w:rsidRPr="001101B3">
        <w:rPr>
          <w:sz w:val="28"/>
          <w:szCs w:val="28"/>
        </w:rPr>
        <w:t>-</w:t>
      </w:r>
      <w:r w:rsidRPr="001101B3">
        <w:rPr>
          <w:sz w:val="28"/>
          <w:szCs w:val="28"/>
        </w:rPr>
        <w:t>girlfriend pursuant to</w:t>
      </w:r>
      <w:r w:rsidR="0043020D" w:rsidRPr="001101B3">
        <w:rPr>
          <w:sz w:val="28"/>
          <w:szCs w:val="28"/>
        </w:rPr>
        <w:t xml:space="preserve"> the </w:t>
      </w:r>
      <w:r w:rsidR="0043020D" w:rsidRPr="001101B3">
        <w:rPr>
          <w:sz w:val="28"/>
          <w:szCs w:val="28"/>
        </w:rPr>
        <w:lastRenderedPageBreak/>
        <w:t>lesser offence of</w:t>
      </w:r>
      <w:r w:rsidRPr="001101B3">
        <w:rPr>
          <w:sz w:val="28"/>
          <w:szCs w:val="28"/>
        </w:rPr>
        <w:t xml:space="preserve"> s.19 OAPO</w:t>
      </w:r>
      <w:r w:rsidR="000E0D7F" w:rsidRPr="001101B3">
        <w:rPr>
          <w:sz w:val="28"/>
          <w:szCs w:val="28"/>
        </w:rPr>
        <w:t>,</w:t>
      </w:r>
      <w:r w:rsidR="0043020D" w:rsidRPr="001101B3">
        <w:rPr>
          <w:rStyle w:val="FootnoteReference"/>
          <w:sz w:val="28"/>
          <w:szCs w:val="28"/>
        </w:rPr>
        <w:footnoteReference w:id="11"/>
      </w:r>
      <w:r w:rsidRPr="001101B3">
        <w:rPr>
          <w:sz w:val="28"/>
          <w:szCs w:val="28"/>
        </w:rPr>
        <w:t xml:space="preserve"> after earlier being charged with intent to cause grievous bodily harm pursuant to s.17 OAPO</w:t>
      </w:r>
      <w:r w:rsidR="00630F40" w:rsidRPr="001101B3">
        <w:rPr>
          <w:sz w:val="28"/>
          <w:szCs w:val="28"/>
        </w:rPr>
        <w:t>.</w:t>
      </w:r>
      <w:r w:rsidRPr="001101B3">
        <w:rPr>
          <w:sz w:val="28"/>
          <w:szCs w:val="28"/>
        </w:rPr>
        <w:t xml:space="preserve"> </w:t>
      </w:r>
      <w:r w:rsidR="00630F40" w:rsidRPr="001101B3">
        <w:rPr>
          <w:sz w:val="28"/>
          <w:szCs w:val="28"/>
        </w:rPr>
        <w:t>L</w:t>
      </w:r>
      <w:r w:rsidRPr="001101B3">
        <w:rPr>
          <w:sz w:val="28"/>
          <w:szCs w:val="28"/>
        </w:rPr>
        <w:t>ogically</w:t>
      </w:r>
      <w:r w:rsidR="001101B3">
        <w:rPr>
          <w:sz w:val="28"/>
          <w:szCs w:val="28"/>
        </w:rPr>
        <w:t xml:space="preserve">, </w:t>
      </w:r>
      <w:r w:rsidRPr="001101B3">
        <w:rPr>
          <w:sz w:val="28"/>
          <w:szCs w:val="28"/>
        </w:rPr>
        <w:t>the following principles concerning deterrent sentences probably apply to both offences.</w:t>
      </w:r>
      <w:r w:rsidR="007B4661" w:rsidRPr="001101B3">
        <w:rPr>
          <w:sz w:val="28"/>
          <w:szCs w:val="28"/>
        </w:rPr>
        <w:t xml:space="preserve"> In this case, the defendant suffered from schizophrenia</w:t>
      </w:r>
      <w:r w:rsidR="00D119A6">
        <w:rPr>
          <w:sz w:val="28"/>
          <w:szCs w:val="28"/>
        </w:rPr>
        <w:t>,</w:t>
      </w:r>
      <w:r w:rsidR="007B4661" w:rsidRPr="001101B3">
        <w:rPr>
          <w:sz w:val="28"/>
          <w:szCs w:val="28"/>
        </w:rPr>
        <w:t xml:space="preserve"> although this was caused by drug abuse. The defendant attacked and struck his girlfriend with his chopper during a psychotic state that was caused by his imbibing of drugs. As his state of mind was </w:t>
      </w:r>
      <w:r w:rsidR="00F00F64" w:rsidRPr="001101B3">
        <w:rPr>
          <w:sz w:val="28"/>
          <w:szCs w:val="28"/>
        </w:rPr>
        <w:t>self-induced,</w:t>
      </w:r>
      <w:r w:rsidR="007B4661" w:rsidRPr="001101B3">
        <w:rPr>
          <w:sz w:val="28"/>
          <w:szCs w:val="28"/>
        </w:rPr>
        <w:t xml:space="preserve"> this did not negative the </w:t>
      </w:r>
      <w:proofErr w:type="spellStart"/>
      <w:r w:rsidR="007B4661" w:rsidRPr="001101B3">
        <w:rPr>
          <w:sz w:val="28"/>
          <w:szCs w:val="28"/>
        </w:rPr>
        <w:t>mens</w:t>
      </w:r>
      <w:proofErr w:type="spellEnd"/>
      <w:r w:rsidR="007B4661" w:rsidRPr="001101B3">
        <w:rPr>
          <w:sz w:val="28"/>
          <w:szCs w:val="28"/>
        </w:rPr>
        <w:t xml:space="preserve"> rea of the offence.</w:t>
      </w:r>
      <w:r w:rsidRPr="001101B3">
        <w:rPr>
          <w:sz w:val="28"/>
          <w:szCs w:val="28"/>
        </w:rPr>
        <w:t xml:space="preserve"> </w:t>
      </w:r>
      <w:proofErr w:type="spellStart"/>
      <w:r w:rsidR="000D5AAD" w:rsidRPr="001101B3">
        <w:rPr>
          <w:sz w:val="28"/>
          <w:szCs w:val="28"/>
        </w:rPr>
        <w:t>Dufton</w:t>
      </w:r>
      <w:proofErr w:type="spellEnd"/>
      <w:r w:rsidR="000D5AAD" w:rsidRPr="001101B3">
        <w:rPr>
          <w:sz w:val="28"/>
          <w:szCs w:val="28"/>
        </w:rPr>
        <w:t xml:space="preserve"> J </w:t>
      </w:r>
      <w:r w:rsidRPr="001101B3">
        <w:rPr>
          <w:sz w:val="28"/>
          <w:szCs w:val="28"/>
        </w:rPr>
        <w:t xml:space="preserve">stated </w:t>
      </w:r>
      <w:r w:rsidR="007B4661" w:rsidRPr="001101B3">
        <w:rPr>
          <w:sz w:val="28"/>
          <w:szCs w:val="28"/>
        </w:rPr>
        <w:t xml:space="preserve">at [14], </w:t>
      </w:r>
      <w:r w:rsidR="007B4661" w:rsidRPr="001101B3">
        <w:rPr>
          <w:i/>
          <w:sz w:val="28"/>
          <w:szCs w:val="28"/>
        </w:rPr>
        <w:t>The courts take a serious view of domestic violence. Offences of domestic violence cannot be tolerated and are strongly to be deprecated for which deterrent sentences are appropriate. Deterrent sentences are required not only to deter the individual but also to deter those persons like-minded to use violence to resolve domestic disputes</w:t>
      </w:r>
      <w:r w:rsidR="0027349E" w:rsidRPr="001101B3">
        <w:rPr>
          <w:i/>
          <w:sz w:val="28"/>
          <w:szCs w:val="28"/>
        </w:rPr>
        <w:t>.</w:t>
      </w:r>
      <w:r w:rsidR="007B4661" w:rsidRPr="001101B3">
        <w:rPr>
          <w:i/>
          <w:sz w:val="28"/>
          <w:szCs w:val="28"/>
        </w:rPr>
        <w:t xml:space="preserve"> (</w:t>
      </w:r>
      <w:r w:rsidR="00F00F64" w:rsidRPr="001101B3">
        <w:rPr>
          <w:i/>
          <w:sz w:val="28"/>
          <w:szCs w:val="28"/>
        </w:rPr>
        <w:t>See</w:t>
      </w:r>
      <w:r w:rsidR="007B4661" w:rsidRPr="001101B3">
        <w:rPr>
          <w:i/>
          <w:sz w:val="28"/>
          <w:szCs w:val="28"/>
        </w:rPr>
        <w:t xml:space="preserve"> for example </w:t>
      </w:r>
      <w:r w:rsidR="007B4661" w:rsidRPr="001101B3">
        <w:rPr>
          <w:i/>
          <w:iCs/>
          <w:sz w:val="28"/>
          <w:szCs w:val="28"/>
        </w:rPr>
        <w:t>HKSAR v Lee Kin Wah</w:t>
      </w:r>
      <w:r w:rsidR="007B4661" w:rsidRPr="001101B3">
        <w:rPr>
          <w:i/>
          <w:sz w:val="28"/>
          <w:szCs w:val="28"/>
        </w:rPr>
        <w:t xml:space="preserve"> HCMA 990/2009).</w:t>
      </w:r>
    </w:p>
    <w:p w14:paraId="5C8897E9" w14:textId="70472CEB" w:rsidR="0027349E" w:rsidRPr="001101B3" w:rsidRDefault="0027349E" w:rsidP="009E7112">
      <w:pPr>
        <w:jc w:val="both"/>
        <w:rPr>
          <w:sz w:val="28"/>
          <w:szCs w:val="28"/>
        </w:rPr>
      </w:pPr>
    </w:p>
    <w:p w14:paraId="75933239" w14:textId="620A2902" w:rsidR="0027349E" w:rsidRPr="001101B3" w:rsidRDefault="0027349E" w:rsidP="0027349E">
      <w:pPr>
        <w:jc w:val="both"/>
        <w:rPr>
          <w:i/>
          <w:sz w:val="28"/>
          <w:szCs w:val="28"/>
        </w:rPr>
      </w:pPr>
      <w:r w:rsidRPr="001101B3">
        <w:rPr>
          <w:sz w:val="28"/>
          <w:szCs w:val="28"/>
        </w:rPr>
        <w:t xml:space="preserve">Quoting further </w:t>
      </w:r>
      <w:bookmarkStart w:id="0" w:name="p15"/>
      <w:r w:rsidRPr="001101B3">
        <w:rPr>
          <w:sz w:val="28"/>
          <w:szCs w:val="28"/>
        </w:rPr>
        <w:t xml:space="preserve">from </w:t>
      </w:r>
      <w:proofErr w:type="spellStart"/>
      <w:r w:rsidRPr="001101B3">
        <w:rPr>
          <w:sz w:val="28"/>
          <w:szCs w:val="28"/>
        </w:rPr>
        <w:t>Dufton</w:t>
      </w:r>
      <w:proofErr w:type="spellEnd"/>
      <w:r w:rsidRPr="001101B3">
        <w:rPr>
          <w:sz w:val="28"/>
          <w:szCs w:val="28"/>
        </w:rPr>
        <w:t xml:space="preserve"> J at 15</w:t>
      </w:r>
      <w:bookmarkEnd w:id="0"/>
      <w:r w:rsidRPr="001101B3">
        <w:rPr>
          <w:sz w:val="28"/>
          <w:szCs w:val="28"/>
        </w:rPr>
        <w:t xml:space="preserve">: </w:t>
      </w:r>
      <w:r w:rsidRPr="001101B3">
        <w:rPr>
          <w:i/>
          <w:sz w:val="28"/>
          <w:szCs w:val="28"/>
        </w:rPr>
        <w:t>Madam Chan was admitted to hospital for 6 days having suffered lacerations to the left arm, left wrist and the left side of the back; and bruising to the left eye and the left side of the throat. The laceration to the left wrist was deep with the artery and nerve cut and multiple tendons cut. The laceration to the left arm was also deep with partial triceps muscle cut. These lacerations required emergency surgery for repair and suturing. Photographs showing the scars have been submitted to court. I am told Madam Chan has fully recovered from her injuries.</w:t>
      </w:r>
    </w:p>
    <w:p w14:paraId="4E2D3097" w14:textId="223AF8F3" w:rsidR="00F30A1E" w:rsidRPr="001101B3" w:rsidRDefault="00F30A1E" w:rsidP="009E7112">
      <w:pPr>
        <w:jc w:val="both"/>
        <w:rPr>
          <w:sz w:val="28"/>
          <w:szCs w:val="28"/>
        </w:rPr>
      </w:pPr>
    </w:p>
    <w:p w14:paraId="4B6D4FFA" w14:textId="28AAFB14" w:rsidR="00F30A1E" w:rsidRPr="001101B3" w:rsidRDefault="00F30A1E" w:rsidP="009E7112">
      <w:pPr>
        <w:jc w:val="both"/>
        <w:rPr>
          <w:sz w:val="28"/>
          <w:szCs w:val="28"/>
        </w:rPr>
      </w:pPr>
      <w:r w:rsidRPr="001101B3">
        <w:rPr>
          <w:sz w:val="28"/>
          <w:szCs w:val="28"/>
        </w:rPr>
        <w:t xml:space="preserve">The defendant received a sentence of one year </w:t>
      </w:r>
      <w:r w:rsidR="0027349E" w:rsidRPr="001101B3">
        <w:rPr>
          <w:sz w:val="28"/>
          <w:szCs w:val="28"/>
        </w:rPr>
        <w:t xml:space="preserve">and eight months (after the </w:t>
      </w:r>
      <w:r w:rsidR="00630F40" w:rsidRPr="001101B3">
        <w:rPr>
          <w:sz w:val="28"/>
          <w:szCs w:val="28"/>
        </w:rPr>
        <w:t>one-third</w:t>
      </w:r>
      <w:r w:rsidRPr="001101B3">
        <w:rPr>
          <w:sz w:val="28"/>
          <w:szCs w:val="28"/>
        </w:rPr>
        <w:t xml:space="preserve"> discount for pleading guilty) which was further reduced to one year and six months after </w:t>
      </w:r>
      <w:proofErr w:type="gramStart"/>
      <w:r w:rsidRPr="001101B3">
        <w:rPr>
          <w:sz w:val="28"/>
          <w:szCs w:val="28"/>
        </w:rPr>
        <w:t>taking into account</w:t>
      </w:r>
      <w:proofErr w:type="gramEnd"/>
      <w:r w:rsidRPr="001101B3">
        <w:rPr>
          <w:sz w:val="28"/>
          <w:szCs w:val="28"/>
        </w:rPr>
        <w:t xml:space="preserve"> the victim’s forgiveness of the defendant.</w:t>
      </w:r>
    </w:p>
    <w:p w14:paraId="2CDA028C" w14:textId="77777777" w:rsidR="009D3DAA" w:rsidRDefault="009D3DAA" w:rsidP="007E0304">
      <w:pPr>
        <w:rPr>
          <w:b/>
          <w:sz w:val="28"/>
          <w:szCs w:val="28"/>
        </w:rPr>
      </w:pPr>
    </w:p>
    <w:p w14:paraId="42A0899A" w14:textId="331ADC63" w:rsidR="007E0304" w:rsidRDefault="00C73002" w:rsidP="007E0304">
      <w:pPr>
        <w:rPr>
          <w:b/>
          <w:sz w:val="28"/>
          <w:szCs w:val="28"/>
        </w:rPr>
      </w:pPr>
      <w:r>
        <w:rPr>
          <w:b/>
          <w:sz w:val="28"/>
          <w:szCs w:val="28"/>
        </w:rPr>
        <w:t>9</w:t>
      </w:r>
      <w:r w:rsidR="007E0304">
        <w:rPr>
          <w:b/>
          <w:sz w:val="28"/>
          <w:szCs w:val="28"/>
        </w:rPr>
        <w:t>.4 Rehabilitation</w:t>
      </w:r>
      <w:r w:rsidR="003209EE">
        <w:rPr>
          <w:b/>
          <w:sz w:val="28"/>
          <w:szCs w:val="28"/>
        </w:rPr>
        <w:t xml:space="preserve"> principle</w:t>
      </w:r>
    </w:p>
    <w:p w14:paraId="23CBC37F" w14:textId="77777777" w:rsidR="009D3DAA" w:rsidRDefault="009D3DAA" w:rsidP="007E0304">
      <w:pPr>
        <w:rPr>
          <w:b/>
          <w:sz w:val="28"/>
          <w:szCs w:val="28"/>
        </w:rPr>
      </w:pPr>
    </w:p>
    <w:p w14:paraId="5B179DDA" w14:textId="77777777" w:rsidR="009D3DAA" w:rsidRPr="009D3DAA" w:rsidRDefault="009D3DAA" w:rsidP="007E0304">
      <w:pPr>
        <w:rPr>
          <w:sz w:val="28"/>
          <w:szCs w:val="28"/>
        </w:rPr>
      </w:pPr>
      <w:r>
        <w:rPr>
          <w:sz w:val="28"/>
          <w:szCs w:val="28"/>
        </w:rPr>
        <w:t>Key points</w:t>
      </w:r>
      <w:r w:rsidRPr="009D3DAA">
        <w:rPr>
          <w:sz w:val="28"/>
          <w:szCs w:val="28"/>
        </w:rPr>
        <w:t xml:space="preserve"> are:</w:t>
      </w:r>
    </w:p>
    <w:p w14:paraId="340F8F4F" w14:textId="77777777" w:rsidR="008B16EE" w:rsidRDefault="008B16EE" w:rsidP="007E0304">
      <w:pPr>
        <w:rPr>
          <w:b/>
          <w:sz w:val="28"/>
          <w:szCs w:val="28"/>
        </w:rPr>
      </w:pPr>
    </w:p>
    <w:p w14:paraId="53F99EBE" w14:textId="77777777" w:rsidR="007E0304" w:rsidRDefault="009D3DAA" w:rsidP="007E0304">
      <w:pPr>
        <w:numPr>
          <w:ilvl w:val="0"/>
          <w:numId w:val="5"/>
        </w:numPr>
        <w:rPr>
          <w:sz w:val="28"/>
          <w:szCs w:val="28"/>
        </w:rPr>
      </w:pPr>
      <w:r>
        <w:rPr>
          <w:sz w:val="28"/>
          <w:szCs w:val="28"/>
        </w:rPr>
        <w:t>The a</w:t>
      </w:r>
      <w:r w:rsidR="007E0304">
        <w:rPr>
          <w:sz w:val="28"/>
          <w:szCs w:val="28"/>
        </w:rPr>
        <w:t>im is to treat offenders in a way that will allow them to change</w:t>
      </w:r>
      <w:r w:rsidR="00816C09">
        <w:rPr>
          <w:sz w:val="28"/>
          <w:szCs w:val="28"/>
        </w:rPr>
        <w:t>.</w:t>
      </w:r>
    </w:p>
    <w:p w14:paraId="2A4BBF15" w14:textId="77777777" w:rsidR="007E0304" w:rsidRDefault="009D3DAA" w:rsidP="007E0304">
      <w:pPr>
        <w:numPr>
          <w:ilvl w:val="0"/>
          <w:numId w:val="5"/>
        </w:numPr>
        <w:rPr>
          <w:sz w:val="28"/>
          <w:szCs w:val="28"/>
        </w:rPr>
      </w:pPr>
      <w:r>
        <w:rPr>
          <w:sz w:val="28"/>
          <w:szCs w:val="28"/>
        </w:rPr>
        <w:t>The r</w:t>
      </w:r>
      <w:r w:rsidR="007E0304">
        <w:rPr>
          <w:sz w:val="28"/>
          <w:szCs w:val="28"/>
        </w:rPr>
        <w:t>ationale is that certain offenders can change</w:t>
      </w:r>
      <w:r w:rsidR="00816C09">
        <w:rPr>
          <w:sz w:val="28"/>
          <w:szCs w:val="28"/>
        </w:rPr>
        <w:t>.</w:t>
      </w:r>
    </w:p>
    <w:p w14:paraId="36EE5D39" w14:textId="77777777" w:rsidR="007E0304" w:rsidRDefault="007E0304" w:rsidP="007E0304">
      <w:pPr>
        <w:numPr>
          <w:ilvl w:val="0"/>
          <w:numId w:val="5"/>
        </w:numPr>
        <w:rPr>
          <w:sz w:val="28"/>
          <w:szCs w:val="28"/>
        </w:rPr>
      </w:pPr>
      <w:r>
        <w:rPr>
          <w:sz w:val="28"/>
          <w:szCs w:val="28"/>
        </w:rPr>
        <w:t>Examples of such sentencing would be seen in</w:t>
      </w:r>
      <w:r w:rsidR="00FD2AD6">
        <w:rPr>
          <w:sz w:val="28"/>
          <w:szCs w:val="28"/>
        </w:rPr>
        <w:t>:</w:t>
      </w:r>
    </w:p>
    <w:p w14:paraId="717B3051" w14:textId="77777777" w:rsidR="007E0304" w:rsidRDefault="007E0304" w:rsidP="007E0304">
      <w:pPr>
        <w:pStyle w:val="ListParagraph"/>
        <w:numPr>
          <w:ilvl w:val="0"/>
          <w:numId w:val="6"/>
        </w:numPr>
        <w:rPr>
          <w:sz w:val="28"/>
          <w:szCs w:val="28"/>
        </w:rPr>
      </w:pPr>
      <w:r>
        <w:rPr>
          <w:sz w:val="28"/>
          <w:szCs w:val="28"/>
        </w:rPr>
        <w:t>Suspended sentence</w:t>
      </w:r>
      <w:r w:rsidR="00FD2AD6">
        <w:rPr>
          <w:sz w:val="28"/>
          <w:szCs w:val="28"/>
        </w:rPr>
        <w:t>s</w:t>
      </w:r>
    </w:p>
    <w:p w14:paraId="1DF980C0" w14:textId="77777777" w:rsidR="007E0304" w:rsidRDefault="007E0304" w:rsidP="007E0304">
      <w:pPr>
        <w:pStyle w:val="ListParagraph"/>
        <w:numPr>
          <w:ilvl w:val="0"/>
          <w:numId w:val="6"/>
        </w:numPr>
        <w:rPr>
          <w:sz w:val="28"/>
          <w:szCs w:val="28"/>
        </w:rPr>
      </w:pPr>
      <w:r>
        <w:rPr>
          <w:sz w:val="28"/>
          <w:szCs w:val="28"/>
        </w:rPr>
        <w:t>Community service order</w:t>
      </w:r>
      <w:r w:rsidR="00FD2AD6">
        <w:rPr>
          <w:sz w:val="28"/>
          <w:szCs w:val="28"/>
        </w:rPr>
        <w:t>s</w:t>
      </w:r>
    </w:p>
    <w:p w14:paraId="07CCF9D4" w14:textId="77777777" w:rsidR="007E0304" w:rsidRDefault="007E0304" w:rsidP="007E0304">
      <w:pPr>
        <w:pStyle w:val="ListParagraph"/>
        <w:numPr>
          <w:ilvl w:val="0"/>
          <w:numId w:val="6"/>
        </w:numPr>
        <w:rPr>
          <w:sz w:val="28"/>
          <w:szCs w:val="28"/>
        </w:rPr>
      </w:pPr>
      <w:r>
        <w:rPr>
          <w:sz w:val="28"/>
          <w:szCs w:val="28"/>
        </w:rPr>
        <w:t xml:space="preserve">Probation </w:t>
      </w:r>
    </w:p>
    <w:p w14:paraId="5D98F6B5" w14:textId="49124B8A" w:rsidR="007E0304" w:rsidRDefault="007E0304" w:rsidP="007E0304">
      <w:pPr>
        <w:pStyle w:val="ListParagraph"/>
        <w:numPr>
          <w:ilvl w:val="0"/>
          <w:numId w:val="6"/>
        </w:numPr>
        <w:rPr>
          <w:sz w:val="28"/>
          <w:szCs w:val="28"/>
        </w:rPr>
      </w:pPr>
      <w:r>
        <w:rPr>
          <w:sz w:val="28"/>
          <w:szCs w:val="28"/>
        </w:rPr>
        <w:lastRenderedPageBreak/>
        <w:t>Discharge</w:t>
      </w:r>
      <w:r w:rsidR="00FD2AD6">
        <w:rPr>
          <w:sz w:val="28"/>
          <w:szCs w:val="28"/>
        </w:rPr>
        <w:t xml:space="preserve"> orders</w:t>
      </w:r>
      <w:r w:rsidR="000D5AAD">
        <w:rPr>
          <w:sz w:val="28"/>
          <w:szCs w:val="28"/>
        </w:rPr>
        <w:t>.</w:t>
      </w:r>
      <w:r>
        <w:rPr>
          <w:rStyle w:val="FootnoteReference"/>
          <w:sz w:val="28"/>
          <w:szCs w:val="28"/>
        </w:rPr>
        <w:footnoteReference w:id="12"/>
      </w:r>
    </w:p>
    <w:p w14:paraId="4C5B11BF" w14:textId="77777777" w:rsidR="00592A33" w:rsidRDefault="00592A33" w:rsidP="00592A33">
      <w:pPr>
        <w:rPr>
          <w:sz w:val="28"/>
          <w:szCs w:val="28"/>
        </w:rPr>
      </w:pPr>
    </w:p>
    <w:p w14:paraId="01502431" w14:textId="0B2694E9" w:rsidR="00592A33" w:rsidRPr="001101B3" w:rsidRDefault="00592A33" w:rsidP="00592A33">
      <w:pPr>
        <w:rPr>
          <w:sz w:val="28"/>
          <w:szCs w:val="28"/>
        </w:rPr>
      </w:pPr>
      <w:r w:rsidRPr="001101B3">
        <w:rPr>
          <w:sz w:val="28"/>
          <w:szCs w:val="28"/>
        </w:rPr>
        <w:t>As can be seen, rehabilitation is not a relevant factor when imposing relatively lengthy prison senten</w:t>
      </w:r>
      <w:r w:rsidR="003B42C1" w:rsidRPr="001101B3">
        <w:rPr>
          <w:sz w:val="28"/>
          <w:szCs w:val="28"/>
        </w:rPr>
        <w:t>ces.</w:t>
      </w:r>
      <w:r w:rsidR="003B42C1" w:rsidRPr="001101B3">
        <w:rPr>
          <w:rStyle w:val="FootnoteReference"/>
          <w:sz w:val="28"/>
          <w:szCs w:val="28"/>
        </w:rPr>
        <w:footnoteReference w:id="13"/>
      </w:r>
    </w:p>
    <w:p w14:paraId="43B36C52" w14:textId="77777777" w:rsidR="000D5AAD" w:rsidRPr="001101B3" w:rsidRDefault="000D5AAD" w:rsidP="00592A33">
      <w:pPr>
        <w:rPr>
          <w:sz w:val="28"/>
          <w:szCs w:val="28"/>
        </w:rPr>
      </w:pPr>
    </w:p>
    <w:p w14:paraId="5D13EB5B" w14:textId="28858F71" w:rsidR="007E0304" w:rsidRPr="001101B3" w:rsidRDefault="00C73002" w:rsidP="007E0304">
      <w:pPr>
        <w:rPr>
          <w:b/>
          <w:sz w:val="28"/>
          <w:szCs w:val="28"/>
        </w:rPr>
      </w:pPr>
      <w:r w:rsidRPr="001101B3">
        <w:rPr>
          <w:b/>
          <w:sz w:val="28"/>
          <w:szCs w:val="28"/>
        </w:rPr>
        <w:t>9</w:t>
      </w:r>
      <w:r w:rsidR="007E0304" w:rsidRPr="001101B3">
        <w:rPr>
          <w:b/>
          <w:sz w:val="28"/>
          <w:szCs w:val="28"/>
        </w:rPr>
        <w:t xml:space="preserve">.5 </w:t>
      </w:r>
      <w:proofErr w:type="spellStart"/>
      <w:r w:rsidR="007E0304" w:rsidRPr="001101B3">
        <w:rPr>
          <w:b/>
          <w:sz w:val="28"/>
          <w:szCs w:val="28"/>
        </w:rPr>
        <w:t>Incapacitative</w:t>
      </w:r>
      <w:proofErr w:type="spellEnd"/>
      <w:r w:rsidR="007E0304" w:rsidRPr="001101B3">
        <w:rPr>
          <w:b/>
          <w:sz w:val="28"/>
          <w:szCs w:val="28"/>
        </w:rPr>
        <w:t xml:space="preserve"> sentencing/public protection</w:t>
      </w:r>
      <w:r w:rsidR="003209EE" w:rsidRPr="001101B3">
        <w:rPr>
          <w:b/>
          <w:sz w:val="28"/>
          <w:szCs w:val="28"/>
        </w:rPr>
        <w:t xml:space="preserve"> principle</w:t>
      </w:r>
    </w:p>
    <w:p w14:paraId="6038D800" w14:textId="77777777" w:rsidR="009D3DAA" w:rsidRPr="001101B3" w:rsidRDefault="009D3DAA" w:rsidP="007E0304">
      <w:pPr>
        <w:rPr>
          <w:b/>
          <w:sz w:val="28"/>
          <w:szCs w:val="28"/>
        </w:rPr>
      </w:pPr>
    </w:p>
    <w:p w14:paraId="7FC35EF3" w14:textId="77777777" w:rsidR="009D3DAA" w:rsidRPr="001101B3" w:rsidRDefault="009D3DAA" w:rsidP="009D3DAA">
      <w:pPr>
        <w:rPr>
          <w:sz w:val="28"/>
          <w:szCs w:val="28"/>
        </w:rPr>
      </w:pPr>
      <w:r w:rsidRPr="001101B3">
        <w:rPr>
          <w:sz w:val="28"/>
          <w:szCs w:val="28"/>
        </w:rPr>
        <w:t>Key points are:</w:t>
      </w:r>
    </w:p>
    <w:p w14:paraId="051E8026" w14:textId="77777777" w:rsidR="00367CC4" w:rsidRPr="001101B3" w:rsidRDefault="00367CC4" w:rsidP="007E0304">
      <w:pPr>
        <w:rPr>
          <w:b/>
          <w:sz w:val="28"/>
          <w:szCs w:val="28"/>
        </w:rPr>
      </w:pPr>
    </w:p>
    <w:p w14:paraId="7E26EC9F" w14:textId="77777777" w:rsidR="007E0304" w:rsidRPr="001101B3" w:rsidRDefault="009D3DAA" w:rsidP="007E0304">
      <w:pPr>
        <w:numPr>
          <w:ilvl w:val="0"/>
          <w:numId w:val="7"/>
        </w:numPr>
        <w:rPr>
          <w:sz w:val="28"/>
          <w:szCs w:val="28"/>
        </w:rPr>
      </w:pPr>
      <w:r w:rsidRPr="001101B3">
        <w:rPr>
          <w:sz w:val="28"/>
          <w:szCs w:val="28"/>
        </w:rPr>
        <w:t>The purpose is to l</w:t>
      </w:r>
      <w:r w:rsidR="007E0304" w:rsidRPr="001101B3">
        <w:rPr>
          <w:sz w:val="28"/>
          <w:szCs w:val="28"/>
        </w:rPr>
        <w:t>ock away dangerous people to prevent them causing harm</w:t>
      </w:r>
      <w:r w:rsidR="00816C09" w:rsidRPr="001101B3">
        <w:rPr>
          <w:sz w:val="28"/>
          <w:szCs w:val="28"/>
        </w:rPr>
        <w:t>.</w:t>
      </w:r>
    </w:p>
    <w:p w14:paraId="0EFB79F2" w14:textId="5F099B9D" w:rsidR="003877E3" w:rsidRPr="001101B3" w:rsidRDefault="009D3DAA" w:rsidP="003877E3">
      <w:pPr>
        <w:numPr>
          <w:ilvl w:val="0"/>
          <w:numId w:val="7"/>
        </w:numPr>
        <w:rPr>
          <w:sz w:val="28"/>
          <w:szCs w:val="28"/>
        </w:rPr>
      </w:pPr>
      <w:r w:rsidRPr="001101B3">
        <w:rPr>
          <w:sz w:val="28"/>
          <w:szCs w:val="28"/>
        </w:rPr>
        <w:t>It is s</w:t>
      </w:r>
      <w:r w:rsidR="007E0304" w:rsidRPr="001101B3">
        <w:rPr>
          <w:sz w:val="28"/>
          <w:szCs w:val="28"/>
        </w:rPr>
        <w:t>een in life sentences</w:t>
      </w:r>
      <w:r w:rsidR="005D2553" w:rsidRPr="001101B3">
        <w:rPr>
          <w:sz w:val="28"/>
          <w:szCs w:val="28"/>
        </w:rPr>
        <w:t>.</w:t>
      </w:r>
    </w:p>
    <w:p w14:paraId="0EA3BB44" w14:textId="77777777" w:rsidR="003877E3" w:rsidRPr="001101B3" w:rsidRDefault="003877E3" w:rsidP="003877E3">
      <w:pPr>
        <w:rPr>
          <w:sz w:val="28"/>
          <w:szCs w:val="28"/>
        </w:rPr>
      </w:pPr>
    </w:p>
    <w:p w14:paraId="3A53E264" w14:textId="26DCB4D9" w:rsidR="003877E3" w:rsidRPr="001101B3" w:rsidRDefault="003877E3" w:rsidP="003877E3">
      <w:pPr>
        <w:rPr>
          <w:sz w:val="28"/>
          <w:szCs w:val="28"/>
        </w:rPr>
      </w:pPr>
      <w:r w:rsidRPr="001101B3">
        <w:rPr>
          <w:sz w:val="28"/>
          <w:szCs w:val="28"/>
        </w:rPr>
        <w:t xml:space="preserve">It can also be seen in heavier sentences administered in relation to ‘stranger danger’ type attacks pursuant to wounding with intent under s.17 OAPO: see </w:t>
      </w:r>
      <w:r w:rsidRPr="001101B3">
        <w:rPr>
          <w:i/>
          <w:sz w:val="28"/>
          <w:szCs w:val="28"/>
        </w:rPr>
        <w:t>HKSAR</w:t>
      </w:r>
      <w:r w:rsidRPr="001101B3">
        <w:rPr>
          <w:sz w:val="28"/>
          <w:szCs w:val="28"/>
        </w:rPr>
        <w:t xml:space="preserve"> v </w:t>
      </w:r>
      <w:r w:rsidRPr="001101B3">
        <w:rPr>
          <w:i/>
          <w:sz w:val="28"/>
          <w:szCs w:val="28"/>
        </w:rPr>
        <w:t>Chung Chi Fa</w:t>
      </w:r>
      <w:r w:rsidR="00630F40" w:rsidRPr="001101B3">
        <w:rPr>
          <w:i/>
          <w:sz w:val="28"/>
          <w:szCs w:val="28"/>
        </w:rPr>
        <w:t>i</w:t>
      </w:r>
      <w:r w:rsidRPr="001101B3">
        <w:rPr>
          <w:rStyle w:val="FootnoteReference"/>
          <w:sz w:val="28"/>
          <w:szCs w:val="28"/>
        </w:rPr>
        <w:footnoteReference w:id="14"/>
      </w:r>
      <w:r w:rsidRPr="001101B3">
        <w:rPr>
          <w:sz w:val="28"/>
          <w:szCs w:val="28"/>
        </w:rPr>
        <w:t xml:space="preserve"> and the facts of which are discussed further below at </w:t>
      </w:r>
      <w:r w:rsidR="00C73002" w:rsidRPr="001101B3">
        <w:rPr>
          <w:sz w:val="28"/>
          <w:szCs w:val="28"/>
        </w:rPr>
        <w:t>9</w:t>
      </w:r>
      <w:r w:rsidRPr="001101B3">
        <w:rPr>
          <w:sz w:val="28"/>
          <w:szCs w:val="28"/>
        </w:rPr>
        <w:t>.9</w:t>
      </w:r>
      <w:r w:rsidR="00630F40" w:rsidRPr="001101B3">
        <w:rPr>
          <w:sz w:val="28"/>
          <w:szCs w:val="28"/>
        </w:rPr>
        <w:t>.</w:t>
      </w:r>
    </w:p>
    <w:p w14:paraId="495143B1" w14:textId="77777777" w:rsidR="00367CC4" w:rsidRPr="001101B3" w:rsidRDefault="00367CC4" w:rsidP="007E0304">
      <w:pPr>
        <w:rPr>
          <w:b/>
          <w:sz w:val="28"/>
          <w:szCs w:val="28"/>
        </w:rPr>
      </w:pPr>
    </w:p>
    <w:p w14:paraId="4D9EA9E1" w14:textId="7C12B7A7" w:rsidR="007E0304" w:rsidRPr="001101B3" w:rsidRDefault="00C73002" w:rsidP="007E0304">
      <w:pPr>
        <w:rPr>
          <w:b/>
          <w:sz w:val="28"/>
          <w:szCs w:val="28"/>
        </w:rPr>
      </w:pPr>
      <w:r w:rsidRPr="001101B3">
        <w:rPr>
          <w:b/>
          <w:sz w:val="28"/>
          <w:szCs w:val="28"/>
        </w:rPr>
        <w:t>9</w:t>
      </w:r>
      <w:r w:rsidR="007E0304" w:rsidRPr="001101B3">
        <w:rPr>
          <w:b/>
          <w:sz w:val="28"/>
          <w:szCs w:val="28"/>
        </w:rPr>
        <w:t>.6 Denunciation</w:t>
      </w:r>
      <w:r w:rsidR="003209EE" w:rsidRPr="001101B3">
        <w:rPr>
          <w:b/>
          <w:sz w:val="28"/>
          <w:szCs w:val="28"/>
        </w:rPr>
        <w:t xml:space="preserve"> principle</w:t>
      </w:r>
    </w:p>
    <w:p w14:paraId="5AE7E8A4" w14:textId="77777777" w:rsidR="00367CC4" w:rsidRPr="001101B3" w:rsidRDefault="00367CC4" w:rsidP="009E7112">
      <w:pPr>
        <w:jc w:val="both"/>
        <w:rPr>
          <w:b/>
          <w:sz w:val="28"/>
          <w:szCs w:val="28"/>
        </w:rPr>
      </w:pPr>
    </w:p>
    <w:p w14:paraId="0DD4B57F" w14:textId="3D45C7AA" w:rsidR="007E0304" w:rsidRPr="001101B3" w:rsidRDefault="007E0304" w:rsidP="009E7112">
      <w:pPr>
        <w:jc w:val="both"/>
        <w:rPr>
          <w:sz w:val="28"/>
          <w:szCs w:val="28"/>
        </w:rPr>
      </w:pPr>
      <w:r w:rsidRPr="001101B3">
        <w:rPr>
          <w:sz w:val="28"/>
          <w:szCs w:val="28"/>
        </w:rPr>
        <w:t>In this case, the courts vent society’s outrage at particularly terrible crimes with an especially lengthy sentence. In some cases, the nature of crime</w:t>
      </w:r>
      <w:r w:rsidR="008C3C1A" w:rsidRPr="001101B3">
        <w:rPr>
          <w:sz w:val="28"/>
          <w:szCs w:val="28"/>
        </w:rPr>
        <w:t>s like</w:t>
      </w:r>
      <w:r w:rsidRPr="001101B3">
        <w:rPr>
          <w:sz w:val="28"/>
          <w:szCs w:val="28"/>
        </w:rPr>
        <w:t xml:space="preserve"> </w:t>
      </w:r>
      <w:r w:rsidR="00DF334B" w:rsidRPr="001101B3">
        <w:rPr>
          <w:sz w:val="28"/>
          <w:szCs w:val="28"/>
        </w:rPr>
        <w:t>manslaughter</w:t>
      </w:r>
      <w:r w:rsidR="008C3C1A" w:rsidRPr="001101B3">
        <w:rPr>
          <w:sz w:val="28"/>
          <w:szCs w:val="28"/>
        </w:rPr>
        <w:t xml:space="preserve"> </w:t>
      </w:r>
      <w:r w:rsidRPr="001101B3">
        <w:rPr>
          <w:sz w:val="28"/>
          <w:szCs w:val="28"/>
        </w:rPr>
        <w:t xml:space="preserve">and rape may be such that the defendant could receive a similar sentence under incapacitation or even desert theories. An interesting case arose of </w:t>
      </w:r>
      <w:r w:rsidRPr="001101B3">
        <w:rPr>
          <w:i/>
          <w:sz w:val="28"/>
          <w:szCs w:val="28"/>
        </w:rPr>
        <w:t xml:space="preserve">HKSAR v Yip Kai </w:t>
      </w:r>
      <w:proofErr w:type="spellStart"/>
      <w:r w:rsidRPr="001101B3">
        <w:rPr>
          <w:i/>
          <w:sz w:val="28"/>
          <w:szCs w:val="28"/>
        </w:rPr>
        <w:t>Foon</w:t>
      </w:r>
      <w:proofErr w:type="spellEnd"/>
      <w:r w:rsidRPr="001101B3">
        <w:rPr>
          <w:sz w:val="28"/>
          <w:szCs w:val="28"/>
        </w:rPr>
        <w:t>.</w:t>
      </w:r>
      <w:r w:rsidRPr="001101B3">
        <w:rPr>
          <w:rStyle w:val="FootnoteReference"/>
          <w:sz w:val="28"/>
          <w:szCs w:val="28"/>
        </w:rPr>
        <w:footnoteReference w:id="15"/>
      </w:r>
      <w:r w:rsidRPr="001101B3">
        <w:rPr>
          <w:sz w:val="28"/>
          <w:szCs w:val="28"/>
        </w:rPr>
        <w:t xml:space="preserve"> Here, the defendant and his gang behaved</w:t>
      </w:r>
      <w:r w:rsidR="000D5AAD" w:rsidRPr="001101B3">
        <w:rPr>
          <w:sz w:val="28"/>
          <w:szCs w:val="28"/>
        </w:rPr>
        <w:t xml:space="preserve"> like</w:t>
      </w:r>
      <w:r w:rsidRPr="001101B3">
        <w:rPr>
          <w:sz w:val="28"/>
          <w:szCs w:val="28"/>
        </w:rPr>
        <w:t xml:space="preserve"> bandits or outlaws (engaging in a battle with police involving guns and explosives) and the defendant subsequently received 30 years imprisonment. </w:t>
      </w:r>
    </w:p>
    <w:p w14:paraId="3AA5B1E4" w14:textId="77777777" w:rsidR="004705E3" w:rsidRPr="001101B3" w:rsidRDefault="004705E3" w:rsidP="009E7112">
      <w:pPr>
        <w:jc w:val="both"/>
        <w:rPr>
          <w:sz w:val="28"/>
          <w:szCs w:val="28"/>
        </w:rPr>
      </w:pPr>
    </w:p>
    <w:p w14:paraId="01A64D7A" w14:textId="736A232F" w:rsidR="004705E3" w:rsidRPr="001101B3" w:rsidRDefault="004705E3" w:rsidP="009E7112">
      <w:pPr>
        <w:jc w:val="both"/>
        <w:rPr>
          <w:sz w:val="28"/>
          <w:szCs w:val="28"/>
        </w:rPr>
      </w:pPr>
      <w:r w:rsidRPr="001101B3">
        <w:rPr>
          <w:sz w:val="28"/>
          <w:szCs w:val="28"/>
        </w:rPr>
        <w:t xml:space="preserve">Denunciation will also will be a factor in domestic violence cases including wounding with intent per s.17 OAPO: </w:t>
      </w:r>
      <w:r w:rsidRPr="001101B3">
        <w:rPr>
          <w:i/>
          <w:sz w:val="28"/>
          <w:szCs w:val="28"/>
        </w:rPr>
        <w:t xml:space="preserve">HKSAR </w:t>
      </w:r>
      <w:r w:rsidRPr="001101B3">
        <w:rPr>
          <w:sz w:val="28"/>
          <w:szCs w:val="28"/>
        </w:rPr>
        <w:t xml:space="preserve">v </w:t>
      </w:r>
      <w:r w:rsidRPr="001101B3">
        <w:rPr>
          <w:i/>
          <w:sz w:val="28"/>
          <w:szCs w:val="28"/>
        </w:rPr>
        <w:t>Chan Chun Tat</w:t>
      </w:r>
      <w:r w:rsidRPr="001101B3">
        <w:rPr>
          <w:sz w:val="28"/>
          <w:szCs w:val="28"/>
        </w:rPr>
        <w:t>.</w:t>
      </w:r>
      <w:r w:rsidRPr="001101B3">
        <w:rPr>
          <w:rStyle w:val="FootnoteReference"/>
          <w:sz w:val="28"/>
          <w:szCs w:val="28"/>
        </w:rPr>
        <w:footnoteReference w:id="16"/>
      </w:r>
    </w:p>
    <w:p w14:paraId="49D4A6A1" w14:textId="77777777" w:rsidR="00630F40" w:rsidRPr="001101B3" w:rsidRDefault="00630F40" w:rsidP="009E7112">
      <w:pPr>
        <w:jc w:val="both"/>
        <w:rPr>
          <w:sz w:val="28"/>
          <w:szCs w:val="28"/>
        </w:rPr>
      </w:pPr>
    </w:p>
    <w:p w14:paraId="2A02FA36" w14:textId="0706DBD7" w:rsidR="00026A7E" w:rsidRPr="001101B3" w:rsidRDefault="00026A7E" w:rsidP="00026A7E">
      <w:pPr>
        <w:jc w:val="both"/>
        <w:rPr>
          <w:sz w:val="28"/>
          <w:szCs w:val="28"/>
        </w:rPr>
      </w:pPr>
      <w:r w:rsidRPr="001101B3">
        <w:rPr>
          <w:sz w:val="28"/>
          <w:szCs w:val="28"/>
        </w:rPr>
        <w:t>The applicant was a ketamine addict who:</w:t>
      </w:r>
    </w:p>
    <w:p w14:paraId="4F45B67E" w14:textId="426F009D" w:rsidR="00026A7E" w:rsidRPr="001101B3" w:rsidRDefault="00630F40" w:rsidP="00026A7E">
      <w:pPr>
        <w:numPr>
          <w:ilvl w:val="0"/>
          <w:numId w:val="35"/>
        </w:numPr>
        <w:jc w:val="both"/>
        <w:rPr>
          <w:sz w:val="28"/>
          <w:szCs w:val="28"/>
        </w:rPr>
      </w:pPr>
      <w:r w:rsidRPr="001101B3">
        <w:rPr>
          <w:sz w:val="28"/>
          <w:szCs w:val="28"/>
        </w:rPr>
        <w:t>s</w:t>
      </w:r>
      <w:r w:rsidR="00026A7E" w:rsidRPr="001101B3">
        <w:rPr>
          <w:sz w:val="28"/>
          <w:szCs w:val="28"/>
        </w:rPr>
        <w:t>trangled his wife</w:t>
      </w:r>
    </w:p>
    <w:p w14:paraId="4076E78D" w14:textId="3777526A" w:rsidR="00026A7E" w:rsidRPr="001101B3" w:rsidRDefault="00630F40" w:rsidP="00026A7E">
      <w:pPr>
        <w:numPr>
          <w:ilvl w:val="0"/>
          <w:numId w:val="35"/>
        </w:numPr>
        <w:jc w:val="both"/>
        <w:rPr>
          <w:sz w:val="28"/>
          <w:szCs w:val="28"/>
        </w:rPr>
      </w:pPr>
      <w:r w:rsidRPr="001101B3">
        <w:rPr>
          <w:sz w:val="28"/>
          <w:szCs w:val="28"/>
        </w:rPr>
        <w:t>s</w:t>
      </w:r>
      <w:r w:rsidR="00026A7E" w:rsidRPr="001101B3">
        <w:rPr>
          <w:sz w:val="28"/>
          <w:szCs w:val="28"/>
        </w:rPr>
        <w:t>tabbed his wife with screwdriver and knife</w:t>
      </w:r>
    </w:p>
    <w:p w14:paraId="2C9DD5A7" w14:textId="166F64C0" w:rsidR="00026A7E" w:rsidRPr="001101B3" w:rsidRDefault="00630F40" w:rsidP="00026A7E">
      <w:pPr>
        <w:numPr>
          <w:ilvl w:val="0"/>
          <w:numId w:val="35"/>
        </w:numPr>
        <w:jc w:val="both"/>
        <w:rPr>
          <w:sz w:val="28"/>
          <w:szCs w:val="28"/>
        </w:rPr>
      </w:pPr>
      <w:r w:rsidRPr="001101B3">
        <w:rPr>
          <w:sz w:val="28"/>
          <w:szCs w:val="28"/>
        </w:rPr>
        <w:t>w</w:t>
      </w:r>
      <w:r w:rsidR="00026A7E" w:rsidRPr="001101B3">
        <w:rPr>
          <w:sz w:val="28"/>
          <w:szCs w:val="28"/>
        </w:rPr>
        <w:t xml:space="preserve">as seemingly high on Ketamine </w:t>
      </w:r>
    </w:p>
    <w:p w14:paraId="3E1A41CF" w14:textId="091F27DB" w:rsidR="00026A7E" w:rsidRPr="001101B3" w:rsidRDefault="00630F40" w:rsidP="00026A7E">
      <w:pPr>
        <w:numPr>
          <w:ilvl w:val="0"/>
          <w:numId w:val="35"/>
        </w:numPr>
        <w:jc w:val="both"/>
        <w:rPr>
          <w:sz w:val="28"/>
          <w:szCs w:val="28"/>
        </w:rPr>
      </w:pPr>
      <w:r w:rsidRPr="001101B3">
        <w:rPr>
          <w:sz w:val="28"/>
          <w:szCs w:val="28"/>
        </w:rPr>
        <w:t>d</w:t>
      </w:r>
      <w:r w:rsidR="00026A7E" w:rsidRPr="001101B3">
        <w:rPr>
          <w:sz w:val="28"/>
          <w:szCs w:val="28"/>
        </w:rPr>
        <w:t>id not act in a premeditated manner.</w:t>
      </w:r>
    </w:p>
    <w:p w14:paraId="5F5B4623" w14:textId="77777777" w:rsidR="00F00F64" w:rsidRPr="001101B3" w:rsidRDefault="00F00F64" w:rsidP="00D93FE9">
      <w:pPr>
        <w:jc w:val="both"/>
        <w:rPr>
          <w:sz w:val="28"/>
          <w:szCs w:val="28"/>
        </w:rPr>
      </w:pPr>
    </w:p>
    <w:p w14:paraId="1DE69D82" w14:textId="45960C81" w:rsidR="00026A7E" w:rsidRPr="001101B3" w:rsidRDefault="00026A7E" w:rsidP="00D93FE9">
      <w:pPr>
        <w:jc w:val="both"/>
        <w:rPr>
          <w:sz w:val="28"/>
          <w:szCs w:val="28"/>
        </w:rPr>
      </w:pPr>
      <w:r w:rsidRPr="001101B3">
        <w:rPr>
          <w:sz w:val="28"/>
          <w:szCs w:val="28"/>
        </w:rPr>
        <w:t>The starting point for sentence</w:t>
      </w:r>
      <w:r w:rsidR="00630F40" w:rsidRPr="001101B3">
        <w:rPr>
          <w:sz w:val="28"/>
          <w:szCs w:val="28"/>
        </w:rPr>
        <w:t xml:space="preserve"> was</w:t>
      </w:r>
      <w:r w:rsidRPr="001101B3">
        <w:rPr>
          <w:sz w:val="28"/>
          <w:szCs w:val="28"/>
        </w:rPr>
        <w:t xml:space="preserve"> reduced from 12 years to 8 years. As a result of the guilty </w:t>
      </w:r>
      <w:r w:rsidR="00F00F64" w:rsidRPr="001101B3">
        <w:rPr>
          <w:sz w:val="28"/>
          <w:szCs w:val="28"/>
        </w:rPr>
        <w:t>plea,</w:t>
      </w:r>
      <w:r w:rsidRPr="001101B3">
        <w:rPr>
          <w:sz w:val="28"/>
          <w:szCs w:val="28"/>
        </w:rPr>
        <w:t xml:space="preserve"> his sentence was reduced to 5 years and 4 months</w:t>
      </w:r>
      <w:r w:rsidR="00C111B8" w:rsidRPr="001101B3">
        <w:rPr>
          <w:sz w:val="28"/>
          <w:szCs w:val="28"/>
        </w:rPr>
        <w:t>.</w:t>
      </w:r>
    </w:p>
    <w:p w14:paraId="24FE40F7" w14:textId="0ABB88DC" w:rsidR="00F073C0" w:rsidRPr="001101B3" w:rsidRDefault="00F073C0" w:rsidP="00F073C0">
      <w:pPr>
        <w:widowControl/>
        <w:spacing w:before="100" w:beforeAutospacing="1" w:after="100" w:afterAutospacing="1"/>
        <w:rPr>
          <w:i/>
          <w:color w:val="000000"/>
          <w:kern w:val="0"/>
          <w:sz w:val="28"/>
          <w:szCs w:val="28"/>
          <w:lang w:eastAsia="zh-CN"/>
        </w:rPr>
      </w:pPr>
      <w:r w:rsidRPr="001101B3">
        <w:rPr>
          <w:color w:val="000000"/>
          <w:kern w:val="0"/>
          <w:sz w:val="28"/>
          <w:szCs w:val="28"/>
          <w:lang w:eastAsia="zh-CN"/>
        </w:rPr>
        <w:t xml:space="preserve">The Court of Appeal stated in relation to the victim’s injuries: </w:t>
      </w:r>
      <w:r w:rsidRPr="001101B3">
        <w:rPr>
          <w:i/>
          <w:color w:val="000000"/>
          <w:kern w:val="0"/>
          <w:sz w:val="28"/>
          <w:szCs w:val="28"/>
          <w:lang w:eastAsia="zh-CN"/>
        </w:rPr>
        <w:t>12. The injuries to the applicant’s wife were serious and required a number of operations and her hospitalization for 13 days. She suffered from the following:</w:t>
      </w:r>
    </w:p>
    <w:p w14:paraId="490F0059" w14:textId="77777777" w:rsidR="00F073C0" w:rsidRPr="001101B3" w:rsidRDefault="00F073C0" w:rsidP="00F073C0">
      <w:pPr>
        <w:widowControl/>
        <w:spacing w:before="100" w:beforeAutospacing="1" w:after="100" w:afterAutospacing="1"/>
        <w:rPr>
          <w:i/>
          <w:color w:val="000000"/>
          <w:kern w:val="0"/>
          <w:sz w:val="28"/>
          <w:szCs w:val="28"/>
          <w:lang w:eastAsia="zh-CN"/>
        </w:rPr>
      </w:pPr>
      <w:r w:rsidRPr="001101B3">
        <w:rPr>
          <w:i/>
          <w:color w:val="000000"/>
          <w:kern w:val="0"/>
          <w:sz w:val="28"/>
          <w:szCs w:val="28"/>
          <w:lang w:eastAsia="zh-CN"/>
        </w:rPr>
        <w:t>(</w:t>
      </w:r>
      <w:proofErr w:type="spellStart"/>
      <w:r w:rsidRPr="001101B3">
        <w:rPr>
          <w:i/>
          <w:color w:val="000000"/>
          <w:kern w:val="0"/>
          <w:sz w:val="28"/>
          <w:szCs w:val="28"/>
          <w:lang w:eastAsia="zh-CN"/>
        </w:rPr>
        <w:t>i</w:t>
      </w:r>
      <w:proofErr w:type="spellEnd"/>
      <w:r w:rsidRPr="001101B3">
        <w:rPr>
          <w:i/>
          <w:color w:val="000000"/>
          <w:kern w:val="0"/>
          <w:sz w:val="28"/>
          <w:szCs w:val="28"/>
          <w:lang w:eastAsia="zh-CN"/>
        </w:rPr>
        <w:t>) about 20 stab wounds in 3-8 mm in size, with different depths of penetration over the left upper back; 3 similar wounds at the left anterior upper chest and 6 similar ones at the left shoulder and the posterior aspect of the left upper arm;</w:t>
      </w:r>
    </w:p>
    <w:p w14:paraId="5F8D2E25" w14:textId="77777777" w:rsidR="00F073C0" w:rsidRPr="001101B3" w:rsidRDefault="00F073C0" w:rsidP="00F073C0">
      <w:pPr>
        <w:widowControl/>
        <w:spacing w:before="100" w:beforeAutospacing="1" w:after="100" w:afterAutospacing="1"/>
        <w:rPr>
          <w:i/>
          <w:color w:val="000000"/>
          <w:kern w:val="0"/>
          <w:sz w:val="28"/>
          <w:szCs w:val="28"/>
          <w:lang w:eastAsia="zh-CN"/>
        </w:rPr>
      </w:pPr>
      <w:r w:rsidRPr="001101B3">
        <w:rPr>
          <w:i/>
          <w:color w:val="000000"/>
          <w:kern w:val="0"/>
          <w:sz w:val="28"/>
          <w:szCs w:val="28"/>
          <w:lang w:eastAsia="zh-CN"/>
        </w:rPr>
        <w:t>(ii) a subcutaneous surgical emphysema over the left chest wall, clinically a left pneumothorax;</w:t>
      </w:r>
    </w:p>
    <w:p w14:paraId="46303D26" w14:textId="77777777" w:rsidR="00F073C0" w:rsidRPr="001101B3" w:rsidRDefault="00F073C0" w:rsidP="00F073C0">
      <w:pPr>
        <w:widowControl/>
        <w:spacing w:before="100" w:beforeAutospacing="1" w:after="100" w:afterAutospacing="1"/>
        <w:rPr>
          <w:i/>
          <w:color w:val="000000"/>
          <w:kern w:val="0"/>
          <w:sz w:val="28"/>
          <w:szCs w:val="28"/>
          <w:lang w:eastAsia="zh-CN"/>
        </w:rPr>
      </w:pPr>
      <w:r w:rsidRPr="001101B3">
        <w:rPr>
          <w:i/>
          <w:color w:val="000000"/>
          <w:kern w:val="0"/>
          <w:sz w:val="28"/>
          <w:szCs w:val="28"/>
          <w:lang w:eastAsia="zh-CN"/>
        </w:rPr>
        <w:t>(iii) an anterior upper neck superficial laceration with suspected ligation mark; and</w:t>
      </w:r>
    </w:p>
    <w:p w14:paraId="43A6B05F" w14:textId="5D27ED8D" w:rsidR="00F073C0" w:rsidRPr="001101B3" w:rsidRDefault="00F073C0" w:rsidP="00F073C0">
      <w:pPr>
        <w:widowControl/>
        <w:spacing w:before="100" w:beforeAutospacing="1" w:after="100" w:afterAutospacing="1"/>
        <w:rPr>
          <w:i/>
          <w:color w:val="000000"/>
          <w:kern w:val="0"/>
          <w:sz w:val="28"/>
          <w:szCs w:val="28"/>
          <w:lang w:eastAsia="zh-CN"/>
        </w:rPr>
      </w:pPr>
      <w:r w:rsidRPr="001101B3">
        <w:rPr>
          <w:i/>
          <w:color w:val="000000"/>
          <w:kern w:val="0"/>
          <w:sz w:val="28"/>
          <w:szCs w:val="28"/>
          <w:lang w:eastAsia="zh-CN"/>
        </w:rPr>
        <w:t xml:space="preserve">(iv) a laceration of the </w:t>
      </w:r>
      <w:proofErr w:type="gramStart"/>
      <w:r w:rsidRPr="001101B3">
        <w:rPr>
          <w:i/>
          <w:color w:val="000000"/>
          <w:kern w:val="0"/>
          <w:sz w:val="28"/>
          <w:szCs w:val="28"/>
          <w:lang w:eastAsia="zh-CN"/>
        </w:rPr>
        <w:t>right</w:t>
      </w:r>
      <w:r w:rsidR="003C372C">
        <w:rPr>
          <w:i/>
          <w:color w:val="000000"/>
          <w:kern w:val="0"/>
          <w:sz w:val="28"/>
          <w:szCs w:val="28"/>
          <w:lang w:eastAsia="zh-CN"/>
        </w:rPr>
        <w:t xml:space="preserve"> </w:t>
      </w:r>
      <w:r w:rsidRPr="001101B3">
        <w:rPr>
          <w:i/>
          <w:color w:val="000000"/>
          <w:kern w:val="0"/>
          <w:sz w:val="28"/>
          <w:szCs w:val="28"/>
          <w:lang w:eastAsia="zh-CN"/>
        </w:rPr>
        <w:t>hand</w:t>
      </w:r>
      <w:proofErr w:type="gramEnd"/>
      <w:r w:rsidRPr="001101B3">
        <w:rPr>
          <w:i/>
          <w:color w:val="000000"/>
          <w:kern w:val="0"/>
          <w:sz w:val="28"/>
          <w:szCs w:val="28"/>
          <w:lang w:eastAsia="zh-CN"/>
        </w:rPr>
        <w:t xml:space="preserve"> index and middle finger with the tendon exposed.</w:t>
      </w:r>
    </w:p>
    <w:p w14:paraId="6D329C4C" w14:textId="50ABE5F7" w:rsidR="00F073C0" w:rsidRPr="001101B3" w:rsidRDefault="00F073C0" w:rsidP="00931B48">
      <w:pPr>
        <w:jc w:val="both"/>
        <w:rPr>
          <w:i/>
          <w:sz w:val="28"/>
          <w:szCs w:val="28"/>
        </w:rPr>
      </w:pPr>
      <w:bookmarkStart w:id="1" w:name="p13"/>
      <w:r w:rsidRPr="001101B3">
        <w:rPr>
          <w:i/>
          <w:color w:val="000000"/>
          <w:kern w:val="0"/>
          <w:sz w:val="28"/>
          <w:szCs w:val="28"/>
          <w:lang w:eastAsia="zh-CN"/>
        </w:rPr>
        <w:t>13.</w:t>
      </w:r>
      <w:bookmarkEnd w:id="1"/>
      <w:r w:rsidR="00B25CC2" w:rsidRPr="001101B3">
        <w:rPr>
          <w:i/>
          <w:color w:val="000000"/>
          <w:kern w:val="0"/>
          <w:sz w:val="28"/>
          <w:szCs w:val="28"/>
          <w:lang w:eastAsia="zh-CN"/>
        </w:rPr>
        <w:t xml:space="preserve"> </w:t>
      </w:r>
      <w:r w:rsidRPr="001101B3">
        <w:rPr>
          <w:i/>
          <w:color w:val="000000"/>
          <w:kern w:val="0"/>
          <w:sz w:val="28"/>
          <w:szCs w:val="28"/>
          <w:lang w:eastAsia="zh-CN"/>
        </w:rPr>
        <w:t xml:space="preserve">In addition to surgery on her left chest wall she also underwent further operations by the </w:t>
      </w:r>
      <w:proofErr w:type="spellStart"/>
      <w:r w:rsidRPr="001101B3">
        <w:rPr>
          <w:i/>
          <w:color w:val="000000"/>
          <w:kern w:val="0"/>
          <w:sz w:val="28"/>
          <w:szCs w:val="28"/>
          <w:lang w:eastAsia="zh-CN"/>
        </w:rPr>
        <w:t>Orthopaedic</w:t>
      </w:r>
      <w:proofErr w:type="spellEnd"/>
      <w:r w:rsidRPr="001101B3">
        <w:rPr>
          <w:i/>
          <w:color w:val="000000"/>
          <w:kern w:val="0"/>
          <w:sz w:val="28"/>
          <w:szCs w:val="28"/>
          <w:lang w:eastAsia="zh-CN"/>
        </w:rPr>
        <w:t xml:space="preserve"> surgeons for her </w:t>
      </w:r>
      <w:proofErr w:type="gramStart"/>
      <w:r w:rsidRPr="001101B3">
        <w:rPr>
          <w:i/>
          <w:color w:val="000000"/>
          <w:kern w:val="0"/>
          <w:sz w:val="28"/>
          <w:szCs w:val="28"/>
          <w:lang w:eastAsia="zh-CN"/>
        </w:rPr>
        <w:t>right hand</w:t>
      </w:r>
      <w:proofErr w:type="gramEnd"/>
      <w:r w:rsidRPr="001101B3">
        <w:rPr>
          <w:i/>
          <w:color w:val="000000"/>
          <w:kern w:val="0"/>
          <w:sz w:val="28"/>
          <w:szCs w:val="28"/>
          <w:lang w:eastAsia="zh-CN"/>
        </w:rPr>
        <w:t xml:space="preserve"> laceration for repair of the flexor tendon of that hand. All wounds healed well and she was discharged on 27 June 2011.</w:t>
      </w:r>
    </w:p>
    <w:p w14:paraId="021B1EB6" w14:textId="77777777" w:rsidR="00026A7E" w:rsidRPr="001101B3" w:rsidRDefault="00026A7E" w:rsidP="009E7112">
      <w:pPr>
        <w:jc w:val="both"/>
        <w:rPr>
          <w:sz w:val="28"/>
          <w:szCs w:val="28"/>
        </w:rPr>
      </w:pPr>
    </w:p>
    <w:p w14:paraId="34437B6A" w14:textId="7183C15C" w:rsidR="00684CD2" w:rsidRPr="001101B3" w:rsidRDefault="00702C8D" w:rsidP="007E0304">
      <w:pPr>
        <w:rPr>
          <w:sz w:val="28"/>
          <w:szCs w:val="28"/>
        </w:rPr>
      </w:pPr>
      <w:r w:rsidRPr="001101B3">
        <w:rPr>
          <w:sz w:val="28"/>
          <w:szCs w:val="28"/>
        </w:rPr>
        <w:t xml:space="preserve">The Court of Appeal, per the Hon </w:t>
      </w:r>
      <w:proofErr w:type="spellStart"/>
      <w:r w:rsidRPr="001101B3">
        <w:rPr>
          <w:sz w:val="28"/>
          <w:szCs w:val="28"/>
        </w:rPr>
        <w:t>McWalters</w:t>
      </w:r>
      <w:proofErr w:type="spellEnd"/>
      <w:r w:rsidRPr="001101B3">
        <w:rPr>
          <w:sz w:val="28"/>
          <w:szCs w:val="28"/>
        </w:rPr>
        <w:t xml:space="preserve"> J (giving the reasons for judgment of the court)</w:t>
      </w:r>
      <w:r w:rsidR="00F00F64" w:rsidRPr="001101B3">
        <w:rPr>
          <w:sz w:val="28"/>
          <w:szCs w:val="28"/>
        </w:rPr>
        <w:t>,</w:t>
      </w:r>
      <w:r w:rsidR="00026A7E" w:rsidRPr="001101B3">
        <w:rPr>
          <w:sz w:val="28"/>
          <w:szCs w:val="28"/>
        </w:rPr>
        <w:t xml:space="preserve"> </w:t>
      </w:r>
      <w:r w:rsidRPr="001101B3">
        <w:rPr>
          <w:sz w:val="28"/>
          <w:szCs w:val="28"/>
        </w:rPr>
        <w:t xml:space="preserve">stated at [57] </w:t>
      </w:r>
      <w:r w:rsidR="00026A7E" w:rsidRPr="001101B3">
        <w:rPr>
          <w:sz w:val="28"/>
          <w:szCs w:val="28"/>
        </w:rPr>
        <w:t>that this was not the “typical type of domestic violence case”</w:t>
      </w:r>
      <w:r w:rsidR="00C111B8" w:rsidRPr="001101B3">
        <w:rPr>
          <w:sz w:val="28"/>
          <w:szCs w:val="28"/>
        </w:rPr>
        <w:t>.</w:t>
      </w:r>
      <w:r w:rsidR="00026A7E" w:rsidRPr="001101B3">
        <w:rPr>
          <w:sz w:val="28"/>
          <w:szCs w:val="28"/>
        </w:rPr>
        <w:t xml:space="preserve"> </w:t>
      </w:r>
      <w:r w:rsidR="00064B08" w:rsidRPr="001101B3">
        <w:rPr>
          <w:sz w:val="28"/>
          <w:szCs w:val="28"/>
        </w:rPr>
        <w:t>A</w:t>
      </w:r>
      <w:r w:rsidR="00026A7E" w:rsidRPr="001101B3">
        <w:rPr>
          <w:sz w:val="28"/>
          <w:szCs w:val="28"/>
        </w:rPr>
        <w:t>lthough it was not entirely clear as to what</w:t>
      </w:r>
      <w:r w:rsidR="00C111B8" w:rsidRPr="001101B3">
        <w:rPr>
          <w:sz w:val="28"/>
          <w:szCs w:val="28"/>
        </w:rPr>
        <w:t xml:space="preserve"> Court’s</w:t>
      </w:r>
      <w:r w:rsidR="00026A7E" w:rsidRPr="001101B3">
        <w:rPr>
          <w:sz w:val="28"/>
          <w:szCs w:val="28"/>
        </w:rPr>
        <w:t xml:space="preserve"> line of reasoning was</w:t>
      </w:r>
      <w:r w:rsidR="00C111B8" w:rsidRPr="001101B3">
        <w:rPr>
          <w:sz w:val="28"/>
          <w:szCs w:val="28"/>
        </w:rPr>
        <w:t xml:space="preserve"> on this point</w:t>
      </w:r>
      <w:r w:rsidR="00026A7E" w:rsidRPr="001101B3">
        <w:rPr>
          <w:sz w:val="28"/>
          <w:szCs w:val="28"/>
        </w:rPr>
        <w:t>,</w:t>
      </w:r>
      <w:r w:rsidR="00C111B8" w:rsidRPr="001101B3">
        <w:rPr>
          <w:sz w:val="28"/>
          <w:szCs w:val="28"/>
        </w:rPr>
        <w:t xml:space="preserve"> it</w:t>
      </w:r>
      <w:r w:rsidR="00026A7E" w:rsidRPr="001101B3">
        <w:rPr>
          <w:sz w:val="28"/>
          <w:szCs w:val="28"/>
        </w:rPr>
        <w:t xml:space="preserve"> appeared to relate to the spontaneity of the attack and the effect of the drugs on </w:t>
      </w:r>
      <w:r w:rsidR="000E0D7F" w:rsidRPr="001101B3">
        <w:rPr>
          <w:sz w:val="28"/>
          <w:szCs w:val="28"/>
        </w:rPr>
        <w:t>the applicant</w:t>
      </w:r>
      <w:r w:rsidR="00026A7E" w:rsidRPr="001101B3">
        <w:rPr>
          <w:sz w:val="28"/>
          <w:szCs w:val="28"/>
        </w:rPr>
        <w:t>.</w:t>
      </w:r>
    </w:p>
    <w:p w14:paraId="6ECF6E78" w14:textId="77777777" w:rsidR="00026A7E" w:rsidRPr="001101B3" w:rsidRDefault="00026A7E" w:rsidP="007E0304">
      <w:pPr>
        <w:rPr>
          <w:sz w:val="28"/>
          <w:szCs w:val="28"/>
        </w:rPr>
      </w:pPr>
    </w:p>
    <w:p w14:paraId="1BE266C7" w14:textId="751C852A" w:rsidR="007E0304" w:rsidRPr="001101B3" w:rsidRDefault="00C73002" w:rsidP="007E0304">
      <w:pPr>
        <w:rPr>
          <w:sz w:val="28"/>
          <w:szCs w:val="28"/>
        </w:rPr>
      </w:pPr>
      <w:r w:rsidRPr="001101B3">
        <w:rPr>
          <w:b/>
          <w:sz w:val="28"/>
          <w:szCs w:val="28"/>
        </w:rPr>
        <w:t>9</w:t>
      </w:r>
      <w:r w:rsidR="007E0304" w:rsidRPr="001101B3">
        <w:rPr>
          <w:b/>
          <w:sz w:val="28"/>
          <w:szCs w:val="28"/>
        </w:rPr>
        <w:t>.7 Aggravating factors</w:t>
      </w:r>
      <w:r w:rsidR="007E0304" w:rsidRPr="001101B3">
        <w:rPr>
          <w:rStyle w:val="FootnoteReference"/>
          <w:sz w:val="28"/>
          <w:szCs w:val="28"/>
        </w:rPr>
        <w:footnoteReference w:id="17"/>
      </w:r>
      <w:r w:rsidR="007E0304" w:rsidRPr="001101B3">
        <w:rPr>
          <w:sz w:val="28"/>
          <w:szCs w:val="28"/>
        </w:rPr>
        <w:t xml:space="preserve">  </w:t>
      </w:r>
    </w:p>
    <w:p w14:paraId="578DAEE4" w14:textId="77777777" w:rsidR="007E0304" w:rsidRPr="001101B3" w:rsidRDefault="007E0304" w:rsidP="007E0304">
      <w:pPr>
        <w:rPr>
          <w:sz w:val="28"/>
          <w:szCs w:val="28"/>
        </w:rPr>
      </w:pPr>
      <w:bookmarkStart w:id="2" w:name="_GoBack"/>
      <w:bookmarkEnd w:id="2"/>
    </w:p>
    <w:p w14:paraId="58AB6FEC" w14:textId="5DAC072A" w:rsidR="007E0304" w:rsidRPr="001101B3" w:rsidRDefault="007E0304" w:rsidP="002643C3">
      <w:pPr>
        <w:rPr>
          <w:sz w:val="28"/>
          <w:szCs w:val="28"/>
        </w:rPr>
      </w:pPr>
      <w:r w:rsidRPr="001101B3">
        <w:rPr>
          <w:sz w:val="28"/>
          <w:szCs w:val="28"/>
        </w:rPr>
        <w:t xml:space="preserve">A sentence </w:t>
      </w:r>
      <w:r w:rsidR="00816C09" w:rsidRPr="001101B3">
        <w:rPr>
          <w:sz w:val="28"/>
          <w:szCs w:val="28"/>
        </w:rPr>
        <w:t xml:space="preserve">may </w:t>
      </w:r>
      <w:r w:rsidRPr="001101B3">
        <w:rPr>
          <w:sz w:val="28"/>
          <w:szCs w:val="28"/>
        </w:rPr>
        <w:t xml:space="preserve">be increased if there are </w:t>
      </w:r>
      <w:r w:rsidR="00F00F64" w:rsidRPr="001101B3">
        <w:rPr>
          <w:sz w:val="28"/>
          <w:szCs w:val="28"/>
        </w:rPr>
        <w:t>factors that</w:t>
      </w:r>
      <w:r w:rsidRPr="001101B3">
        <w:rPr>
          <w:sz w:val="28"/>
          <w:szCs w:val="28"/>
        </w:rPr>
        <w:t xml:space="preserve"> worsen the nature of the act</w:t>
      </w:r>
      <w:r w:rsidR="00816C09" w:rsidRPr="001101B3">
        <w:rPr>
          <w:sz w:val="28"/>
          <w:szCs w:val="28"/>
        </w:rPr>
        <w:t>.</w:t>
      </w:r>
    </w:p>
    <w:p w14:paraId="27B97468" w14:textId="77777777" w:rsidR="009D3DAA" w:rsidRPr="001101B3" w:rsidRDefault="009D3DAA" w:rsidP="007E0304">
      <w:pPr>
        <w:rPr>
          <w:b/>
          <w:sz w:val="28"/>
          <w:szCs w:val="28"/>
        </w:rPr>
      </w:pPr>
    </w:p>
    <w:p w14:paraId="10B38E9A" w14:textId="622D9411" w:rsidR="007E0304" w:rsidRPr="001101B3" w:rsidRDefault="00C73002" w:rsidP="007E0304">
      <w:pPr>
        <w:rPr>
          <w:b/>
          <w:sz w:val="28"/>
          <w:szCs w:val="28"/>
        </w:rPr>
      </w:pPr>
      <w:r w:rsidRPr="001101B3">
        <w:rPr>
          <w:b/>
          <w:sz w:val="28"/>
          <w:szCs w:val="28"/>
        </w:rPr>
        <w:t>9</w:t>
      </w:r>
      <w:r w:rsidR="007E0304" w:rsidRPr="001101B3">
        <w:rPr>
          <w:b/>
          <w:sz w:val="28"/>
          <w:szCs w:val="28"/>
        </w:rPr>
        <w:t>.7.1 Types of aggravating factors</w:t>
      </w:r>
    </w:p>
    <w:p w14:paraId="53727519" w14:textId="77777777" w:rsidR="00367CC4" w:rsidRPr="001101B3" w:rsidRDefault="00367CC4" w:rsidP="007E0304">
      <w:pPr>
        <w:rPr>
          <w:b/>
          <w:sz w:val="28"/>
          <w:szCs w:val="28"/>
        </w:rPr>
      </w:pPr>
    </w:p>
    <w:p w14:paraId="69032109" w14:textId="7AC1B380" w:rsidR="007E0304" w:rsidRPr="001101B3" w:rsidRDefault="007E0304" w:rsidP="007E0304">
      <w:pPr>
        <w:rPr>
          <w:sz w:val="28"/>
          <w:szCs w:val="28"/>
        </w:rPr>
      </w:pPr>
      <w:r w:rsidRPr="001101B3">
        <w:rPr>
          <w:sz w:val="28"/>
          <w:szCs w:val="28"/>
        </w:rPr>
        <w:t xml:space="preserve">             </w:t>
      </w:r>
      <w:r w:rsidR="00DA486F" w:rsidRPr="001101B3">
        <w:rPr>
          <w:sz w:val="28"/>
          <w:szCs w:val="28"/>
        </w:rPr>
        <w:t>Aggravating factors include</w:t>
      </w:r>
      <w:r w:rsidRPr="001101B3">
        <w:rPr>
          <w:sz w:val="28"/>
          <w:szCs w:val="28"/>
        </w:rPr>
        <w:t>:</w:t>
      </w:r>
    </w:p>
    <w:p w14:paraId="3817581F" w14:textId="34A856D7" w:rsidR="007E0304" w:rsidRPr="001101B3" w:rsidRDefault="009D3DAA" w:rsidP="007E0304">
      <w:pPr>
        <w:numPr>
          <w:ilvl w:val="1"/>
          <w:numId w:val="9"/>
        </w:numPr>
        <w:rPr>
          <w:sz w:val="28"/>
          <w:szCs w:val="28"/>
        </w:rPr>
      </w:pPr>
      <w:r w:rsidRPr="001101B3">
        <w:rPr>
          <w:sz w:val="28"/>
          <w:szCs w:val="28"/>
        </w:rPr>
        <w:t>P</w:t>
      </w:r>
      <w:r w:rsidR="007E0304" w:rsidRPr="001101B3">
        <w:rPr>
          <w:sz w:val="28"/>
          <w:szCs w:val="28"/>
        </w:rPr>
        <w:t>re-meditat</w:t>
      </w:r>
      <w:r w:rsidR="00B25CC2" w:rsidRPr="001101B3">
        <w:rPr>
          <w:sz w:val="28"/>
          <w:szCs w:val="28"/>
        </w:rPr>
        <w:t>ion.</w:t>
      </w:r>
    </w:p>
    <w:p w14:paraId="729C6EC8" w14:textId="7493D10F" w:rsidR="007E0304" w:rsidRPr="001101B3" w:rsidRDefault="007E0304" w:rsidP="007E0304">
      <w:pPr>
        <w:numPr>
          <w:ilvl w:val="1"/>
          <w:numId w:val="9"/>
        </w:numPr>
        <w:rPr>
          <w:sz w:val="28"/>
          <w:szCs w:val="28"/>
        </w:rPr>
      </w:pPr>
      <w:r w:rsidRPr="001101B3">
        <w:rPr>
          <w:sz w:val="28"/>
          <w:szCs w:val="28"/>
        </w:rPr>
        <w:lastRenderedPageBreak/>
        <w:t>Done to a vulnerable victim</w:t>
      </w:r>
      <w:r w:rsidR="000D5AAD" w:rsidRPr="001101B3">
        <w:rPr>
          <w:sz w:val="28"/>
          <w:szCs w:val="28"/>
        </w:rPr>
        <w:t>.</w:t>
      </w:r>
    </w:p>
    <w:p w14:paraId="7652E078" w14:textId="65C81EB6" w:rsidR="007E0304" w:rsidRPr="001101B3" w:rsidRDefault="00DA486F" w:rsidP="007E0304">
      <w:pPr>
        <w:numPr>
          <w:ilvl w:val="1"/>
          <w:numId w:val="9"/>
        </w:numPr>
        <w:rPr>
          <w:sz w:val="28"/>
          <w:szCs w:val="28"/>
        </w:rPr>
      </w:pPr>
      <w:r w:rsidRPr="001101B3">
        <w:rPr>
          <w:sz w:val="28"/>
          <w:szCs w:val="28"/>
        </w:rPr>
        <w:t>V</w:t>
      </w:r>
      <w:r w:rsidR="007E0304" w:rsidRPr="001101B3">
        <w:rPr>
          <w:sz w:val="28"/>
          <w:szCs w:val="28"/>
        </w:rPr>
        <w:t>iolence or weapons</w:t>
      </w:r>
      <w:r w:rsidR="006D308E" w:rsidRPr="001101B3">
        <w:rPr>
          <w:sz w:val="28"/>
          <w:szCs w:val="28"/>
        </w:rPr>
        <w:t xml:space="preserve"> were used</w:t>
      </w:r>
      <w:r w:rsidR="000D5AAD" w:rsidRPr="001101B3">
        <w:rPr>
          <w:sz w:val="28"/>
          <w:szCs w:val="28"/>
        </w:rPr>
        <w:t>.</w:t>
      </w:r>
    </w:p>
    <w:p w14:paraId="647A587F" w14:textId="0B48A8D8" w:rsidR="00E22241" w:rsidRPr="001101B3" w:rsidRDefault="009D3DAA" w:rsidP="007E0304">
      <w:pPr>
        <w:numPr>
          <w:ilvl w:val="1"/>
          <w:numId w:val="9"/>
        </w:numPr>
        <w:rPr>
          <w:sz w:val="28"/>
          <w:szCs w:val="28"/>
        </w:rPr>
      </w:pPr>
      <w:r w:rsidRPr="001101B3">
        <w:rPr>
          <w:sz w:val="28"/>
          <w:szCs w:val="28"/>
        </w:rPr>
        <w:t>Prevalent</w:t>
      </w:r>
      <w:r w:rsidR="00630F40" w:rsidRPr="001101B3">
        <w:rPr>
          <w:sz w:val="28"/>
          <w:szCs w:val="28"/>
        </w:rPr>
        <w:t>;</w:t>
      </w:r>
      <w:r w:rsidR="00E22241" w:rsidRPr="001101B3">
        <w:rPr>
          <w:sz w:val="28"/>
          <w:szCs w:val="28"/>
        </w:rPr>
        <w:t xml:space="preserve"> the more common an of</w:t>
      </w:r>
      <w:r w:rsidR="002705C7" w:rsidRPr="001101B3">
        <w:rPr>
          <w:sz w:val="28"/>
          <w:szCs w:val="28"/>
        </w:rPr>
        <w:t>fence</w:t>
      </w:r>
      <w:r w:rsidR="00630F40" w:rsidRPr="001101B3">
        <w:rPr>
          <w:sz w:val="28"/>
          <w:szCs w:val="28"/>
        </w:rPr>
        <w:t>,</w:t>
      </w:r>
      <w:r w:rsidR="002705C7" w:rsidRPr="001101B3">
        <w:rPr>
          <w:sz w:val="28"/>
          <w:szCs w:val="28"/>
        </w:rPr>
        <w:t xml:space="preserve"> the greater the sentence </w:t>
      </w:r>
      <w:r w:rsidR="00630F40" w:rsidRPr="001101B3">
        <w:rPr>
          <w:sz w:val="28"/>
          <w:szCs w:val="28"/>
        </w:rPr>
        <w:t xml:space="preserve">which </w:t>
      </w:r>
      <w:r w:rsidR="002705C7" w:rsidRPr="001101B3">
        <w:rPr>
          <w:sz w:val="28"/>
          <w:szCs w:val="28"/>
        </w:rPr>
        <w:t>might be imposed</w:t>
      </w:r>
      <w:r w:rsidR="008726B4" w:rsidRPr="001101B3">
        <w:rPr>
          <w:sz w:val="28"/>
          <w:szCs w:val="28"/>
        </w:rPr>
        <w:t>.</w:t>
      </w:r>
    </w:p>
    <w:p w14:paraId="78086294" w14:textId="362B4988" w:rsidR="006939FA" w:rsidRPr="001101B3" w:rsidRDefault="006939FA" w:rsidP="007E0304">
      <w:pPr>
        <w:numPr>
          <w:ilvl w:val="1"/>
          <w:numId w:val="9"/>
        </w:numPr>
        <w:rPr>
          <w:sz w:val="28"/>
          <w:szCs w:val="28"/>
        </w:rPr>
      </w:pPr>
      <w:r w:rsidRPr="001101B3">
        <w:rPr>
          <w:sz w:val="28"/>
          <w:szCs w:val="28"/>
        </w:rPr>
        <w:t>Domestic violence.</w:t>
      </w:r>
    </w:p>
    <w:p w14:paraId="44A1F88C" w14:textId="77777777" w:rsidR="007E0304" w:rsidRPr="001101B3" w:rsidRDefault="007E0304" w:rsidP="007E0304">
      <w:pPr>
        <w:rPr>
          <w:b/>
          <w:sz w:val="28"/>
          <w:szCs w:val="28"/>
        </w:rPr>
      </w:pPr>
    </w:p>
    <w:p w14:paraId="14C8E8BB" w14:textId="09963B1A" w:rsidR="007E0304" w:rsidRPr="001101B3" w:rsidRDefault="00C73002" w:rsidP="007E0304">
      <w:pPr>
        <w:rPr>
          <w:b/>
          <w:sz w:val="28"/>
          <w:szCs w:val="28"/>
        </w:rPr>
      </w:pPr>
      <w:r w:rsidRPr="001101B3">
        <w:rPr>
          <w:b/>
          <w:sz w:val="28"/>
          <w:szCs w:val="28"/>
        </w:rPr>
        <w:t>9</w:t>
      </w:r>
      <w:r w:rsidR="007E0304" w:rsidRPr="001101B3">
        <w:rPr>
          <w:b/>
          <w:sz w:val="28"/>
          <w:szCs w:val="28"/>
        </w:rPr>
        <w:t>.7.2 Prior criminal record</w:t>
      </w:r>
    </w:p>
    <w:p w14:paraId="7A95078D" w14:textId="77777777" w:rsidR="000F178B" w:rsidRPr="001101B3" w:rsidRDefault="000F178B" w:rsidP="007E0304">
      <w:pPr>
        <w:rPr>
          <w:b/>
          <w:sz w:val="28"/>
          <w:szCs w:val="28"/>
        </w:rPr>
      </w:pPr>
    </w:p>
    <w:p w14:paraId="424FA036" w14:textId="77777777" w:rsidR="000F178B" w:rsidRPr="001101B3" w:rsidRDefault="000F178B" w:rsidP="000F178B">
      <w:pPr>
        <w:rPr>
          <w:sz w:val="28"/>
          <w:szCs w:val="28"/>
        </w:rPr>
      </w:pPr>
      <w:r w:rsidRPr="001101B3">
        <w:rPr>
          <w:sz w:val="28"/>
          <w:szCs w:val="28"/>
        </w:rPr>
        <w:t>Key points are:</w:t>
      </w:r>
    </w:p>
    <w:p w14:paraId="03C2185B" w14:textId="77777777" w:rsidR="000F178B" w:rsidRPr="001101B3" w:rsidRDefault="000F178B" w:rsidP="000F178B">
      <w:pPr>
        <w:rPr>
          <w:sz w:val="28"/>
          <w:szCs w:val="28"/>
        </w:rPr>
      </w:pPr>
    </w:p>
    <w:p w14:paraId="482CFB47" w14:textId="7D69D733" w:rsidR="007E0304" w:rsidRPr="001101B3" w:rsidRDefault="000F178B" w:rsidP="000F178B">
      <w:pPr>
        <w:pStyle w:val="ListParagraph"/>
        <w:numPr>
          <w:ilvl w:val="0"/>
          <w:numId w:val="9"/>
        </w:numPr>
        <w:rPr>
          <w:sz w:val="28"/>
          <w:szCs w:val="28"/>
        </w:rPr>
      </w:pPr>
      <w:r w:rsidRPr="001101B3">
        <w:rPr>
          <w:sz w:val="28"/>
          <w:szCs w:val="28"/>
        </w:rPr>
        <w:t xml:space="preserve">It is a </w:t>
      </w:r>
      <w:r w:rsidR="007E0304" w:rsidRPr="001101B3">
        <w:rPr>
          <w:sz w:val="28"/>
          <w:szCs w:val="28"/>
        </w:rPr>
        <w:t>‘</w:t>
      </w:r>
      <w:r w:rsidR="007A32C9" w:rsidRPr="001101B3">
        <w:rPr>
          <w:sz w:val="28"/>
          <w:szCs w:val="28"/>
        </w:rPr>
        <w:t>g</w:t>
      </w:r>
      <w:r w:rsidR="007E0304" w:rsidRPr="001101B3">
        <w:rPr>
          <w:sz w:val="28"/>
          <w:szCs w:val="28"/>
        </w:rPr>
        <w:t>rav</w:t>
      </w:r>
      <w:r w:rsidRPr="001101B3">
        <w:rPr>
          <w:sz w:val="28"/>
          <w:szCs w:val="28"/>
        </w:rPr>
        <w:t>ely aggravating’ factor in HK. It l</w:t>
      </w:r>
      <w:r w:rsidR="007E0304" w:rsidRPr="001101B3">
        <w:rPr>
          <w:sz w:val="28"/>
          <w:szCs w:val="28"/>
        </w:rPr>
        <w:t>eads to</w:t>
      </w:r>
      <w:r w:rsidR="000D5AAD" w:rsidRPr="001101B3">
        <w:rPr>
          <w:sz w:val="28"/>
          <w:szCs w:val="28"/>
        </w:rPr>
        <w:t xml:space="preserve"> a</w:t>
      </w:r>
      <w:r w:rsidR="007E0304" w:rsidRPr="001101B3">
        <w:rPr>
          <w:sz w:val="28"/>
          <w:szCs w:val="28"/>
        </w:rPr>
        <w:t xml:space="preserve"> higher starting point in the sentenc</w:t>
      </w:r>
      <w:r w:rsidR="00DA486F" w:rsidRPr="001101B3">
        <w:rPr>
          <w:sz w:val="28"/>
          <w:szCs w:val="28"/>
        </w:rPr>
        <w:t>ing</w:t>
      </w:r>
      <w:r w:rsidR="007E0304" w:rsidRPr="001101B3">
        <w:rPr>
          <w:sz w:val="28"/>
          <w:szCs w:val="28"/>
        </w:rPr>
        <w:t>.</w:t>
      </w:r>
    </w:p>
    <w:p w14:paraId="00B0B0AF" w14:textId="052CB371" w:rsidR="007E0304" w:rsidRPr="001101B3" w:rsidRDefault="007E0304" w:rsidP="007E0304">
      <w:pPr>
        <w:pStyle w:val="ListParagraph"/>
        <w:numPr>
          <w:ilvl w:val="0"/>
          <w:numId w:val="9"/>
        </w:numPr>
        <w:rPr>
          <w:sz w:val="28"/>
          <w:szCs w:val="28"/>
        </w:rPr>
      </w:pPr>
      <w:r w:rsidRPr="001101B3">
        <w:rPr>
          <w:sz w:val="28"/>
          <w:szCs w:val="28"/>
        </w:rPr>
        <w:t xml:space="preserve">How does this fit in with notion of </w:t>
      </w:r>
      <w:r w:rsidR="00630F40" w:rsidRPr="001101B3">
        <w:rPr>
          <w:sz w:val="28"/>
          <w:szCs w:val="28"/>
        </w:rPr>
        <w:t>just d</w:t>
      </w:r>
      <w:r w:rsidRPr="001101B3">
        <w:rPr>
          <w:sz w:val="28"/>
          <w:szCs w:val="28"/>
        </w:rPr>
        <w:t xml:space="preserve">esert </w:t>
      </w:r>
      <w:r w:rsidR="00630F40" w:rsidRPr="001101B3">
        <w:rPr>
          <w:sz w:val="28"/>
          <w:szCs w:val="28"/>
        </w:rPr>
        <w:t>t</w:t>
      </w:r>
      <w:r w:rsidRPr="001101B3">
        <w:rPr>
          <w:sz w:val="28"/>
          <w:szCs w:val="28"/>
        </w:rPr>
        <w:t>heory and proportionality?</w:t>
      </w:r>
      <w:r w:rsidRPr="001101B3">
        <w:rPr>
          <w:rStyle w:val="FootnoteReference"/>
          <w:sz w:val="28"/>
          <w:szCs w:val="28"/>
        </w:rPr>
        <w:footnoteReference w:id="18"/>
      </w:r>
    </w:p>
    <w:p w14:paraId="1576CD8B" w14:textId="2B9BCA8C" w:rsidR="007E0304" w:rsidRPr="001101B3" w:rsidRDefault="007E0304" w:rsidP="007E0304">
      <w:pPr>
        <w:pStyle w:val="ListParagraph"/>
        <w:numPr>
          <w:ilvl w:val="0"/>
          <w:numId w:val="9"/>
        </w:numPr>
        <w:rPr>
          <w:sz w:val="28"/>
          <w:szCs w:val="28"/>
        </w:rPr>
      </w:pPr>
      <w:r w:rsidRPr="001101B3">
        <w:rPr>
          <w:sz w:val="28"/>
          <w:szCs w:val="28"/>
        </w:rPr>
        <w:t>If</w:t>
      </w:r>
      <w:r w:rsidR="000F178B" w:rsidRPr="001101B3">
        <w:rPr>
          <w:sz w:val="28"/>
          <w:szCs w:val="28"/>
        </w:rPr>
        <w:t xml:space="preserve"> someone is</w:t>
      </w:r>
      <w:r w:rsidRPr="001101B3">
        <w:rPr>
          <w:sz w:val="28"/>
          <w:szCs w:val="28"/>
        </w:rPr>
        <w:t xml:space="preserve"> previously punished for a crime</w:t>
      </w:r>
      <w:r w:rsidR="00F00F64" w:rsidRPr="001101B3">
        <w:rPr>
          <w:sz w:val="28"/>
          <w:szCs w:val="28"/>
        </w:rPr>
        <w:t>;</w:t>
      </w:r>
      <w:r w:rsidRPr="001101B3">
        <w:rPr>
          <w:sz w:val="28"/>
          <w:szCs w:val="28"/>
        </w:rPr>
        <w:t xml:space="preserve"> is that irrelevant? </w:t>
      </w:r>
    </w:p>
    <w:p w14:paraId="741E2136" w14:textId="7192EFAB" w:rsidR="007E0304" w:rsidRPr="001101B3" w:rsidRDefault="000F178B" w:rsidP="006C4CFC">
      <w:pPr>
        <w:pStyle w:val="ListParagraph"/>
        <w:numPr>
          <w:ilvl w:val="0"/>
          <w:numId w:val="9"/>
        </w:numPr>
        <w:rPr>
          <w:sz w:val="28"/>
          <w:szCs w:val="28"/>
        </w:rPr>
      </w:pPr>
      <w:r w:rsidRPr="001101B3">
        <w:rPr>
          <w:sz w:val="28"/>
          <w:szCs w:val="28"/>
        </w:rPr>
        <w:t>There are l</w:t>
      </w:r>
      <w:r w:rsidR="007E0304" w:rsidRPr="001101B3">
        <w:rPr>
          <w:sz w:val="28"/>
          <w:szCs w:val="28"/>
        </w:rPr>
        <w:t>inks between recidivism and economic deprivation.</w:t>
      </w:r>
      <w:r w:rsidR="006C4CFC" w:rsidRPr="001101B3">
        <w:rPr>
          <w:sz w:val="28"/>
          <w:szCs w:val="28"/>
        </w:rPr>
        <w:t xml:space="preserve"> </w:t>
      </w:r>
      <w:r w:rsidRPr="001101B3">
        <w:rPr>
          <w:sz w:val="28"/>
          <w:szCs w:val="28"/>
        </w:rPr>
        <w:t>The Gove</w:t>
      </w:r>
      <w:r w:rsidR="007E0304" w:rsidRPr="001101B3">
        <w:rPr>
          <w:sz w:val="28"/>
          <w:szCs w:val="28"/>
        </w:rPr>
        <w:t>rnor of Moun</w:t>
      </w:r>
      <w:r w:rsidRPr="001101B3">
        <w:rPr>
          <w:sz w:val="28"/>
          <w:szCs w:val="28"/>
        </w:rPr>
        <w:t>tjoy Prison in Dublin</w:t>
      </w:r>
      <w:r w:rsidR="00A8722E" w:rsidRPr="001101B3">
        <w:rPr>
          <w:sz w:val="28"/>
          <w:szCs w:val="28"/>
        </w:rPr>
        <w:t>,</w:t>
      </w:r>
      <w:r w:rsidRPr="001101B3">
        <w:rPr>
          <w:sz w:val="28"/>
          <w:szCs w:val="28"/>
        </w:rPr>
        <w:t xml:space="preserve"> </w:t>
      </w:r>
      <w:r w:rsidR="00A8722E" w:rsidRPr="001101B3">
        <w:rPr>
          <w:sz w:val="28"/>
          <w:szCs w:val="28"/>
        </w:rPr>
        <w:t>I</w:t>
      </w:r>
      <w:r w:rsidRPr="001101B3">
        <w:rPr>
          <w:sz w:val="28"/>
          <w:szCs w:val="28"/>
        </w:rPr>
        <w:t>reland</w:t>
      </w:r>
      <w:r w:rsidR="001101B3">
        <w:rPr>
          <w:sz w:val="28"/>
          <w:szCs w:val="28"/>
        </w:rPr>
        <w:t>,</w:t>
      </w:r>
      <w:r w:rsidRPr="001101B3">
        <w:rPr>
          <w:sz w:val="28"/>
          <w:szCs w:val="28"/>
        </w:rPr>
        <w:t xml:space="preserve"> noted that </w:t>
      </w:r>
      <w:r w:rsidR="007E0304" w:rsidRPr="001101B3">
        <w:rPr>
          <w:sz w:val="28"/>
          <w:szCs w:val="28"/>
        </w:rPr>
        <w:t>80% of its inmates all come from the same postal address.</w:t>
      </w:r>
      <w:r w:rsidR="007E0304" w:rsidRPr="001101B3">
        <w:rPr>
          <w:rStyle w:val="FootnoteReference"/>
          <w:sz w:val="28"/>
          <w:szCs w:val="28"/>
        </w:rPr>
        <w:footnoteReference w:id="19"/>
      </w:r>
    </w:p>
    <w:p w14:paraId="42ED1708" w14:textId="77777777" w:rsidR="007E0304" w:rsidRPr="001101B3" w:rsidRDefault="007E0304" w:rsidP="002643C3">
      <w:pPr>
        <w:rPr>
          <w:sz w:val="28"/>
          <w:szCs w:val="28"/>
        </w:rPr>
      </w:pPr>
    </w:p>
    <w:p w14:paraId="1C995A43" w14:textId="7399CB0E" w:rsidR="007E0304" w:rsidRPr="001101B3" w:rsidRDefault="00C73002" w:rsidP="00655D72">
      <w:pPr>
        <w:pStyle w:val="ListParagraph"/>
        <w:widowControl/>
        <w:numPr>
          <w:ilvl w:val="1"/>
          <w:numId w:val="38"/>
        </w:numPr>
        <w:spacing w:after="200" w:line="276" w:lineRule="auto"/>
        <w:rPr>
          <w:b/>
          <w:sz w:val="28"/>
          <w:szCs w:val="28"/>
        </w:rPr>
      </w:pPr>
      <w:r w:rsidRPr="001101B3">
        <w:rPr>
          <w:b/>
          <w:sz w:val="28"/>
          <w:szCs w:val="28"/>
        </w:rPr>
        <w:t xml:space="preserve"> </w:t>
      </w:r>
      <w:r w:rsidR="007E0304" w:rsidRPr="001101B3">
        <w:rPr>
          <w:b/>
          <w:sz w:val="28"/>
          <w:szCs w:val="28"/>
        </w:rPr>
        <w:t>Mitigating factors</w:t>
      </w:r>
      <w:r w:rsidR="007E0304" w:rsidRPr="001101B3">
        <w:rPr>
          <w:sz w:val="28"/>
          <w:szCs w:val="28"/>
        </w:rPr>
        <w:t xml:space="preserve"> </w:t>
      </w:r>
    </w:p>
    <w:p w14:paraId="3FBDE2AD" w14:textId="160C51AF" w:rsidR="00A8722E" w:rsidRPr="001101B3" w:rsidRDefault="00A8722E" w:rsidP="00A8722E">
      <w:pPr>
        <w:widowControl/>
        <w:spacing w:after="200" w:line="276" w:lineRule="auto"/>
        <w:rPr>
          <w:sz w:val="28"/>
          <w:szCs w:val="28"/>
        </w:rPr>
      </w:pPr>
      <w:r w:rsidRPr="001101B3">
        <w:rPr>
          <w:sz w:val="28"/>
          <w:szCs w:val="28"/>
        </w:rPr>
        <w:t>These are factors which reduce the sentence, such as the offender’s background.</w:t>
      </w:r>
      <w:r w:rsidRPr="001101B3">
        <w:rPr>
          <w:rStyle w:val="FootnoteReference"/>
          <w:sz w:val="28"/>
          <w:szCs w:val="28"/>
        </w:rPr>
        <w:footnoteReference w:id="20"/>
      </w:r>
      <w:r w:rsidRPr="001101B3">
        <w:rPr>
          <w:sz w:val="28"/>
          <w:szCs w:val="28"/>
        </w:rPr>
        <w:t xml:space="preserve"> For example, if they are very young or old</w:t>
      </w:r>
      <w:r w:rsidR="004D65DC" w:rsidRPr="001101B3">
        <w:rPr>
          <w:sz w:val="28"/>
          <w:szCs w:val="28"/>
        </w:rPr>
        <w:t>, are of good character, were provoked</w:t>
      </w:r>
      <w:r w:rsidRPr="001101B3">
        <w:rPr>
          <w:sz w:val="28"/>
          <w:szCs w:val="28"/>
        </w:rPr>
        <w:t xml:space="preserve"> or have</w:t>
      </w:r>
      <w:r w:rsidR="004D65DC" w:rsidRPr="001101B3">
        <w:rPr>
          <w:sz w:val="28"/>
          <w:szCs w:val="28"/>
        </w:rPr>
        <w:t xml:space="preserve"> serious</w:t>
      </w:r>
      <w:r w:rsidRPr="001101B3">
        <w:rPr>
          <w:sz w:val="28"/>
          <w:szCs w:val="28"/>
        </w:rPr>
        <w:t xml:space="preserve"> mental health problems.</w:t>
      </w:r>
    </w:p>
    <w:p w14:paraId="653D8462" w14:textId="44634B22" w:rsidR="00524DDC" w:rsidRPr="001101B3" w:rsidRDefault="00A8722E" w:rsidP="009E7112">
      <w:pPr>
        <w:pStyle w:val="NormalWeb"/>
        <w:jc w:val="both"/>
        <w:rPr>
          <w:sz w:val="28"/>
          <w:szCs w:val="28"/>
        </w:rPr>
      </w:pPr>
      <w:r w:rsidRPr="001101B3">
        <w:rPr>
          <w:sz w:val="28"/>
          <w:szCs w:val="28"/>
        </w:rPr>
        <w:t>In particular, d</w:t>
      </w:r>
      <w:r w:rsidR="00115CE6" w:rsidRPr="001101B3">
        <w:rPr>
          <w:sz w:val="28"/>
          <w:szCs w:val="28"/>
        </w:rPr>
        <w:t xml:space="preserve">efendants who enter a plea of guilty at the committal hearing are entitled to a discount of </w:t>
      </w:r>
      <w:r w:rsidR="00D119A6">
        <w:rPr>
          <w:sz w:val="28"/>
          <w:szCs w:val="28"/>
        </w:rPr>
        <w:t xml:space="preserve"> one-third </w:t>
      </w:r>
      <w:r w:rsidR="00115CE6" w:rsidRPr="001101B3">
        <w:rPr>
          <w:sz w:val="28"/>
          <w:szCs w:val="28"/>
        </w:rPr>
        <w:t xml:space="preserve">off the sentence. </w:t>
      </w:r>
      <w:r w:rsidR="00B82463" w:rsidRPr="001101B3">
        <w:rPr>
          <w:sz w:val="28"/>
          <w:szCs w:val="28"/>
        </w:rPr>
        <w:t xml:space="preserve"> In the case of matters to be heard in the CFI, a</w:t>
      </w:r>
      <w:r w:rsidR="00115CE6" w:rsidRPr="001101B3">
        <w:rPr>
          <w:sz w:val="28"/>
          <w:szCs w:val="28"/>
        </w:rPr>
        <w:t xml:space="preserve"> plea entered after that time will attract lesser deductions, ranging from 25% to 20% (entere</w:t>
      </w:r>
      <w:r w:rsidR="00B82463" w:rsidRPr="001101B3">
        <w:rPr>
          <w:sz w:val="28"/>
          <w:szCs w:val="28"/>
        </w:rPr>
        <w:t xml:space="preserve">d on the first day of the trial) and a lesser </w:t>
      </w:r>
      <w:r w:rsidR="00524DDC" w:rsidRPr="001101B3">
        <w:rPr>
          <w:sz w:val="28"/>
          <w:szCs w:val="28"/>
        </w:rPr>
        <w:t xml:space="preserve">amount than 20% after that date: </w:t>
      </w:r>
      <w:r w:rsidR="00524DDC" w:rsidRPr="001101B3">
        <w:rPr>
          <w:i/>
          <w:sz w:val="28"/>
          <w:szCs w:val="28"/>
        </w:rPr>
        <w:t>HKSAR</w:t>
      </w:r>
      <w:r w:rsidR="00524DDC" w:rsidRPr="001101B3">
        <w:rPr>
          <w:sz w:val="28"/>
          <w:szCs w:val="28"/>
        </w:rPr>
        <w:t xml:space="preserve"> v </w:t>
      </w:r>
      <w:r w:rsidR="00524DDC" w:rsidRPr="001101B3">
        <w:rPr>
          <w:i/>
          <w:sz w:val="28"/>
          <w:szCs w:val="28"/>
        </w:rPr>
        <w:t>Ngo Van Nam</w:t>
      </w:r>
      <w:r w:rsidR="00524DDC" w:rsidRPr="001101B3">
        <w:rPr>
          <w:sz w:val="28"/>
          <w:szCs w:val="28"/>
        </w:rPr>
        <w:t>.</w:t>
      </w:r>
      <w:r w:rsidR="00524DDC" w:rsidRPr="001101B3">
        <w:rPr>
          <w:rStyle w:val="FootnoteReference"/>
          <w:sz w:val="28"/>
          <w:szCs w:val="28"/>
        </w:rPr>
        <w:footnoteReference w:id="21"/>
      </w:r>
      <w:r w:rsidR="00524DDC" w:rsidRPr="001101B3">
        <w:rPr>
          <w:sz w:val="28"/>
          <w:szCs w:val="28"/>
        </w:rPr>
        <w:t xml:space="preserve"> </w:t>
      </w:r>
      <w:bookmarkStart w:id="3" w:name="p47"/>
      <w:r w:rsidR="00524DDC" w:rsidRPr="001101B3">
        <w:rPr>
          <w:sz w:val="28"/>
          <w:szCs w:val="28"/>
        </w:rPr>
        <w:t>The rationale for this discount is provided in this case as follows</w:t>
      </w:r>
      <w:r w:rsidR="000D5AAD" w:rsidRPr="001101B3">
        <w:rPr>
          <w:sz w:val="28"/>
          <w:szCs w:val="28"/>
        </w:rPr>
        <w:t xml:space="preserve"> in the quotation from Lunn VP</w:t>
      </w:r>
      <w:r w:rsidR="002B099A" w:rsidRPr="001101B3">
        <w:rPr>
          <w:sz w:val="28"/>
          <w:szCs w:val="28"/>
        </w:rPr>
        <w:t>:</w:t>
      </w:r>
      <w:r w:rsidR="00524DDC" w:rsidRPr="001101B3">
        <w:rPr>
          <w:sz w:val="28"/>
          <w:szCs w:val="28"/>
        </w:rPr>
        <w:t xml:space="preserve"> </w:t>
      </w:r>
      <w:r w:rsidR="002B099A" w:rsidRPr="001101B3">
        <w:rPr>
          <w:i/>
          <w:sz w:val="28"/>
          <w:szCs w:val="28"/>
        </w:rPr>
        <w:t>“</w:t>
      </w:r>
      <w:r w:rsidR="00524DDC" w:rsidRPr="001101B3">
        <w:rPr>
          <w:i/>
          <w:sz w:val="28"/>
          <w:szCs w:val="28"/>
        </w:rPr>
        <w:t>47.</w:t>
      </w:r>
      <w:bookmarkEnd w:id="3"/>
      <w:r w:rsidR="00524DDC" w:rsidRPr="001101B3">
        <w:rPr>
          <w:i/>
          <w:sz w:val="28"/>
          <w:szCs w:val="28"/>
        </w:rPr>
        <w:t xml:space="preserve"> In the judgment of this Court, similarly constituted, in </w:t>
      </w:r>
      <w:r w:rsidR="00524DDC" w:rsidRPr="001101B3">
        <w:rPr>
          <w:i/>
          <w:iCs/>
          <w:sz w:val="28"/>
          <w:szCs w:val="28"/>
        </w:rPr>
        <w:t>HKSAR v Lo Kam Fai</w:t>
      </w:r>
      <w:r w:rsidR="00524DDC" w:rsidRPr="001101B3">
        <w:rPr>
          <w:i/>
          <w:sz w:val="28"/>
          <w:szCs w:val="28"/>
        </w:rPr>
        <w:t xml:space="preserve">, Yeung VP noted that, “A defendant who enters a timely plea of guilty is normally entitled to a sentence discount of one third from the starting point because it is in the public interest to do so.” Yeung VP went on to cite with approval the judgment of Kirby J  in the High </w:t>
      </w:r>
      <w:r w:rsidR="00524DDC" w:rsidRPr="001101B3">
        <w:rPr>
          <w:i/>
          <w:sz w:val="28"/>
          <w:szCs w:val="28"/>
        </w:rPr>
        <w:lastRenderedPageBreak/>
        <w:t xml:space="preserve">Court of Australia in </w:t>
      </w:r>
      <w:r w:rsidR="00524DDC" w:rsidRPr="001101B3">
        <w:rPr>
          <w:i/>
          <w:iCs/>
          <w:sz w:val="28"/>
          <w:szCs w:val="28"/>
        </w:rPr>
        <w:t>R v Cameron</w:t>
      </w:r>
      <w:r w:rsidR="00524DDC" w:rsidRPr="001101B3">
        <w:rPr>
          <w:i/>
          <w:sz w:val="28"/>
          <w:szCs w:val="28"/>
        </w:rPr>
        <w:t xml:space="preserve"> in which under the rubric of</w:t>
      </w:r>
      <w:r w:rsidR="00524DDC" w:rsidRPr="001101B3">
        <w:rPr>
          <w:sz w:val="28"/>
          <w:szCs w:val="28"/>
        </w:rPr>
        <w:t xml:space="preserve"> </w:t>
      </w:r>
      <w:r w:rsidR="00524DDC" w:rsidRPr="001101B3">
        <w:rPr>
          <w:i/>
          <w:iCs/>
          <w:sz w:val="28"/>
          <w:szCs w:val="28"/>
        </w:rPr>
        <w:t>‘The consideration of the public interest’</w:t>
      </w:r>
      <w:r w:rsidR="00524DDC" w:rsidRPr="001101B3">
        <w:rPr>
          <w:sz w:val="28"/>
          <w:szCs w:val="28"/>
        </w:rPr>
        <w:t xml:space="preserve">, </w:t>
      </w:r>
      <w:r w:rsidR="00524DDC" w:rsidRPr="001101B3">
        <w:rPr>
          <w:i/>
          <w:sz w:val="28"/>
          <w:szCs w:val="28"/>
        </w:rPr>
        <w:t>he said:</w:t>
      </w:r>
    </w:p>
    <w:p w14:paraId="040C92CD" w14:textId="4FE37E7A" w:rsidR="00524DDC" w:rsidRPr="001101B3" w:rsidRDefault="00524DDC" w:rsidP="009E7112">
      <w:pPr>
        <w:pStyle w:val="Quote2"/>
        <w:jc w:val="both"/>
        <w:rPr>
          <w:i/>
          <w:sz w:val="28"/>
          <w:szCs w:val="28"/>
        </w:rPr>
      </w:pPr>
      <w:r w:rsidRPr="001101B3">
        <w:rPr>
          <w:i/>
          <w:sz w:val="28"/>
          <w:szCs w:val="28"/>
        </w:rPr>
        <w:t>“The main features of the public interest, relevant to the discount for a plea of guilty, are “purely utilitarian”. They include the fact that a plea of guilty saves the community the cost and inconvenience of the trial of the prisoner which must otherwise be undertaken. It also involves a saving in costs that must otherwise be expended upon the provision of judicial and court facilities; prosecutorial</w:t>
      </w:r>
      <w:r w:rsidRPr="001101B3">
        <w:rPr>
          <w:sz w:val="28"/>
          <w:szCs w:val="28"/>
        </w:rPr>
        <w:t xml:space="preserve"> </w:t>
      </w:r>
      <w:r w:rsidRPr="001101B3">
        <w:rPr>
          <w:i/>
          <w:sz w:val="28"/>
          <w:szCs w:val="28"/>
        </w:rPr>
        <w:t>operations; the supply of legal aid to accused persons; witness fees; and the fees paid, and inconvenience caused, to any jurors summoned to perform jury service. Even a plea at a late stage, indeed even one offered on the day of trial or during a trial, may, to some extent, involve savings of all these kinds.</w:t>
      </w:r>
    </w:p>
    <w:p w14:paraId="4086308B" w14:textId="716864DD" w:rsidR="00115CE6" w:rsidRPr="001101B3" w:rsidRDefault="00524DDC" w:rsidP="009E7112">
      <w:pPr>
        <w:jc w:val="both"/>
        <w:rPr>
          <w:i/>
          <w:sz w:val="28"/>
          <w:szCs w:val="28"/>
        </w:rPr>
      </w:pPr>
      <w:r w:rsidRPr="001101B3">
        <w:rPr>
          <w:i/>
          <w:sz w:val="28"/>
          <w:szCs w:val="28"/>
        </w:rPr>
        <w:t>… it is in the public interest to facilitate pleas of guilty by those who are guilty and to conserve the trial process substantially to cases where there is a real contest about guilt. Doing this helps ease the congestion in the courts that delay the hearing of such trials as must be held. It also encourages the clear-up rate for crime and so vindicates public confidence in the processes established to protect the community and uphold its laws. A plea of guilty may also help the victims of crime to put their experience behind them; to receive vindication and support from their families and friends and possibly assistance from the community for injuries they have suffered. Especially in cases of homicide and sexual offences, a plea of guilty may spare the victim or the victim’s family and friends the ordeal of having to give evidence.”</w:t>
      </w:r>
    </w:p>
    <w:p w14:paraId="27814809" w14:textId="77777777" w:rsidR="0049794D" w:rsidRPr="001101B3" w:rsidRDefault="0049794D" w:rsidP="009E7112">
      <w:pPr>
        <w:jc w:val="both"/>
        <w:rPr>
          <w:sz w:val="28"/>
          <w:szCs w:val="28"/>
        </w:rPr>
      </w:pPr>
    </w:p>
    <w:p w14:paraId="1586C4B9" w14:textId="4EDDC63E" w:rsidR="00EC52EC" w:rsidRPr="001101B3" w:rsidRDefault="00EC52EC" w:rsidP="009E7112">
      <w:pPr>
        <w:jc w:val="both"/>
        <w:rPr>
          <w:sz w:val="28"/>
          <w:szCs w:val="28"/>
        </w:rPr>
      </w:pPr>
      <w:r w:rsidRPr="001101B3">
        <w:rPr>
          <w:sz w:val="28"/>
          <w:szCs w:val="28"/>
        </w:rPr>
        <w:t>As far as the starting point is concerned (before the one-third discount is applied) the Court of Appeal</w:t>
      </w:r>
      <w:r w:rsidR="00694D74" w:rsidRPr="001101B3">
        <w:rPr>
          <w:sz w:val="28"/>
          <w:szCs w:val="28"/>
        </w:rPr>
        <w:t xml:space="preserve"> in </w:t>
      </w:r>
      <w:r w:rsidR="00694D74" w:rsidRPr="001101B3">
        <w:rPr>
          <w:i/>
          <w:sz w:val="28"/>
          <w:szCs w:val="28"/>
        </w:rPr>
        <w:t>HKSAR</w:t>
      </w:r>
      <w:r w:rsidR="00694D74" w:rsidRPr="001101B3">
        <w:rPr>
          <w:sz w:val="28"/>
          <w:szCs w:val="28"/>
        </w:rPr>
        <w:t xml:space="preserve"> v </w:t>
      </w:r>
      <w:r w:rsidR="00694D74" w:rsidRPr="001101B3">
        <w:rPr>
          <w:i/>
          <w:sz w:val="28"/>
          <w:szCs w:val="28"/>
        </w:rPr>
        <w:t>Wong Mei Heung</w:t>
      </w:r>
      <w:r w:rsidR="00694D74" w:rsidRPr="001101B3">
        <w:rPr>
          <w:sz w:val="28"/>
          <w:szCs w:val="28"/>
        </w:rPr>
        <w:t xml:space="preserve"> has stated, per the Hon Mackintosh J, giving the judgment of the court at 8:</w:t>
      </w:r>
      <w:r w:rsidR="00694D74" w:rsidRPr="001101B3">
        <w:rPr>
          <w:rStyle w:val="FootnoteReference"/>
          <w:sz w:val="28"/>
          <w:szCs w:val="28"/>
        </w:rPr>
        <w:footnoteReference w:id="22"/>
      </w:r>
      <w:r w:rsidR="00694D74" w:rsidRPr="001101B3">
        <w:rPr>
          <w:sz w:val="28"/>
          <w:szCs w:val="28"/>
        </w:rPr>
        <w:t xml:space="preserve"> “As a matter of fundamental sentencing principle, the starting point is directed at the offence and its seriousness, not at the offence and mitigating factors other than the guilty plea.” So, in other words, a sentencing judge should not </w:t>
      </w:r>
      <w:proofErr w:type="gramStart"/>
      <w:r w:rsidR="00694D74" w:rsidRPr="001101B3">
        <w:rPr>
          <w:sz w:val="28"/>
          <w:szCs w:val="28"/>
        </w:rPr>
        <w:t>take into account</w:t>
      </w:r>
      <w:proofErr w:type="gramEnd"/>
      <w:r w:rsidR="00694D74" w:rsidRPr="001101B3">
        <w:rPr>
          <w:sz w:val="28"/>
          <w:szCs w:val="28"/>
        </w:rPr>
        <w:t xml:space="preserve"> mitigating factors as the judge’s starting point.</w:t>
      </w:r>
      <w:r w:rsidR="00694D74" w:rsidRPr="001101B3">
        <w:rPr>
          <w:rStyle w:val="FootnoteReference"/>
          <w:sz w:val="28"/>
          <w:szCs w:val="28"/>
        </w:rPr>
        <w:footnoteReference w:id="23"/>
      </w:r>
    </w:p>
    <w:p w14:paraId="68830C07" w14:textId="77777777" w:rsidR="005F4B3D" w:rsidRPr="001101B3" w:rsidRDefault="005F4B3D" w:rsidP="009E7112">
      <w:pPr>
        <w:jc w:val="both"/>
        <w:rPr>
          <w:sz w:val="28"/>
          <w:szCs w:val="28"/>
        </w:rPr>
      </w:pPr>
    </w:p>
    <w:p w14:paraId="6A550612" w14:textId="5124CA93" w:rsidR="000D5AAD" w:rsidRPr="001101B3" w:rsidRDefault="005F4B3D" w:rsidP="009E7112">
      <w:pPr>
        <w:jc w:val="both"/>
        <w:rPr>
          <w:sz w:val="28"/>
          <w:szCs w:val="28"/>
        </w:rPr>
      </w:pPr>
      <w:r w:rsidRPr="001101B3">
        <w:rPr>
          <w:sz w:val="28"/>
          <w:szCs w:val="28"/>
        </w:rPr>
        <w:t xml:space="preserve">A detailed example of how this process works was set out in the case of </w:t>
      </w:r>
      <w:r w:rsidRPr="001101B3">
        <w:rPr>
          <w:i/>
          <w:sz w:val="28"/>
          <w:szCs w:val="28"/>
        </w:rPr>
        <w:t>HKSAR v Wong Siu Kwan.</w:t>
      </w:r>
      <w:r w:rsidRPr="001101B3">
        <w:rPr>
          <w:rStyle w:val="FootnoteReference"/>
          <w:sz w:val="28"/>
          <w:szCs w:val="28"/>
        </w:rPr>
        <w:footnoteReference w:id="24"/>
      </w:r>
      <w:r w:rsidRPr="001101B3">
        <w:rPr>
          <w:sz w:val="28"/>
          <w:szCs w:val="28"/>
        </w:rPr>
        <w:t xml:space="preserve"> In that case, the applicant pleaded guilty to a charge under </w:t>
      </w:r>
      <w:hyperlink r:id="rId8" w:history="1">
        <w:r w:rsidRPr="001101B3">
          <w:rPr>
            <w:rStyle w:val="Hyperlink"/>
            <w:color w:val="auto"/>
            <w:sz w:val="28"/>
            <w:szCs w:val="28"/>
            <w:u w:val="none"/>
          </w:rPr>
          <w:t>s 29(c)</w:t>
        </w:r>
      </w:hyperlink>
      <w:r w:rsidRPr="001101B3">
        <w:rPr>
          <w:sz w:val="28"/>
          <w:szCs w:val="28"/>
        </w:rPr>
        <w:t xml:space="preserve"> </w:t>
      </w:r>
      <w:r w:rsidR="0027104A" w:rsidRPr="001101B3">
        <w:rPr>
          <w:sz w:val="28"/>
          <w:szCs w:val="28"/>
        </w:rPr>
        <w:t xml:space="preserve">OAPO </w:t>
      </w:r>
      <w:r w:rsidRPr="001101B3">
        <w:rPr>
          <w:sz w:val="28"/>
          <w:szCs w:val="28"/>
        </w:rPr>
        <w:t xml:space="preserve">in that she threw </w:t>
      </w:r>
      <w:proofErr w:type="spellStart"/>
      <w:r w:rsidRPr="001101B3">
        <w:rPr>
          <w:sz w:val="28"/>
          <w:szCs w:val="28"/>
        </w:rPr>
        <w:t>sulphuric</w:t>
      </w:r>
      <w:proofErr w:type="spellEnd"/>
      <w:r w:rsidRPr="001101B3">
        <w:rPr>
          <w:sz w:val="28"/>
          <w:szCs w:val="28"/>
        </w:rPr>
        <w:t xml:space="preserve"> acid into her </w:t>
      </w:r>
      <w:r w:rsidR="000D5AAD" w:rsidRPr="001101B3">
        <w:rPr>
          <w:sz w:val="28"/>
          <w:szCs w:val="28"/>
        </w:rPr>
        <w:t>(</w:t>
      </w:r>
      <w:r w:rsidRPr="001101B3">
        <w:rPr>
          <w:sz w:val="28"/>
          <w:szCs w:val="28"/>
        </w:rPr>
        <w:t>then</w:t>
      </w:r>
      <w:r w:rsidR="000D5AAD" w:rsidRPr="001101B3">
        <w:rPr>
          <w:sz w:val="28"/>
          <w:szCs w:val="28"/>
        </w:rPr>
        <w:t>)</w:t>
      </w:r>
      <w:r w:rsidRPr="001101B3">
        <w:rPr>
          <w:sz w:val="28"/>
          <w:szCs w:val="28"/>
        </w:rPr>
        <w:t xml:space="preserve"> husband’s face and neck. The husband suffered 2</w:t>
      </w:r>
      <w:r w:rsidRPr="001101B3">
        <w:rPr>
          <w:sz w:val="28"/>
          <w:szCs w:val="28"/>
          <w:vertAlign w:val="superscript"/>
        </w:rPr>
        <w:t>nd</w:t>
      </w:r>
      <w:r w:rsidRPr="001101B3">
        <w:rPr>
          <w:sz w:val="28"/>
          <w:szCs w:val="28"/>
        </w:rPr>
        <w:t xml:space="preserve"> degree burns to about 20% of his face.  On appeal, the Court of Appeal substituted the trial judge’s original sentence of 5 years and 6 months (that </w:t>
      </w:r>
      <w:r w:rsidRPr="001101B3">
        <w:rPr>
          <w:sz w:val="28"/>
          <w:szCs w:val="28"/>
        </w:rPr>
        <w:lastRenderedPageBreak/>
        <w:t>had a starting point of 10 years and which was then discounted after the one-third discount for the guilty plea and mitigating circumstances) with a starting point of 5 years, which was then further discounted to 40 months imprisonment. Quoting from the Court of Appeal</w:t>
      </w:r>
      <w:r w:rsidR="000D5AAD" w:rsidRPr="001101B3">
        <w:rPr>
          <w:sz w:val="28"/>
          <w:szCs w:val="28"/>
        </w:rPr>
        <w:t>,</w:t>
      </w:r>
      <w:r w:rsidRPr="001101B3">
        <w:rPr>
          <w:sz w:val="28"/>
          <w:szCs w:val="28"/>
        </w:rPr>
        <w:t xml:space="preserve"> per Woo JA at paragraph 27, delivering the judgment of the Court</w:t>
      </w:r>
      <w:r w:rsidR="003C2CDA" w:rsidRPr="001101B3">
        <w:rPr>
          <w:sz w:val="28"/>
          <w:szCs w:val="28"/>
        </w:rPr>
        <w:t>:</w:t>
      </w:r>
      <w:r w:rsidRPr="001101B3">
        <w:rPr>
          <w:sz w:val="28"/>
          <w:szCs w:val="28"/>
        </w:rPr>
        <w:t xml:space="preserve"> </w:t>
      </w:r>
      <w:bookmarkStart w:id="4" w:name="p27"/>
    </w:p>
    <w:p w14:paraId="29D02CB8" w14:textId="77777777" w:rsidR="003C2CDA" w:rsidRPr="001101B3" w:rsidRDefault="003C2CDA" w:rsidP="009E7112">
      <w:pPr>
        <w:jc w:val="both"/>
        <w:rPr>
          <w:sz w:val="28"/>
          <w:szCs w:val="28"/>
        </w:rPr>
      </w:pPr>
    </w:p>
    <w:p w14:paraId="06714D07" w14:textId="1A289C79" w:rsidR="005F4B3D" w:rsidRPr="001101B3" w:rsidRDefault="00754CF8" w:rsidP="009E7112">
      <w:pPr>
        <w:jc w:val="both"/>
        <w:rPr>
          <w:sz w:val="28"/>
          <w:szCs w:val="28"/>
        </w:rPr>
      </w:pPr>
      <w:r w:rsidRPr="001101B3">
        <w:rPr>
          <w:sz w:val="28"/>
          <w:szCs w:val="28"/>
        </w:rPr>
        <w:t>“</w:t>
      </w:r>
      <w:r w:rsidR="005F4B3D" w:rsidRPr="001101B3">
        <w:rPr>
          <w:i/>
          <w:sz w:val="28"/>
          <w:szCs w:val="28"/>
        </w:rPr>
        <w:t>27.</w:t>
      </w:r>
      <w:bookmarkEnd w:id="4"/>
      <w:r w:rsidR="005F4B3D" w:rsidRPr="001101B3">
        <w:rPr>
          <w:i/>
          <w:sz w:val="28"/>
          <w:szCs w:val="28"/>
        </w:rPr>
        <w:t xml:space="preserve"> In his reasons for sentence, the Judge merely referred to the victim's presence in court and the letter by him as underlining the applicant's previous good character. He did not pay sufficient</w:t>
      </w:r>
      <w:r w:rsidR="005F4B3D" w:rsidRPr="001101B3">
        <w:rPr>
          <w:sz w:val="28"/>
          <w:szCs w:val="28"/>
        </w:rPr>
        <w:t xml:space="preserve"> </w:t>
      </w:r>
      <w:r w:rsidR="005F4B3D" w:rsidRPr="001101B3">
        <w:rPr>
          <w:i/>
          <w:sz w:val="28"/>
          <w:szCs w:val="28"/>
        </w:rPr>
        <w:t xml:space="preserve">regard to the victim's admission that the incident was mainly caused by his conduct and </w:t>
      </w:r>
      <w:proofErr w:type="spellStart"/>
      <w:r w:rsidR="005F4B3D" w:rsidRPr="001101B3">
        <w:rPr>
          <w:i/>
          <w:sz w:val="28"/>
          <w:szCs w:val="28"/>
        </w:rPr>
        <w:t>behaviour</w:t>
      </w:r>
      <w:proofErr w:type="spellEnd"/>
      <w:r w:rsidR="005F4B3D" w:rsidRPr="001101B3">
        <w:rPr>
          <w:i/>
          <w:sz w:val="28"/>
          <w:szCs w:val="28"/>
        </w:rPr>
        <w:t xml:space="preserve"> towards the applicant, for which he was mostly to be blamed. It is not surprising that the applicant, who had been subjected to her mother-in-law's rejection and her husband's seeking a divorce from her without any apparent reason, thought that the victim had gone for another woman. The parties had been living together for all the times since 1995 when the applicant came to Hong Kong to live in the matrimonial home, despite their divorce in July 1998, up to about a month before the incident. It was her nature and culture that she always allowed her own wish to live with and care for the ex-husband and the family to be overborne by his demands, reasonable or not, even to the extent of agreeing to his proposal of a divorce. During the last month before the incident, pressure, distress and anger had built up because the husband had left home to live in the restaurant quarters. She had taken a lot of sleeping pills for the insomnia that had developed. It was under such circumstances that she took the step which was entirely out of her character. This is quite similar to </w:t>
      </w:r>
      <w:r w:rsidR="005F4B3D" w:rsidRPr="001101B3">
        <w:rPr>
          <w:rStyle w:val="Strong"/>
          <w:b w:val="0"/>
          <w:i/>
          <w:sz w:val="28"/>
          <w:szCs w:val="28"/>
        </w:rPr>
        <w:t>Wong Sau-</w:t>
      </w:r>
      <w:proofErr w:type="spellStart"/>
      <w:r w:rsidR="005F4B3D" w:rsidRPr="001101B3">
        <w:rPr>
          <w:rStyle w:val="Strong"/>
          <w:b w:val="0"/>
          <w:i/>
          <w:sz w:val="28"/>
          <w:szCs w:val="28"/>
        </w:rPr>
        <w:t>lai</w:t>
      </w:r>
      <w:proofErr w:type="spellEnd"/>
      <w:r w:rsidR="005F4B3D" w:rsidRPr="001101B3">
        <w:rPr>
          <w:i/>
          <w:sz w:val="28"/>
          <w:szCs w:val="28"/>
        </w:rPr>
        <w:t xml:space="preserve">, referred to above, but the circumstances in the instant case surrounding the applicant's situation appeal more to one's sympathy. Moreover, while the applicant in </w:t>
      </w:r>
      <w:r w:rsidR="005F4B3D" w:rsidRPr="001101B3">
        <w:rPr>
          <w:rStyle w:val="Strong"/>
          <w:b w:val="0"/>
          <w:i/>
          <w:sz w:val="28"/>
          <w:szCs w:val="28"/>
        </w:rPr>
        <w:t>Wong Sau-</w:t>
      </w:r>
      <w:proofErr w:type="spellStart"/>
      <w:r w:rsidR="005F4B3D" w:rsidRPr="001101B3">
        <w:rPr>
          <w:rStyle w:val="Strong"/>
          <w:b w:val="0"/>
          <w:i/>
          <w:sz w:val="28"/>
          <w:szCs w:val="28"/>
        </w:rPr>
        <w:t>lai</w:t>
      </w:r>
      <w:proofErr w:type="spellEnd"/>
      <w:r w:rsidR="005F4B3D" w:rsidRPr="001101B3">
        <w:rPr>
          <w:i/>
          <w:sz w:val="28"/>
          <w:szCs w:val="28"/>
        </w:rPr>
        <w:t xml:space="preserve"> threw acid onto her husband's face and eyes while he was asleep, the applicant in the instant case only threw a small quantity of acid onto the victim while the victim was entirely alert. The injuries suffered by the victim in </w:t>
      </w:r>
      <w:r w:rsidR="005F4B3D" w:rsidRPr="001101B3">
        <w:rPr>
          <w:rStyle w:val="Strong"/>
          <w:b w:val="0"/>
          <w:i/>
          <w:sz w:val="28"/>
          <w:szCs w:val="28"/>
        </w:rPr>
        <w:t>Wong Sau-</w:t>
      </w:r>
      <w:proofErr w:type="spellStart"/>
      <w:r w:rsidR="005F4B3D" w:rsidRPr="001101B3">
        <w:rPr>
          <w:rStyle w:val="Strong"/>
          <w:b w:val="0"/>
          <w:i/>
          <w:sz w:val="28"/>
          <w:szCs w:val="28"/>
        </w:rPr>
        <w:t>lai</w:t>
      </w:r>
      <w:proofErr w:type="spellEnd"/>
      <w:r w:rsidR="005F4B3D" w:rsidRPr="001101B3">
        <w:rPr>
          <w:i/>
          <w:sz w:val="28"/>
          <w:szCs w:val="28"/>
        </w:rPr>
        <w:t xml:space="preserve"> were much more serious than the injuries suffered by the victim in the instant case. All these show that the culpability of the applicant is not as serious as that of the applicant in </w:t>
      </w:r>
      <w:r w:rsidR="005F4B3D" w:rsidRPr="001101B3">
        <w:rPr>
          <w:rStyle w:val="Strong"/>
          <w:b w:val="0"/>
          <w:i/>
          <w:sz w:val="28"/>
          <w:szCs w:val="28"/>
        </w:rPr>
        <w:t>Wong Sau-</w:t>
      </w:r>
      <w:proofErr w:type="spellStart"/>
      <w:r w:rsidR="005F4B3D" w:rsidRPr="001101B3">
        <w:rPr>
          <w:rStyle w:val="Strong"/>
          <w:b w:val="0"/>
          <w:i/>
          <w:sz w:val="28"/>
          <w:szCs w:val="28"/>
        </w:rPr>
        <w:t>lai</w:t>
      </w:r>
      <w:proofErr w:type="spellEnd"/>
      <w:r w:rsidR="005F4B3D" w:rsidRPr="001101B3">
        <w:rPr>
          <w:i/>
          <w:sz w:val="28"/>
          <w:szCs w:val="28"/>
        </w:rPr>
        <w:t xml:space="preserve">. In that case, the sentence of 4 years after a guilty plea approved by this Court was reduced from a starting point of 7 years. In all the circumstances, we are of the view that a proper starting point in the instant case should be 5 years' imprisonment, instead of the 10 years adopted by the Judge. The various mitigating factors, such as genuine remorse, clear record and previous good character, the offence being committed wholly out of character, the fact that her mental function was severely impaired and her family circumstances, which had mostly been </w:t>
      </w:r>
      <w:proofErr w:type="gramStart"/>
      <w:r w:rsidR="005F4B3D" w:rsidRPr="001101B3">
        <w:rPr>
          <w:i/>
          <w:sz w:val="28"/>
          <w:szCs w:val="28"/>
        </w:rPr>
        <w:t>taken into account</w:t>
      </w:r>
      <w:proofErr w:type="gramEnd"/>
      <w:r w:rsidR="005F4B3D" w:rsidRPr="001101B3">
        <w:rPr>
          <w:i/>
          <w:sz w:val="28"/>
          <w:szCs w:val="28"/>
        </w:rPr>
        <w:t xml:space="preserve"> by the Judge, should also be considered as having the effect of reducing the sentence from the starting point. A one-third discount from the starting point is called for because of the guilty plea, reducing the sentence to 40 months' imprisonment. </w:t>
      </w:r>
      <w:r w:rsidR="005F4B3D" w:rsidRPr="001101B3">
        <w:rPr>
          <w:i/>
          <w:sz w:val="28"/>
          <w:szCs w:val="28"/>
        </w:rPr>
        <w:lastRenderedPageBreak/>
        <w:t>Considering all the remaining mitigating factors, we are of the view that a sentence of 2 years' imprisonment is proper and appropriate for this case.</w:t>
      </w:r>
      <w:r w:rsidR="000D5AAD" w:rsidRPr="001101B3">
        <w:rPr>
          <w:i/>
          <w:sz w:val="28"/>
          <w:szCs w:val="28"/>
        </w:rPr>
        <w:t>”</w:t>
      </w:r>
    </w:p>
    <w:p w14:paraId="4F889F5D" w14:textId="77777777" w:rsidR="007E0304" w:rsidRPr="001101B3" w:rsidRDefault="007E0304" w:rsidP="007E0304">
      <w:pPr>
        <w:rPr>
          <w:sz w:val="28"/>
          <w:szCs w:val="28"/>
        </w:rPr>
      </w:pPr>
    </w:p>
    <w:p w14:paraId="47569038" w14:textId="77777777" w:rsidR="007E0304" w:rsidRPr="001101B3" w:rsidRDefault="007E0304" w:rsidP="007E0304">
      <w:pPr>
        <w:rPr>
          <w:sz w:val="28"/>
          <w:szCs w:val="28"/>
        </w:rPr>
      </w:pPr>
      <w:r w:rsidRPr="001101B3">
        <w:rPr>
          <w:sz w:val="28"/>
          <w:szCs w:val="28"/>
        </w:rPr>
        <w:t>We will consider some of these factors below.</w:t>
      </w:r>
    </w:p>
    <w:p w14:paraId="5EE7A196" w14:textId="77777777" w:rsidR="002705C7" w:rsidRPr="001101B3" w:rsidRDefault="002705C7" w:rsidP="007E0304">
      <w:pPr>
        <w:rPr>
          <w:b/>
          <w:sz w:val="28"/>
          <w:szCs w:val="28"/>
        </w:rPr>
      </w:pPr>
    </w:p>
    <w:p w14:paraId="772EF13F" w14:textId="4CF09E3A" w:rsidR="007E0304" w:rsidRPr="001101B3" w:rsidRDefault="007E0304" w:rsidP="00655D72">
      <w:pPr>
        <w:pStyle w:val="ListParagraph"/>
        <w:numPr>
          <w:ilvl w:val="2"/>
          <w:numId w:val="38"/>
        </w:numPr>
        <w:rPr>
          <w:b/>
          <w:sz w:val="28"/>
          <w:szCs w:val="28"/>
        </w:rPr>
      </w:pPr>
      <w:r w:rsidRPr="001101B3">
        <w:rPr>
          <w:b/>
          <w:sz w:val="28"/>
          <w:szCs w:val="28"/>
        </w:rPr>
        <w:t>Age of offender</w:t>
      </w:r>
    </w:p>
    <w:p w14:paraId="5EEA0475" w14:textId="77777777" w:rsidR="00367CC4" w:rsidRPr="001101B3" w:rsidRDefault="00367CC4" w:rsidP="00367CC4">
      <w:pPr>
        <w:pStyle w:val="ListParagraph"/>
        <w:ind w:left="1080"/>
        <w:rPr>
          <w:b/>
          <w:sz w:val="28"/>
          <w:szCs w:val="28"/>
        </w:rPr>
      </w:pPr>
    </w:p>
    <w:p w14:paraId="6C7EE236" w14:textId="0B7C43C5" w:rsidR="00754CF8" w:rsidRPr="001101B3" w:rsidRDefault="007E0304" w:rsidP="006C4CFC">
      <w:pPr>
        <w:widowControl/>
        <w:spacing w:after="200" w:line="276" w:lineRule="auto"/>
        <w:rPr>
          <w:b/>
          <w:sz w:val="28"/>
          <w:szCs w:val="28"/>
        </w:rPr>
      </w:pPr>
      <w:r w:rsidRPr="001101B3">
        <w:rPr>
          <w:sz w:val="28"/>
          <w:szCs w:val="28"/>
        </w:rPr>
        <w:t xml:space="preserve">No </w:t>
      </w:r>
      <w:r w:rsidR="00A466AF" w:rsidRPr="001101B3">
        <w:rPr>
          <w:sz w:val="28"/>
          <w:szCs w:val="28"/>
        </w:rPr>
        <w:t>young person</w:t>
      </w:r>
      <w:r w:rsidRPr="001101B3">
        <w:rPr>
          <w:sz w:val="28"/>
          <w:szCs w:val="28"/>
        </w:rPr>
        <w:t xml:space="preserve"> should be sent to prison if the person can be dealt with in any other way.</w:t>
      </w:r>
      <w:r w:rsidRPr="001101B3">
        <w:rPr>
          <w:rStyle w:val="FootnoteReference"/>
          <w:sz w:val="28"/>
          <w:szCs w:val="28"/>
        </w:rPr>
        <w:footnoteReference w:id="25"/>
      </w:r>
    </w:p>
    <w:p w14:paraId="7F4268A0" w14:textId="7AA805B9" w:rsidR="007E0304" w:rsidRPr="001101B3" w:rsidRDefault="00C73002" w:rsidP="007E0304">
      <w:pPr>
        <w:rPr>
          <w:b/>
          <w:sz w:val="28"/>
          <w:szCs w:val="28"/>
        </w:rPr>
      </w:pPr>
      <w:r w:rsidRPr="001101B3">
        <w:rPr>
          <w:b/>
          <w:sz w:val="28"/>
          <w:szCs w:val="28"/>
        </w:rPr>
        <w:t>9</w:t>
      </w:r>
      <w:r w:rsidR="00CE179A" w:rsidRPr="001101B3">
        <w:rPr>
          <w:b/>
          <w:sz w:val="28"/>
          <w:szCs w:val="28"/>
        </w:rPr>
        <w:t>.8.</w:t>
      </w:r>
      <w:r w:rsidR="00EA1A7A" w:rsidRPr="001101B3">
        <w:rPr>
          <w:b/>
          <w:sz w:val="28"/>
          <w:szCs w:val="28"/>
        </w:rPr>
        <w:t>2</w:t>
      </w:r>
      <w:r w:rsidR="007E0304" w:rsidRPr="001101B3">
        <w:rPr>
          <w:b/>
          <w:sz w:val="28"/>
          <w:szCs w:val="28"/>
        </w:rPr>
        <w:t xml:space="preserve"> Provocation</w:t>
      </w:r>
    </w:p>
    <w:p w14:paraId="31B4AF99" w14:textId="77777777" w:rsidR="00684CD2" w:rsidRPr="001101B3" w:rsidRDefault="00684CD2" w:rsidP="007E0304">
      <w:pPr>
        <w:rPr>
          <w:sz w:val="28"/>
          <w:szCs w:val="28"/>
        </w:rPr>
      </w:pPr>
    </w:p>
    <w:p w14:paraId="40249C08" w14:textId="471180CA" w:rsidR="005D2553" w:rsidRPr="001101B3" w:rsidRDefault="007E0304" w:rsidP="007E0304">
      <w:pPr>
        <w:rPr>
          <w:sz w:val="28"/>
          <w:szCs w:val="28"/>
        </w:rPr>
      </w:pPr>
      <w:r w:rsidRPr="001101B3">
        <w:rPr>
          <w:sz w:val="28"/>
          <w:szCs w:val="28"/>
        </w:rPr>
        <w:t>In</w:t>
      </w:r>
      <w:r w:rsidRPr="001101B3">
        <w:rPr>
          <w:i/>
          <w:sz w:val="28"/>
          <w:szCs w:val="28"/>
        </w:rPr>
        <w:t xml:space="preserve"> Secretary of Justice </w:t>
      </w:r>
      <w:r w:rsidRPr="001101B3">
        <w:rPr>
          <w:sz w:val="28"/>
          <w:szCs w:val="28"/>
        </w:rPr>
        <w:t>v</w:t>
      </w:r>
      <w:r w:rsidRPr="001101B3">
        <w:rPr>
          <w:i/>
          <w:sz w:val="28"/>
          <w:szCs w:val="28"/>
        </w:rPr>
        <w:t xml:space="preserve"> Chau Wan-f</w:t>
      </w:r>
      <w:r w:rsidR="000D5AAD" w:rsidRPr="001101B3">
        <w:rPr>
          <w:i/>
          <w:sz w:val="28"/>
          <w:szCs w:val="28"/>
        </w:rPr>
        <w:t>u</w:t>
      </w:r>
      <w:r w:rsidRPr="001101B3">
        <w:rPr>
          <w:i/>
          <w:sz w:val="28"/>
          <w:szCs w:val="28"/>
        </w:rPr>
        <w:t>n,</w:t>
      </w:r>
      <w:r w:rsidRPr="001101B3">
        <w:rPr>
          <w:rStyle w:val="FootnoteReference"/>
          <w:sz w:val="28"/>
          <w:szCs w:val="28"/>
        </w:rPr>
        <w:footnoteReference w:id="26"/>
      </w:r>
      <w:r w:rsidRPr="001101B3">
        <w:rPr>
          <w:sz w:val="28"/>
          <w:szCs w:val="28"/>
        </w:rPr>
        <w:t xml:space="preserve"> the defendant was charged with wounding her husband</w:t>
      </w:r>
      <w:r w:rsidR="00CE179A" w:rsidRPr="001101B3">
        <w:rPr>
          <w:sz w:val="28"/>
          <w:szCs w:val="28"/>
        </w:rPr>
        <w:t xml:space="preserve"> with intent</w:t>
      </w:r>
      <w:r w:rsidRPr="001101B3">
        <w:rPr>
          <w:sz w:val="28"/>
          <w:szCs w:val="28"/>
        </w:rPr>
        <w:t xml:space="preserve"> under s.17</w:t>
      </w:r>
      <w:r w:rsidR="000D5AAD" w:rsidRPr="001101B3">
        <w:rPr>
          <w:sz w:val="28"/>
          <w:szCs w:val="28"/>
        </w:rPr>
        <w:t xml:space="preserve"> </w:t>
      </w:r>
      <w:r w:rsidRPr="001101B3">
        <w:rPr>
          <w:sz w:val="28"/>
          <w:szCs w:val="28"/>
        </w:rPr>
        <w:t xml:space="preserve">of </w:t>
      </w:r>
      <w:r w:rsidR="004705E3" w:rsidRPr="001101B3">
        <w:rPr>
          <w:sz w:val="28"/>
          <w:szCs w:val="28"/>
        </w:rPr>
        <w:t>OAPO</w:t>
      </w:r>
      <w:r w:rsidR="000E43B4" w:rsidRPr="001101B3">
        <w:rPr>
          <w:sz w:val="28"/>
          <w:szCs w:val="28"/>
        </w:rPr>
        <w:t>.  In this case, after a number of provocative incidents</w:t>
      </w:r>
      <w:r w:rsidR="006C4CFC" w:rsidRPr="001101B3">
        <w:rPr>
          <w:sz w:val="28"/>
          <w:szCs w:val="28"/>
        </w:rPr>
        <w:t>,</w:t>
      </w:r>
      <w:r w:rsidR="000E43B4" w:rsidRPr="001101B3">
        <w:rPr>
          <w:sz w:val="28"/>
          <w:szCs w:val="28"/>
        </w:rPr>
        <w:t xml:space="preserve"> including resigning from his job without consulting her</w:t>
      </w:r>
      <w:r w:rsidR="00C111B8" w:rsidRPr="001101B3">
        <w:rPr>
          <w:sz w:val="28"/>
          <w:szCs w:val="28"/>
        </w:rPr>
        <w:t>,</w:t>
      </w:r>
      <w:r w:rsidR="000E43B4" w:rsidRPr="001101B3">
        <w:rPr>
          <w:sz w:val="28"/>
          <w:szCs w:val="28"/>
        </w:rPr>
        <w:t xml:space="preserve"> and which necessitated having to move out of their premises, the wife discovered that her husband had pawned her remaining jewelry to pay his gambling debts.</w:t>
      </w:r>
    </w:p>
    <w:p w14:paraId="4DD0BF3B" w14:textId="77777777" w:rsidR="002705C7" w:rsidRPr="001101B3" w:rsidRDefault="002705C7" w:rsidP="007E0304">
      <w:pPr>
        <w:rPr>
          <w:sz w:val="28"/>
          <w:szCs w:val="28"/>
        </w:rPr>
      </w:pPr>
    </w:p>
    <w:p w14:paraId="6024DEBD" w14:textId="7DD7D211" w:rsidR="002705C7" w:rsidRPr="001101B3" w:rsidRDefault="007E0304" w:rsidP="006C4CFC">
      <w:pPr>
        <w:jc w:val="both"/>
        <w:rPr>
          <w:sz w:val="28"/>
          <w:szCs w:val="28"/>
        </w:rPr>
      </w:pPr>
      <w:r w:rsidRPr="001101B3">
        <w:rPr>
          <w:sz w:val="28"/>
          <w:szCs w:val="28"/>
        </w:rPr>
        <w:t>On appeal</w:t>
      </w:r>
      <w:r w:rsidR="006D308E" w:rsidRPr="001101B3">
        <w:rPr>
          <w:sz w:val="28"/>
          <w:szCs w:val="28"/>
        </w:rPr>
        <w:t>,</w:t>
      </w:r>
      <w:r w:rsidRPr="001101B3">
        <w:rPr>
          <w:sz w:val="28"/>
          <w:szCs w:val="28"/>
        </w:rPr>
        <w:t xml:space="preserve"> the defendant’s sentence of 9 months was increased to 3 ½ years after 6 years was taken as the starting point and the </w:t>
      </w:r>
      <w:r w:rsidR="008726B4" w:rsidRPr="001101B3">
        <w:rPr>
          <w:sz w:val="28"/>
          <w:szCs w:val="28"/>
        </w:rPr>
        <w:t>one-third</w:t>
      </w:r>
      <w:r w:rsidRPr="001101B3">
        <w:rPr>
          <w:sz w:val="28"/>
          <w:szCs w:val="28"/>
        </w:rPr>
        <w:t xml:space="preserve"> discount applied. In this case</w:t>
      </w:r>
      <w:r w:rsidR="00F00F64" w:rsidRPr="001101B3">
        <w:rPr>
          <w:sz w:val="28"/>
          <w:szCs w:val="28"/>
        </w:rPr>
        <w:t>,</w:t>
      </w:r>
      <w:r w:rsidRPr="001101B3">
        <w:rPr>
          <w:sz w:val="28"/>
          <w:szCs w:val="28"/>
        </w:rPr>
        <w:t xml:space="preserve"> there were </w:t>
      </w:r>
      <w:r w:rsidR="00F00F64" w:rsidRPr="001101B3">
        <w:rPr>
          <w:sz w:val="28"/>
          <w:szCs w:val="28"/>
        </w:rPr>
        <w:t>two</w:t>
      </w:r>
      <w:r w:rsidRPr="001101B3">
        <w:rPr>
          <w:sz w:val="28"/>
          <w:szCs w:val="28"/>
        </w:rPr>
        <w:t xml:space="preserve"> attacks on the victim </w:t>
      </w:r>
      <w:r w:rsidR="000E43B4" w:rsidRPr="001101B3">
        <w:rPr>
          <w:sz w:val="28"/>
          <w:szCs w:val="28"/>
        </w:rPr>
        <w:t xml:space="preserve">with a kitchen knife </w:t>
      </w:r>
      <w:r w:rsidRPr="001101B3">
        <w:rPr>
          <w:sz w:val="28"/>
          <w:szCs w:val="28"/>
        </w:rPr>
        <w:t>and he was left in a permanently vegetative state.</w:t>
      </w:r>
    </w:p>
    <w:p w14:paraId="5BA2E2F7" w14:textId="77777777" w:rsidR="001640C6" w:rsidRPr="001101B3" w:rsidRDefault="001640C6" w:rsidP="006C4CFC">
      <w:pPr>
        <w:jc w:val="both"/>
        <w:rPr>
          <w:sz w:val="28"/>
          <w:szCs w:val="28"/>
        </w:rPr>
      </w:pPr>
    </w:p>
    <w:p w14:paraId="0181EBAE" w14:textId="1AF07595" w:rsidR="007E0304" w:rsidRPr="001101B3" w:rsidRDefault="00C73002" w:rsidP="007E0304">
      <w:pPr>
        <w:rPr>
          <w:b/>
          <w:sz w:val="28"/>
          <w:szCs w:val="28"/>
        </w:rPr>
      </w:pPr>
      <w:r w:rsidRPr="001101B3">
        <w:rPr>
          <w:b/>
          <w:sz w:val="28"/>
          <w:szCs w:val="28"/>
        </w:rPr>
        <w:t>9</w:t>
      </w:r>
      <w:r w:rsidR="007E0304" w:rsidRPr="001101B3">
        <w:rPr>
          <w:b/>
          <w:sz w:val="28"/>
          <w:szCs w:val="28"/>
        </w:rPr>
        <w:t>.8.</w:t>
      </w:r>
      <w:r w:rsidR="00EA1A7A" w:rsidRPr="001101B3">
        <w:rPr>
          <w:b/>
          <w:sz w:val="28"/>
          <w:szCs w:val="28"/>
        </w:rPr>
        <w:t>3</w:t>
      </w:r>
      <w:r w:rsidR="007E0304" w:rsidRPr="001101B3">
        <w:rPr>
          <w:b/>
          <w:sz w:val="28"/>
          <w:szCs w:val="28"/>
        </w:rPr>
        <w:t xml:space="preserve"> Mental disorder</w:t>
      </w:r>
    </w:p>
    <w:p w14:paraId="703B1EB7" w14:textId="77777777" w:rsidR="00684CD2" w:rsidRPr="001101B3" w:rsidRDefault="00684CD2" w:rsidP="007E0304">
      <w:pPr>
        <w:rPr>
          <w:bCs/>
          <w:sz w:val="28"/>
          <w:szCs w:val="28"/>
        </w:rPr>
      </w:pPr>
    </w:p>
    <w:p w14:paraId="27164EA4" w14:textId="215BE93D" w:rsidR="007E0304" w:rsidRPr="001101B3" w:rsidRDefault="007E0304" w:rsidP="009E7112">
      <w:pPr>
        <w:jc w:val="both"/>
        <w:rPr>
          <w:sz w:val="28"/>
          <w:szCs w:val="28"/>
        </w:rPr>
      </w:pPr>
      <w:r w:rsidRPr="001101B3">
        <w:rPr>
          <w:bCs/>
          <w:sz w:val="28"/>
          <w:szCs w:val="28"/>
        </w:rPr>
        <w:t xml:space="preserve">In another case of </w:t>
      </w:r>
      <w:r w:rsidRPr="001101B3">
        <w:rPr>
          <w:bCs/>
          <w:i/>
          <w:sz w:val="28"/>
          <w:szCs w:val="28"/>
        </w:rPr>
        <w:t>R</w:t>
      </w:r>
      <w:r w:rsidRPr="001101B3">
        <w:rPr>
          <w:bCs/>
          <w:sz w:val="28"/>
          <w:szCs w:val="28"/>
        </w:rPr>
        <w:t xml:space="preserve"> v </w:t>
      </w:r>
      <w:proofErr w:type="spellStart"/>
      <w:r w:rsidRPr="001101B3">
        <w:rPr>
          <w:bCs/>
          <w:i/>
          <w:sz w:val="28"/>
          <w:szCs w:val="28"/>
        </w:rPr>
        <w:t>Tsui</w:t>
      </w:r>
      <w:proofErr w:type="spellEnd"/>
      <w:r w:rsidRPr="001101B3">
        <w:rPr>
          <w:bCs/>
          <w:i/>
          <w:sz w:val="28"/>
          <w:szCs w:val="28"/>
        </w:rPr>
        <w:t xml:space="preserve"> Mei-</w:t>
      </w:r>
      <w:proofErr w:type="spellStart"/>
      <w:r w:rsidRPr="001101B3">
        <w:rPr>
          <w:bCs/>
          <w:i/>
          <w:sz w:val="28"/>
          <w:szCs w:val="28"/>
        </w:rPr>
        <w:t>ying</w:t>
      </w:r>
      <w:proofErr w:type="spellEnd"/>
      <w:r w:rsidR="000F178B" w:rsidRPr="001101B3">
        <w:rPr>
          <w:bCs/>
          <w:i/>
          <w:sz w:val="28"/>
          <w:szCs w:val="28"/>
        </w:rPr>
        <w:t>,</w:t>
      </w:r>
      <w:r w:rsidRPr="001101B3">
        <w:rPr>
          <w:rStyle w:val="FootnoteReference"/>
          <w:bCs/>
          <w:sz w:val="28"/>
          <w:szCs w:val="28"/>
        </w:rPr>
        <w:footnoteReference w:id="27"/>
      </w:r>
      <w:r w:rsidRPr="001101B3">
        <w:rPr>
          <w:bCs/>
          <w:sz w:val="28"/>
          <w:szCs w:val="28"/>
        </w:rPr>
        <w:t xml:space="preserve"> the appellant was charged with </w:t>
      </w:r>
      <w:r w:rsidRPr="001101B3">
        <w:rPr>
          <w:sz w:val="28"/>
          <w:szCs w:val="28"/>
        </w:rPr>
        <w:t>wounding with intent to cause grievous bodily harm</w:t>
      </w:r>
      <w:r w:rsidR="00C111B8" w:rsidRPr="001101B3">
        <w:rPr>
          <w:sz w:val="28"/>
          <w:szCs w:val="28"/>
        </w:rPr>
        <w:t xml:space="preserve"> under s.17 of OAPO</w:t>
      </w:r>
      <w:r w:rsidRPr="001101B3">
        <w:rPr>
          <w:sz w:val="28"/>
          <w:szCs w:val="28"/>
        </w:rPr>
        <w:t>.</w:t>
      </w:r>
      <w:r w:rsidRPr="001101B3">
        <w:rPr>
          <w:bCs/>
          <w:sz w:val="28"/>
          <w:szCs w:val="28"/>
        </w:rPr>
        <w:t xml:space="preserve"> Here the person, who was suffering from depression, carried out a savage mutilation o</w:t>
      </w:r>
      <w:r w:rsidR="00DA486F" w:rsidRPr="001101B3">
        <w:rPr>
          <w:bCs/>
          <w:sz w:val="28"/>
          <w:szCs w:val="28"/>
        </w:rPr>
        <w:t>f</w:t>
      </w:r>
      <w:r w:rsidRPr="001101B3">
        <w:rPr>
          <w:bCs/>
          <w:sz w:val="28"/>
          <w:szCs w:val="28"/>
        </w:rPr>
        <w:t xml:space="preserve"> her husband</w:t>
      </w:r>
      <w:r w:rsidR="00E659FF" w:rsidRPr="001101B3">
        <w:rPr>
          <w:bCs/>
          <w:sz w:val="28"/>
          <w:szCs w:val="28"/>
        </w:rPr>
        <w:t>’s genitalia</w:t>
      </w:r>
      <w:r w:rsidRPr="001101B3">
        <w:rPr>
          <w:bCs/>
          <w:sz w:val="28"/>
          <w:szCs w:val="28"/>
        </w:rPr>
        <w:t xml:space="preserve"> while he was asle</w:t>
      </w:r>
      <w:r w:rsidR="00901E59" w:rsidRPr="001101B3">
        <w:rPr>
          <w:bCs/>
          <w:sz w:val="28"/>
          <w:szCs w:val="28"/>
        </w:rPr>
        <w:t>ep. In this case, the appellant’s depression followed</w:t>
      </w:r>
      <w:r w:rsidRPr="001101B3">
        <w:rPr>
          <w:bCs/>
          <w:sz w:val="28"/>
          <w:szCs w:val="28"/>
        </w:rPr>
        <w:t xml:space="preserve"> the discovery by her that her husband was having an affair. Initially, she received 4 ½ years’ imprisonment.</w:t>
      </w:r>
      <w:r w:rsidRPr="001101B3">
        <w:rPr>
          <w:sz w:val="28"/>
          <w:szCs w:val="28"/>
        </w:rPr>
        <w:t xml:space="preserve"> The applicant sought leave to appeal against sentence, contending that the trial judge had failed to </w:t>
      </w:r>
      <w:proofErr w:type="gramStart"/>
      <w:r w:rsidRPr="001101B3">
        <w:rPr>
          <w:sz w:val="28"/>
          <w:szCs w:val="28"/>
        </w:rPr>
        <w:t>give sufficient consideration to</w:t>
      </w:r>
      <w:proofErr w:type="gramEnd"/>
      <w:r w:rsidRPr="001101B3">
        <w:rPr>
          <w:sz w:val="28"/>
          <w:szCs w:val="28"/>
        </w:rPr>
        <w:t xml:space="preserve"> the medical ev</w:t>
      </w:r>
      <w:r w:rsidR="005D2553" w:rsidRPr="001101B3">
        <w:rPr>
          <w:sz w:val="28"/>
          <w:szCs w:val="28"/>
        </w:rPr>
        <w:t xml:space="preserve">idence as to her state of mind. </w:t>
      </w:r>
      <w:r w:rsidRPr="001101B3">
        <w:rPr>
          <w:sz w:val="28"/>
          <w:szCs w:val="28"/>
        </w:rPr>
        <w:t>The sentence was reduced to 2 years.</w:t>
      </w:r>
    </w:p>
    <w:p w14:paraId="515E4A59" w14:textId="77777777" w:rsidR="008D1ACC" w:rsidRPr="001101B3" w:rsidRDefault="008D1ACC" w:rsidP="009E7112">
      <w:pPr>
        <w:jc w:val="both"/>
        <w:rPr>
          <w:sz w:val="28"/>
          <w:szCs w:val="28"/>
        </w:rPr>
      </w:pPr>
    </w:p>
    <w:p w14:paraId="6643FA70" w14:textId="3327BEA5" w:rsidR="008D1ACC" w:rsidRPr="001101B3" w:rsidRDefault="008D1ACC" w:rsidP="009E7112">
      <w:pPr>
        <w:jc w:val="both"/>
        <w:rPr>
          <w:sz w:val="28"/>
          <w:szCs w:val="28"/>
        </w:rPr>
      </w:pPr>
      <w:r w:rsidRPr="001101B3">
        <w:rPr>
          <w:sz w:val="28"/>
          <w:szCs w:val="28"/>
        </w:rPr>
        <w:t xml:space="preserve">The Court of Appeal in </w:t>
      </w:r>
      <w:r w:rsidRPr="001101B3">
        <w:rPr>
          <w:i/>
          <w:sz w:val="28"/>
          <w:szCs w:val="28"/>
        </w:rPr>
        <w:t>HKSAR</w:t>
      </w:r>
      <w:r w:rsidRPr="001101B3">
        <w:rPr>
          <w:sz w:val="28"/>
          <w:szCs w:val="28"/>
        </w:rPr>
        <w:t xml:space="preserve"> v </w:t>
      </w:r>
      <w:r w:rsidRPr="001101B3">
        <w:rPr>
          <w:i/>
          <w:sz w:val="28"/>
          <w:szCs w:val="28"/>
        </w:rPr>
        <w:t>Chiu Peng Richard</w:t>
      </w:r>
      <w:r w:rsidR="001101B3">
        <w:rPr>
          <w:i/>
          <w:sz w:val="28"/>
          <w:szCs w:val="28"/>
        </w:rPr>
        <w:t>,</w:t>
      </w:r>
      <w:r w:rsidRPr="001101B3">
        <w:rPr>
          <w:rStyle w:val="FootnoteReference"/>
          <w:sz w:val="28"/>
          <w:szCs w:val="28"/>
        </w:rPr>
        <w:footnoteReference w:id="28"/>
      </w:r>
      <w:r w:rsidRPr="001101B3">
        <w:rPr>
          <w:i/>
          <w:sz w:val="28"/>
          <w:szCs w:val="28"/>
        </w:rPr>
        <w:t xml:space="preserve"> </w:t>
      </w:r>
      <w:r w:rsidR="00592A33" w:rsidRPr="001101B3">
        <w:rPr>
          <w:sz w:val="28"/>
          <w:szCs w:val="28"/>
        </w:rPr>
        <w:t xml:space="preserve">gave the following </w:t>
      </w:r>
      <w:r w:rsidR="00592A33" w:rsidRPr="001101B3">
        <w:rPr>
          <w:sz w:val="28"/>
          <w:szCs w:val="28"/>
        </w:rPr>
        <w:lastRenderedPageBreak/>
        <w:t>commentary as to the relevance of mental disorders</w:t>
      </w:r>
      <w:r w:rsidR="004574C3" w:rsidRPr="001101B3">
        <w:rPr>
          <w:sz w:val="28"/>
          <w:szCs w:val="28"/>
        </w:rPr>
        <w:t>, per</w:t>
      </w:r>
      <w:r w:rsidR="004574C3" w:rsidRPr="001101B3">
        <w:rPr>
          <w:rStyle w:val="Hyperlink"/>
          <w:sz w:val="28"/>
          <w:szCs w:val="28"/>
          <w:u w:val="none"/>
        </w:rPr>
        <w:t xml:space="preserve"> </w:t>
      </w:r>
      <w:r w:rsidR="004574C3" w:rsidRPr="001101B3">
        <w:rPr>
          <w:rStyle w:val="Strong"/>
          <w:b w:val="0"/>
          <w:sz w:val="28"/>
          <w:szCs w:val="28"/>
        </w:rPr>
        <w:t>Hon Woo JA</w:t>
      </w:r>
      <w:r w:rsidR="004574C3" w:rsidRPr="001101B3">
        <w:rPr>
          <w:sz w:val="28"/>
          <w:szCs w:val="28"/>
        </w:rPr>
        <w:t xml:space="preserve"> (giving the judgment of the Court):</w:t>
      </w:r>
    </w:p>
    <w:p w14:paraId="736CCF2F" w14:textId="77777777" w:rsidR="008D1ACC" w:rsidRPr="001101B3" w:rsidRDefault="008D1ACC" w:rsidP="009E7112">
      <w:pPr>
        <w:jc w:val="both"/>
        <w:rPr>
          <w:sz w:val="28"/>
          <w:szCs w:val="28"/>
        </w:rPr>
      </w:pPr>
    </w:p>
    <w:p w14:paraId="58EB8AA1" w14:textId="270F9B43" w:rsidR="008D1ACC" w:rsidRPr="001101B3" w:rsidRDefault="0091056E" w:rsidP="009E7112">
      <w:pPr>
        <w:jc w:val="both"/>
        <w:rPr>
          <w:sz w:val="28"/>
          <w:szCs w:val="28"/>
        </w:rPr>
      </w:pPr>
      <w:bookmarkStart w:id="5" w:name="p16"/>
      <w:r w:rsidRPr="001101B3">
        <w:rPr>
          <w:i/>
          <w:sz w:val="28"/>
          <w:szCs w:val="28"/>
        </w:rPr>
        <w:t>“</w:t>
      </w:r>
      <w:r w:rsidR="008D1ACC" w:rsidRPr="001101B3">
        <w:rPr>
          <w:i/>
          <w:sz w:val="28"/>
          <w:szCs w:val="28"/>
        </w:rPr>
        <w:t>16.</w:t>
      </w:r>
      <w:bookmarkEnd w:id="5"/>
      <w:r w:rsidR="008D1ACC" w:rsidRPr="001101B3">
        <w:rPr>
          <w:i/>
          <w:sz w:val="28"/>
          <w:szCs w:val="28"/>
        </w:rPr>
        <w:t xml:space="preserve"> If an accused is suffering from mental illness which played a part in the commission of the offence, the court may properly allow a discount of sentence. See </w:t>
      </w:r>
      <w:r w:rsidR="008D1ACC" w:rsidRPr="001101B3">
        <w:rPr>
          <w:rStyle w:val="Emphasis"/>
          <w:sz w:val="28"/>
          <w:szCs w:val="28"/>
        </w:rPr>
        <w:t>Cross and Cheung: Sentencing in Hong Kong</w:t>
      </w:r>
      <w:r w:rsidR="008D1ACC" w:rsidRPr="001101B3">
        <w:rPr>
          <w:i/>
          <w:sz w:val="28"/>
          <w:szCs w:val="28"/>
        </w:rPr>
        <w:t xml:space="preserve">, 3rd Ed, pp 308-309 and the cases cited thereat. The reasoning was described as "allowing a diminished role for the element of deterrence to reflect the mental condition in </w:t>
      </w:r>
      <w:proofErr w:type="spellStart"/>
      <w:r w:rsidR="008D1ACC" w:rsidRPr="001101B3">
        <w:rPr>
          <w:rStyle w:val="Strong"/>
          <w:b w:val="0"/>
          <w:i/>
          <w:sz w:val="28"/>
          <w:szCs w:val="28"/>
        </w:rPr>
        <w:t>Parnis</w:t>
      </w:r>
      <w:proofErr w:type="spellEnd"/>
      <w:r w:rsidR="008D1ACC" w:rsidRPr="001101B3">
        <w:rPr>
          <w:rStyle w:val="Strong"/>
          <w:b w:val="0"/>
          <w:i/>
          <w:sz w:val="28"/>
          <w:szCs w:val="28"/>
        </w:rPr>
        <w:t xml:space="preserve"> v R</w:t>
      </w:r>
      <w:r w:rsidR="008D1ACC" w:rsidRPr="001101B3">
        <w:rPr>
          <w:i/>
          <w:sz w:val="28"/>
          <w:szCs w:val="28"/>
        </w:rPr>
        <w:t xml:space="preserve"> </w:t>
      </w:r>
      <w:hyperlink r:id="rId9" w:tooltip="View Case" w:history="1">
        <w:r w:rsidR="008D1ACC" w:rsidRPr="001101B3">
          <w:rPr>
            <w:rStyle w:val="Hyperlink"/>
            <w:i/>
            <w:color w:val="auto"/>
            <w:sz w:val="28"/>
            <w:szCs w:val="28"/>
            <w:u w:val="none"/>
          </w:rPr>
          <w:t>[1993] FCA 624</w:t>
        </w:r>
      </w:hyperlink>
      <w:r w:rsidR="008D1ACC" w:rsidRPr="001101B3">
        <w:rPr>
          <w:i/>
          <w:sz w:val="28"/>
          <w:szCs w:val="28"/>
        </w:rPr>
        <w:t xml:space="preserve">; </w:t>
      </w:r>
      <w:hyperlink r:id="rId10" w:tooltip="View LawCiteRecord" w:history="1">
        <w:r w:rsidR="008D1ACC" w:rsidRPr="001101B3">
          <w:rPr>
            <w:rStyle w:val="Hyperlink"/>
            <w:i/>
            <w:color w:val="auto"/>
            <w:sz w:val="28"/>
            <w:szCs w:val="28"/>
            <w:u w:val="none"/>
          </w:rPr>
          <w:t>(1994) 126 ALR 423</w:t>
        </w:r>
      </w:hyperlink>
      <w:r w:rsidR="008D1ACC" w:rsidRPr="001101B3">
        <w:rPr>
          <w:i/>
          <w:sz w:val="28"/>
          <w:szCs w:val="28"/>
        </w:rPr>
        <w:t>, 426. That, as we understand, means that while the sentence normally imposed by the court is for deterring an accused unaffected by any abnormal mental condition in the commission of the offence and for general deterrence, the necessity for both kinds of deterrence is reduced because the accused was not operating under a normal mental condition. While this reasoning has its attraction, we prefer to lay emphasis on the justification for a discount of sentence in these circumstances as a reflection of diminished criminality or culpability on the part of the accused who has committed a crime under an abnormal state of mind. He knew that it was wrong to commit the crime, but he did not appreciate that the commission was as serious as it was: the degree of culpability was thus lessened. Or, as in this case, the accused's mental illness made him gullible and easily susceptible to persuasion by the perpetrator of the crime, reducing his responsibility for participating.</w:t>
      </w:r>
      <w:r w:rsidR="003C2CDA" w:rsidRPr="001101B3">
        <w:rPr>
          <w:i/>
          <w:sz w:val="28"/>
          <w:szCs w:val="28"/>
        </w:rPr>
        <w:t>”</w:t>
      </w:r>
    </w:p>
    <w:p w14:paraId="00043296" w14:textId="77777777" w:rsidR="002C2786" w:rsidRPr="001101B3" w:rsidRDefault="002C2786" w:rsidP="007E0304">
      <w:pPr>
        <w:rPr>
          <w:sz w:val="28"/>
          <w:szCs w:val="28"/>
        </w:rPr>
      </w:pPr>
    </w:p>
    <w:p w14:paraId="3C155499" w14:textId="10A7FD0C" w:rsidR="002C2786" w:rsidRPr="001101B3" w:rsidRDefault="00C73002" w:rsidP="007E0304">
      <w:pPr>
        <w:rPr>
          <w:b/>
          <w:sz w:val="28"/>
          <w:szCs w:val="28"/>
        </w:rPr>
      </w:pPr>
      <w:r w:rsidRPr="001101B3">
        <w:rPr>
          <w:b/>
          <w:sz w:val="28"/>
          <w:szCs w:val="28"/>
        </w:rPr>
        <w:t>9</w:t>
      </w:r>
      <w:r w:rsidR="002C2786" w:rsidRPr="001101B3">
        <w:rPr>
          <w:b/>
          <w:sz w:val="28"/>
          <w:szCs w:val="28"/>
        </w:rPr>
        <w:t>.8.</w:t>
      </w:r>
      <w:r w:rsidR="00EA1A7A" w:rsidRPr="001101B3">
        <w:rPr>
          <w:b/>
          <w:sz w:val="28"/>
          <w:szCs w:val="28"/>
        </w:rPr>
        <w:t>4</w:t>
      </w:r>
      <w:r w:rsidR="002C2786" w:rsidRPr="001101B3">
        <w:rPr>
          <w:b/>
          <w:sz w:val="28"/>
          <w:szCs w:val="28"/>
        </w:rPr>
        <w:t xml:space="preserve"> Forgiveness</w:t>
      </w:r>
    </w:p>
    <w:p w14:paraId="05C29257" w14:textId="77777777" w:rsidR="002C2786" w:rsidRPr="001101B3" w:rsidRDefault="002C2786" w:rsidP="007E0304">
      <w:pPr>
        <w:rPr>
          <w:sz w:val="28"/>
          <w:szCs w:val="28"/>
        </w:rPr>
      </w:pPr>
    </w:p>
    <w:p w14:paraId="5CCFFBC7" w14:textId="36B5F932" w:rsidR="002C2786" w:rsidRPr="001101B3" w:rsidRDefault="002C2786" w:rsidP="009E7112">
      <w:pPr>
        <w:jc w:val="both"/>
        <w:rPr>
          <w:sz w:val="28"/>
          <w:szCs w:val="28"/>
        </w:rPr>
      </w:pPr>
      <w:r w:rsidRPr="001101B3">
        <w:rPr>
          <w:sz w:val="28"/>
          <w:szCs w:val="28"/>
        </w:rPr>
        <w:t>The rendering of forgiveness by the victim may also be a mitigating factor, including in</w:t>
      </w:r>
      <w:r w:rsidR="00CE179A" w:rsidRPr="001101B3">
        <w:rPr>
          <w:sz w:val="28"/>
          <w:szCs w:val="28"/>
        </w:rPr>
        <w:t xml:space="preserve"> wounding with intent</w:t>
      </w:r>
      <w:r w:rsidRPr="001101B3">
        <w:rPr>
          <w:sz w:val="28"/>
          <w:szCs w:val="28"/>
        </w:rPr>
        <w:t xml:space="preserve"> cases under s.17</w:t>
      </w:r>
      <w:r w:rsidR="002E1C69" w:rsidRPr="001101B3">
        <w:rPr>
          <w:sz w:val="28"/>
          <w:szCs w:val="28"/>
        </w:rPr>
        <w:t xml:space="preserve"> </w:t>
      </w:r>
      <w:r w:rsidRPr="001101B3">
        <w:rPr>
          <w:sz w:val="28"/>
          <w:szCs w:val="28"/>
        </w:rPr>
        <w:t xml:space="preserve">OAPO, although it has to be a much lesser factor than the aggravating nature of the severity of the incident: </w:t>
      </w:r>
      <w:r w:rsidRPr="001101B3">
        <w:rPr>
          <w:i/>
          <w:sz w:val="28"/>
          <w:szCs w:val="28"/>
        </w:rPr>
        <w:t>Secretary for Justice and</w:t>
      </w:r>
      <w:r w:rsidRPr="001101B3">
        <w:rPr>
          <w:sz w:val="28"/>
          <w:szCs w:val="28"/>
        </w:rPr>
        <w:t xml:space="preserve"> </w:t>
      </w:r>
      <w:r w:rsidRPr="001101B3">
        <w:rPr>
          <w:i/>
          <w:sz w:val="28"/>
          <w:szCs w:val="28"/>
        </w:rPr>
        <w:t>Hung Kar Chun</w:t>
      </w:r>
      <w:r w:rsidRPr="001101B3">
        <w:rPr>
          <w:sz w:val="28"/>
          <w:szCs w:val="28"/>
        </w:rPr>
        <w:t>.</w:t>
      </w:r>
      <w:r w:rsidRPr="001101B3">
        <w:rPr>
          <w:rStyle w:val="FootnoteReference"/>
          <w:sz w:val="28"/>
          <w:szCs w:val="28"/>
        </w:rPr>
        <w:footnoteReference w:id="29"/>
      </w:r>
    </w:p>
    <w:p w14:paraId="4DB68700" w14:textId="77777777" w:rsidR="00D47F73" w:rsidRPr="001101B3" w:rsidRDefault="00D47F73" w:rsidP="007E0304">
      <w:pPr>
        <w:rPr>
          <w:b/>
          <w:bCs/>
          <w:sz w:val="28"/>
          <w:szCs w:val="28"/>
        </w:rPr>
      </w:pPr>
    </w:p>
    <w:p w14:paraId="68A4457E" w14:textId="730F3AD8" w:rsidR="007E0304" w:rsidRPr="001101B3" w:rsidRDefault="00C73002" w:rsidP="007E0304">
      <w:pPr>
        <w:rPr>
          <w:b/>
          <w:bCs/>
          <w:sz w:val="28"/>
          <w:szCs w:val="28"/>
        </w:rPr>
      </w:pPr>
      <w:r w:rsidRPr="001101B3">
        <w:rPr>
          <w:b/>
          <w:bCs/>
          <w:sz w:val="28"/>
          <w:szCs w:val="28"/>
        </w:rPr>
        <w:t>9</w:t>
      </w:r>
      <w:r w:rsidR="007E0304" w:rsidRPr="001101B3">
        <w:rPr>
          <w:b/>
          <w:bCs/>
          <w:sz w:val="28"/>
          <w:szCs w:val="28"/>
        </w:rPr>
        <w:t>.9 Guideline judgments</w:t>
      </w:r>
    </w:p>
    <w:p w14:paraId="010AD4DC" w14:textId="77777777" w:rsidR="00FD2AD6" w:rsidRPr="001101B3" w:rsidRDefault="00FD2AD6" w:rsidP="007E0304">
      <w:pPr>
        <w:rPr>
          <w:b/>
          <w:bCs/>
          <w:sz w:val="28"/>
          <w:szCs w:val="28"/>
        </w:rPr>
      </w:pPr>
    </w:p>
    <w:p w14:paraId="1794A67C" w14:textId="77777777" w:rsidR="00FD2AD6" w:rsidRPr="001101B3" w:rsidRDefault="00FD2AD6" w:rsidP="00FD2AD6">
      <w:pPr>
        <w:rPr>
          <w:sz w:val="28"/>
          <w:szCs w:val="28"/>
        </w:rPr>
      </w:pPr>
      <w:r w:rsidRPr="001101B3">
        <w:rPr>
          <w:sz w:val="28"/>
          <w:szCs w:val="28"/>
        </w:rPr>
        <w:t>Key points are:</w:t>
      </w:r>
    </w:p>
    <w:p w14:paraId="3CC39D1E" w14:textId="77777777" w:rsidR="00FD2AD6" w:rsidRPr="001101B3" w:rsidRDefault="00FD2AD6" w:rsidP="007E0304">
      <w:pPr>
        <w:rPr>
          <w:b/>
          <w:bCs/>
          <w:sz w:val="28"/>
          <w:szCs w:val="28"/>
        </w:rPr>
      </w:pPr>
    </w:p>
    <w:p w14:paraId="376F6479" w14:textId="77777777" w:rsidR="007E0304" w:rsidRPr="001101B3" w:rsidRDefault="000F178B" w:rsidP="007E0304">
      <w:pPr>
        <w:numPr>
          <w:ilvl w:val="0"/>
          <w:numId w:val="14"/>
        </w:numPr>
        <w:rPr>
          <w:sz w:val="28"/>
          <w:szCs w:val="28"/>
        </w:rPr>
      </w:pPr>
      <w:r w:rsidRPr="001101B3">
        <w:rPr>
          <w:sz w:val="28"/>
          <w:szCs w:val="28"/>
        </w:rPr>
        <w:t>The C</w:t>
      </w:r>
      <w:r w:rsidR="007E0304" w:rsidRPr="001101B3">
        <w:rPr>
          <w:sz w:val="28"/>
          <w:szCs w:val="28"/>
        </w:rPr>
        <w:t>ourt of Appeal in HK may lay down sentencing guidelines or tariffs</w:t>
      </w:r>
      <w:r w:rsidR="00DA486F" w:rsidRPr="001101B3">
        <w:rPr>
          <w:sz w:val="28"/>
          <w:szCs w:val="28"/>
        </w:rPr>
        <w:t>.</w:t>
      </w:r>
    </w:p>
    <w:p w14:paraId="476E4C93" w14:textId="2DAEFF69" w:rsidR="007E0304" w:rsidRPr="001101B3" w:rsidRDefault="000F178B" w:rsidP="007E0304">
      <w:pPr>
        <w:numPr>
          <w:ilvl w:val="0"/>
          <w:numId w:val="14"/>
        </w:numPr>
        <w:rPr>
          <w:sz w:val="28"/>
          <w:szCs w:val="28"/>
        </w:rPr>
      </w:pPr>
      <w:r w:rsidRPr="001101B3">
        <w:rPr>
          <w:sz w:val="28"/>
          <w:szCs w:val="28"/>
        </w:rPr>
        <w:t>It h</w:t>
      </w:r>
      <w:r w:rsidR="007E0304" w:rsidRPr="001101B3">
        <w:rPr>
          <w:sz w:val="28"/>
          <w:szCs w:val="28"/>
        </w:rPr>
        <w:t>elps to promote general fairness and consistency, although no two cases are ever absolutely</w:t>
      </w:r>
      <w:r w:rsidR="006D6956">
        <w:rPr>
          <w:sz w:val="28"/>
          <w:szCs w:val="28"/>
        </w:rPr>
        <w:t xml:space="preserve"> </w:t>
      </w:r>
      <w:r w:rsidR="007E0304" w:rsidRPr="001101B3">
        <w:rPr>
          <w:sz w:val="28"/>
          <w:szCs w:val="28"/>
        </w:rPr>
        <w:t>alike.</w:t>
      </w:r>
    </w:p>
    <w:p w14:paraId="6D7C7C57" w14:textId="77777777" w:rsidR="000F178B" w:rsidRPr="001101B3" w:rsidRDefault="000F178B" w:rsidP="000F178B">
      <w:pPr>
        <w:ind w:left="720"/>
        <w:rPr>
          <w:sz w:val="28"/>
          <w:szCs w:val="28"/>
        </w:rPr>
      </w:pPr>
    </w:p>
    <w:p w14:paraId="55B16175" w14:textId="77777777" w:rsidR="006F7FA2" w:rsidRPr="001101B3" w:rsidRDefault="00706EA0" w:rsidP="009E7112">
      <w:pPr>
        <w:widowControl/>
        <w:autoSpaceDE w:val="0"/>
        <w:autoSpaceDN w:val="0"/>
        <w:adjustRightInd w:val="0"/>
        <w:jc w:val="both"/>
        <w:rPr>
          <w:sz w:val="28"/>
          <w:szCs w:val="28"/>
        </w:rPr>
      </w:pPr>
      <w:r w:rsidRPr="001101B3">
        <w:rPr>
          <w:sz w:val="28"/>
          <w:szCs w:val="28"/>
        </w:rPr>
        <w:lastRenderedPageBreak/>
        <w:t xml:space="preserve">There is no tariff for assault occasioning grievous bodily harm under </w:t>
      </w:r>
      <w:r w:rsidR="00702C8D" w:rsidRPr="001101B3">
        <w:rPr>
          <w:sz w:val="28"/>
          <w:szCs w:val="28"/>
        </w:rPr>
        <w:t xml:space="preserve">wounding with intent per </w:t>
      </w:r>
      <w:r w:rsidRPr="001101B3">
        <w:rPr>
          <w:sz w:val="28"/>
          <w:szCs w:val="28"/>
        </w:rPr>
        <w:t>s.17</w:t>
      </w:r>
      <w:r w:rsidR="0091056E" w:rsidRPr="001101B3">
        <w:rPr>
          <w:sz w:val="28"/>
          <w:szCs w:val="28"/>
        </w:rPr>
        <w:t xml:space="preserve"> </w:t>
      </w:r>
      <w:r w:rsidR="00702C8D" w:rsidRPr="001101B3">
        <w:rPr>
          <w:sz w:val="28"/>
          <w:szCs w:val="28"/>
        </w:rPr>
        <w:t>OAPO</w:t>
      </w:r>
      <w:r w:rsidR="006F7FA2" w:rsidRPr="001101B3">
        <w:rPr>
          <w:sz w:val="28"/>
          <w:szCs w:val="28"/>
        </w:rPr>
        <w:t>,</w:t>
      </w:r>
      <w:r w:rsidR="00702C8D" w:rsidRPr="001101B3">
        <w:rPr>
          <w:sz w:val="28"/>
          <w:szCs w:val="28"/>
        </w:rPr>
        <w:t xml:space="preserve"> </w:t>
      </w:r>
      <w:r w:rsidRPr="001101B3">
        <w:rPr>
          <w:sz w:val="28"/>
          <w:szCs w:val="28"/>
        </w:rPr>
        <w:t xml:space="preserve">so there is greater opportunity for discretion in the sentencing process after </w:t>
      </w:r>
      <w:proofErr w:type="gramStart"/>
      <w:r w:rsidRPr="001101B3">
        <w:rPr>
          <w:sz w:val="28"/>
          <w:szCs w:val="28"/>
        </w:rPr>
        <w:t>taking into account</w:t>
      </w:r>
      <w:proofErr w:type="gramEnd"/>
      <w:r w:rsidRPr="001101B3">
        <w:rPr>
          <w:sz w:val="28"/>
          <w:szCs w:val="28"/>
        </w:rPr>
        <w:t xml:space="preserve"> mitigating and aggravating factors.</w:t>
      </w:r>
      <w:r w:rsidR="005E6151" w:rsidRPr="001101B3">
        <w:rPr>
          <w:sz w:val="28"/>
          <w:szCs w:val="28"/>
        </w:rPr>
        <w:t xml:space="preserve"> Quoting from the headnote (there is a problem with the clarity of the image in the corresponding paragraph in the body of the reported judgment as sent to the author of this chapter) of </w:t>
      </w:r>
      <w:r w:rsidR="005E6151" w:rsidRPr="001101B3">
        <w:rPr>
          <w:rFonts w:eastAsiaTheme="minorEastAsia"/>
          <w:bCs/>
          <w:i/>
          <w:kern w:val="0"/>
          <w:sz w:val="28"/>
          <w:szCs w:val="28"/>
          <w:lang w:eastAsia="zh-CN"/>
        </w:rPr>
        <w:t>Secretary for Justice and</w:t>
      </w:r>
      <w:r w:rsidR="005E6151" w:rsidRPr="001101B3">
        <w:rPr>
          <w:rFonts w:eastAsiaTheme="minorEastAsia"/>
          <w:bCs/>
          <w:kern w:val="0"/>
          <w:sz w:val="28"/>
          <w:szCs w:val="28"/>
          <w:lang w:eastAsia="zh-CN"/>
        </w:rPr>
        <w:t xml:space="preserve"> </w:t>
      </w:r>
      <w:r w:rsidR="005E6151" w:rsidRPr="001101B3">
        <w:rPr>
          <w:rFonts w:eastAsiaTheme="minorEastAsia"/>
          <w:bCs/>
          <w:i/>
          <w:kern w:val="0"/>
          <w:sz w:val="28"/>
          <w:szCs w:val="28"/>
          <w:lang w:eastAsia="zh-CN"/>
        </w:rPr>
        <w:t xml:space="preserve">Hau Ping </w:t>
      </w:r>
      <w:proofErr w:type="spellStart"/>
      <w:r w:rsidR="005E6151" w:rsidRPr="001101B3">
        <w:rPr>
          <w:rFonts w:eastAsiaTheme="minorEastAsia"/>
          <w:bCs/>
          <w:i/>
          <w:kern w:val="0"/>
          <w:sz w:val="28"/>
          <w:szCs w:val="28"/>
          <w:lang w:eastAsia="zh-CN"/>
        </w:rPr>
        <w:t>Chuen</w:t>
      </w:r>
      <w:proofErr w:type="spellEnd"/>
      <w:r w:rsidR="005E6151" w:rsidRPr="001101B3">
        <w:rPr>
          <w:rFonts w:eastAsiaTheme="minorEastAsia"/>
          <w:bCs/>
          <w:kern w:val="0"/>
          <w:sz w:val="28"/>
          <w:szCs w:val="28"/>
          <w:lang w:eastAsia="zh-CN"/>
        </w:rPr>
        <w:t>:</w:t>
      </w:r>
      <w:r w:rsidR="005E6151" w:rsidRPr="001101B3">
        <w:rPr>
          <w:rStyle w:val="FootnoteReference"/>
          <w:rFonts w:eastAsiaTheme="minorEastAsia"/>
          <w:bCs/>
          <w:kern w:val="0"/>
          <w:sz w:val="28"/>
          <w:szCs w:val="28"/>
          <w:lang w:eastAsia="zh-CN"/>
        </w:rPr>
        <w:footnoteReference w:id="30"/>
      </w:r>
      <w:r w:rsidR="005E6151" w:rsidRPr="001101B3">
        <w:rPr>
          <w:rFonts w:eastAsiaTheme="minorEastAsia"/>
          <w:bCs/>
          <w:i/>
          <w:kern w:val="0"/>
          <w:sz w:val="28"/>
          <w:szCs w:val="28"/>
          <w:lang w:eastAsia="zh-CN"/>
        </w:rPr>
        <w:t>“</w:t>
      </w:r>
      <w:r w:rsidR="005E6151" w:rsidRPr="001101B3">
        <w:rPr>
          <w:rFonts w:eastAsiaTheme="minorEastAsia"/>
          <w:kern w:val="0"/>
          <w:sz w:val="28"/>
          <w:szCs w:val="28"/>
          <w:lang w:eastAsia="zh-CN"/>
        </w:rPr>
        <w:t xml:space="preserve">There were a host of wounding with intent decisions which might be used in </w:t>
      </w:r>
      <w:proofErr w:type="spellStart"/>
      <w:r w:rsidR="005E6151" w:rsidRPr="001101B3">
        <w:rPr>
          <w:rFonts w:eastAsiaTheme="minorEastAsia"/>
          <w:kern w:val="0"/>
          <w:sz w:val="28"/>
          <w:szCs w:val="28"/>
          <w:lang w:eastAsia="zh-CN"/>
        </w:rPr>
        <w:t>favour</w:t>
      </w:r>
      <w:proofErr w:type="spellEnd"/>
      <w:r w:rsidR="005E6151" w:rsidRPr="001101B3">
        <w:rPr>
          <w:rFonts w:eastAsiaTheme="minorEastAsia"/>
          <w:kern w:val="0"/>
          <w:sz w:val="28"/>
          <w:szCs w:val="28"/>
          <w:lang w:eastAsia="zh-CN"/>
        </w:rPr>
        <w:t xml:space="preserve"> of a lenient view whereas others </w:t>
      </w:r>
      <w:proofErr w:type="spellStart"/>
      <w:r w:rsidR="005E6151" w:rsidRPr="001101B3">
        <w:rPr>
          <w:rFonts w:eastAsiaTheme="minorEastAsia"/>
          <w:kern w:val="0"/>
          <w:sz w:val="28"/>
          <w:szCs w:val="28"/>
          <w:lang w:eastAsia="zh-CN"/>
        </w:rPr>
        <w:t>favoured</w:t>
      </w:r>
      <w:proofErr w:type="spellEnd"/>
      <w:r w:rsidR="005E6151" w:rsidRPr="001101B3">
        <w:rPr>
          <w:rFonts w:eastAsiaTheme="minorEastAsia"/>
          <w:kern w:val="0"/>
          <w:sz w:val="28"/>
          <w:szCs w:val="28"/>
          <w:lang w:eastAsia="zh-CN"/>
        </w:rPr>
        <w:t xml:space="preserve"> a stricter view. At the end of the day, the sentencing court obtained a “feel” for the appropriate result by regard to the attitude of courts over a period of time to a great variety of circumstances.”</w:t>
      </w:r>
      <w:r w:rsidR="005E6151" w:rsidRPr="001101B3">
        <w:rPr>
          <w:sz w:val="28"/>
          <w:szCs w:val="28"/>
        </w:rPr>
        <w:t xml:space="preserve"> </w:t>
      </w:r>
    </w:p>
    <w:p w14:paraId="7A474A6C" w14:textId="77777777" w:rsidR="006F7FA2" w:rsidRPr="001101B3" w:rsidRDefault="006F7FA2" w:rsidP="009E7112">
      <w:pPr>
        <w:widowControl/>
        <w:autoSpaceDE w:val="0"/>
        <w:autoSpaceDN w:val="0"/>
        <w:adjustRightInd w:val="0"/>
        <w:jc w:val="both"/>
        <w:rPr>
          <w:sz w:val="28"/>
          <w:szCs w:val="28"/>
        </w:rPr>
      </w:pPr>
    </w:p>
    <w:p w14:paraId="76B025AC" w14:textId="5A6D7FB6" w:rsidR="006C4CFC" w:rsidRPr="001101B3" w:rsidRDefault="00754B1E" w:rsidP="009E7112">
      <w:pPr>
        <w:widowControl/>
        <w:autoSpaceDE w:val="0"/>
        <w:autoSpaceDN w:val="0"/>
        <w:adjustRightInd w:val="0"/>
        <w:jc w:val="both"/>
        <w:rPr>
          <w:sz w:val="28"/>
          <w:szCs w:val="28"/>
        </w:rPr>
      </w:pPr>
      <w:r w:rsidRPr="001101B3">
        <w:rPr>
          <w:sz w:val="28"/>
          <w:szCs w:val="28"/>
        </w:rPr>
        <w:t xml:space="preserve">It has been said in </w:t>
      </w:r>
      <w:r w:rsidRPr="001101B3">
        <w:rPr>
          <w:i/>
          <w:sz w:val="28"/>
          <w:szCs w:val="28"/>
        </w:rPr>
        <w:t>Attorney General</w:t>
      </w:r>
      <w:r w:rsidRPr="001101B3">
        <w:rPr>
          <w:sz w:val="28"/>
          <w:szCs w:val="28"/>
        </w:rPr>
        <w:t xml:space="preserve"> v </w:t>
      </w:r>
      <w:r w:rsidRPr="001101B3">
        <w:rPr>
          <w:i/>
          <w:sz w:val="28"/>
          <w:szCs w:val="28"/>
        </w:rPr>
        <w:t>Low Wing Wah</w:t>
      </w:r>
      <w:r w:rsidRPr="001101B3">
        <w:rPr>
          <w:sz w:val="28"/>
          <w:szCs w:val="28"/>
        </w:rPr>
        <w:t>,</w:t>
      </w:r>
      <w:r w:rsidRPr="001101B3">
        <w:rPr>
          <w:rStyle w:val="FootnoteReference"/>
          <w:sz w:val="28"/>
          <w:szCs w:val="28"/>
        </w:rPr>
        <w:footnoteReference w:id="31"/>
      </w:r>
      <w:r w:rsidRPr="001101B3">
        <w:rPr>
          <w:sz w:val="28"/>
          <w:szCs w:val="28"/>
        </w:rPr>
        <w:t xml:space="preserve"> </w:t>
      </w:r>
      <w:r w:rsidR="003942C8" w:rsidRPr="001101B3">
        <w:rPr>
          <w:sz w:val="28"/>
          <w:szCs w:val="28"/>
        </w:rPr>
        <w:t>per Mortimer JA (giving the judgment of the Court)</w:t>
      </w:r>
      <w:r w:rsidR="00D54B81" w:rsidRPr="001101B3">
        <w:rPr>
          <w:sz w:val="28"/>
          <w:szCs w:val="28"/>
        </w:rPr>
        <w:t>,</w:t>
      </w:r>
      <w:r w:rsidR="003942C8" w:rsidRPr="001101B3">
        <w:rPr>
          <w:sz w:val="28"/>
          <w:szCs w:val="28"/>
        </w:rPr>
        <w:t xml:space="preserve"> that in wounding with intent under s.17 OAPO that </w:t>
      </w:r>
      <w:r w:rsidRPr="001101B3">
        <w:rPr>
          <w:sz w:val="28"/>
          <w:szCs w:val="28"/>
        </w:rPr>
        <w:t xml:space="preserve">“the trial judge has a very wide discretion in the sentence which he imposes. He is in most circumstances the best person to judge the facts and to assess the proper sentence.” </w:t>
      </w:r>
    </w:p>
    <w:p w14:paraId="3A84A59C" w14:textId="77777777" w:rsidR="006C4CFC" w:rsidRPr="001101B3" w:rsidRDefault="006C4CFC" w:rsidP="009E7112">
      <w:pPr>
        <w:widowControl/>
        <w:autoSpaceDE w:val="0"/>
        <w:autoSpaceDN w:val="0"/>
        <w:adjustRightInd w:val="0"/>
        <w:jc w:val="both"/>
        <w:rPr>
          <w:sz w:val="28"/>
          <w:szCs w:val="28"/>
        </w:rPr>
      </w:pPr>
    </w:p>
    <w:p w14:paraId="5BBB06BF" w14:textId="41D52E06" w:rsidR="00706EA0" w:rsidRPr="001101B3" w:rsidRDefault="00706EA0" w:rsidP="009E7112">
      <w:pPr>
        <w:widowControl/>
        <w:autoSpaceDE w:val="0"/>
        <w:autoSpaceDN w:val="0"/>
        <w:adjustRightInd w:val="0"/>
        <w:jc w:val="both"/>
        <w:rPr>
          <w:rFonts w:eastAsiaTheme="minorEastAsia"/>
          <w:kern w:val="0"/>
          <w:sz w:val="28"/>
          <w:szCs w:val="28"/>
          <w:lang w:eastAsia="zh-CN"/>
        </w:rPr>
      </w:pPr>
      <w:r w:rsidRPr="001101B3">
        <w:rPr>
          <w:sz w:val="28"/>
          <w:szCs w:val="28"/>
        </w:rPr>
        <w:t xml:space="preserve">Compare the lengths of sentences in the cases of </w:t>
      </w:r>
      <w:r w:rsidRPr="001101B3">
        <w:rPr>
          <w:bCs/>
          <w:i/>
          <w:sz w:val="28"/>
          <w:szCs w:val="28"/>
        </w:rPr>
        <w:t>R</w:t>
      </w:r>
      <w:r w:rsidRPr="001101B3">
        <w:rPr>
          <w:bCs/>
          <w:sz w:val="28"/>
          <w:szCs w:val="28"/>
        </w:rPr>
        <w:t xml:space="preserve"> v </w:t>
      </w:r>
      <w:proofErr w:type="spellStart"/>
      <w:r w:rsidRPr="001101B3">
        <w:rPr>
          <w:bCs/>
          <w:i/>
          <w:sz w:val="28"/>
          <w:szCs w:val="28"/>
        </w:rPr>
        <w:t>Tsui</w:t>
      </w:r>
      <w:proofErr w:type="spellEnd"/>
      <w:r w:rsidRPr="001101B3">
        <w:rPr>
          <w:bCs/>
          <w:i/>
          <w:sz w:val="28"/>
          <w:szCs w:val="28"/>
        </w:rPr>
        <w:t xml:space="preserve"> Mei-</w:t>
      </w:r>
      <w:proofErr w:type="spellStart"/>
      <w:r w:rsidRPr="001101B3">
        <w:rPr>
          <w:bCs/>
          <w:i/>
          <w:sz w:val="28"/>
          <w:szCs w:val="28"/>
        </w:rPr>
        <w:t>ying</w:t>
      </w:r>
      <w:proofErr w:type="spellEnd"/>
      <w:r w:rsidRPr="001101B3">
        <w:rPr>
          <w:i/>
          <w:sz w:val="28"/>
          <w:szCs w:val="28"/>
        </w:rPr>
        <w:t xml:space="preserve"> </w:t>
      </w:r>
      <w:r w:rsidRPr="001101B3">
        <w:rPr>
          <w:sz w:val="28"/>
          <w:szCs w:val="28"/>
        </w:rPr>
        <w:t>and</w:t>
      </w:r>
      <w:r w:rsidRPr="001101B3">
        <w:rPr>
          <w:i/>
          <w:sz w:val="28"/>
          <w:szCs w:val="28"/>
        </w:rPr>
        <w:t xml:space="preserve"> Secretary of Justice </w:t>
      </w:r>
      <w:r w:rsidRPr="001101B3">
        <w:rPr>
          <w:sz w:val="28"/>
          <w:szCs w:val="28"/>
        </w:rPr>
        <w:t>v</w:t>
      </w:r>
      <w:r w:rsidRPr="001101B3">
        <w:rPr>
          <w:i/>
          <w:sz w:val="28"/>
          <w:szCs w:val="28"/>
        </w:rPr>
        <w:t xml:space="preserve"> </w:t>
      </w:r>
      <w:r w:rsidR="00B81673" w:rsidRPr="001101B3">
        <w:rPr>
          <w:i/>
          <w:sz w:val="28"/>
          <w:szCs w:val="28"/>
        </w:rPr>
        <w:t>Chau Wan-f</w:t>
      </w:r>
      <w:r w:rsidR="00187460" w:rsidRPr="001101B3">
        <w:rPr>
          <w:i/>
          <w:sz w:val="28"/>
          <w:szCs w:val="28"/>
        </w:rPr>
        <w:t>u</w:t>
      </w:r>
      <w:r w:rsidR="00B81673" w:rsidRPr="001101B3">
        <w:rPr>
          <w:i/>
          <w:sz w:val="28"/>
          <w:szCs w:val="28"/>
        </w:rPr>
        <w:t>n</w:t>
      </w:r>
      <w:r w:rsidR="00B81673" w:rsidRPr="001101B3">
        <w:rPr>
          <w:sz w:val="28"/>
          <w:szCs w:val="28"/>
        </w:rPr>
        <w:t xml:space="preserve"> </w:t>
      </w:r>
      <w:r w:rsidRPr="001101B3">
        <w:rPr>
          <w:sz w:val="28"/>
          <w:szCs w:val="28"/>
        </w:rPr>
        <w:t xml:space="preserve">with the following </w:t>
      </w:r>
      <w:r w:rsidR="005471F4" w:rsidRPr="001101B3">
        <w:rPr>
          <w:sz w:val="28"/>
          <w:szCs w:val="28"/>
        </w:rPr>
        <w:t>four</w:t>
      </w:r>
      <w:r w:rsidR="002B6D96" w:rsidRPr="001101B3">
        <w:rPr>
          <w:sz w:val="28"/>
          <w:szCs w:val="28"/>
        </w:rPr>
        <w:t xml:space="preserve"> cases in which the appellant was convicted and sentenced pursuant to that section.</w:t>
      </w:r>
      <w:r w:rsidR="0058426C" w:rsidRPr="001101B3">
        <w:rPr>
          <w:rFonts w:eastAsiaTheme="minorEastAsia"/>
          <w:kern w:val="0"/>
          <w:sz w:val="28"/>
          <w:szCs w:val="28"/>
          <w:lang w:eastAsia="zh-CN"/>
        </w:rPr>
        <w:t xml:space="preserve"> However, it was said in </w:t>
      </w:r>
      <w:r w:rsidR="0058426C" w:rsidRPr="001101B3">
        <w:rPr>
          <w:rFonts w:eastAsiaTheme="minorEastAsia"/>
          <w:i/>
          <w:kern w:val="0"/>
          <w:sz w:val="28"/>
          <w:szCs w:val="28"/>
          <w:lang w:eastAsia="zh-CN"/>
        </w:rPr>
        <w:t>Secretary for Justice</w:t>
      </w:r>
      <w:r w:rsidR="0058426C" w:rsidRPr="001101B3">
        <w:rPr>
          <w:rFonts w:eastAsiaTheme="minorEastAsia"/>
          <w:kern w:val="0"/>
          <w:sz w:val="28"/>
          <w:szCs w:val="28"/>
          <w:lang w:eastAsia="zh-CN"/>
        </w:rPr>
        <w:t xml:space="preserve"> v </w:t>
      </w:r>
      <w:r w:rsidR="0058426C" w:rsidRPr="001101B3">
        <w:rPr>
          <w:rFonts w:eastAsiaTheme="minorEastAsia"/>
          <w:i/>
          <w:kern w:val="0"/>
          <w:sz w:val="28"/>
          <w:szCs w:val="28"/>
          <w:lang w:eastAsia="zh-CN"/>
        </w:rPr>
        <w:t xml:space="preserve">Hau Ping </w:t>
      </w:r>
      <w:proofErr w:type="spellStart"/>
      <w:r w:rsidR="0058426C" w:rsidRPr="001101B3">
        <w:rPr>
          <w:rFonts w:eastAsiaTheme="minorEastAsia"/>
          <w:i/>
          <w:kern w:val="0"/>
          <w:sz w:val="28"/>
          <w:szCs w:val="28"/>
          <w:lang w:eastAsia="zh-CN"/>
        </w:rPr>
        <w:t>Chuen</w:t>
      </w:r>
      <w:proofErr w:type="spellEnd"/>
      <w:r w:rsidR="00052418" w:rsidRPr="001101B3">
        <w:rPr>
          <w:rFonts w:eastAsiaTheme="minorEastAsia"/>
          <w:kern w:val="0"/>
          <w:sz w:val="28"/>
          <w:szCs w:val="28"/>
          <w:lang w:eastAsia="zh-CN"/>
        </w:rPr>
        <w:t>,</w:t>
      </w:r>
      <w:r w:rsidR="0058426C" w:rsidRPr="001101B3">
        <w:rPr>
          <w:rStyle w:val="FootnoteReference"/>
          <w:rFonts w:eastAsiaTheme="minorEastAsia"/>
          <w:kern w:val="0"/>
          <w:sz w:val="28"/>
          <w:szCs w:val="28"/>
          <w:lang w:eastAsia="zh-CN"/>
        </w:rPr>
        <w:footnoteReference w:id="32"/>
      </w:r>
      <w:r w:rsidR="0058426C" w:rsidRPr="001101B3">
        <w:rPr>
          <w:rFonts w:eastAsiaTheme="minorEastAsia"/>
          <w:kern w:val="0"/>
          <w:sz w:val="28"/>
          <w:szCs w:val="28"/>
          <w:lang w:eastAsia="zh-CN"/>
        </w:rPr>
        <w:t xml:space="preserve"> </w:t>
      </w:r>
      <w:r w:rsidR="003942C8" w:rsidRPr="001101B3">
        <w:rPr>
          <w:sz w:val="28"/>
          <w:szCs w:val="28"/>
        </w:rPr>
        <w:t>that in wounding with intent under s.17 OAPO at [17]</w:t>
      </w:r>
      <w:r w:rsidR="0058426C" w:rsidRPr="001101B3">
        <w:rPr>
          <w:rFonts w:eastAsiaTheme="minorEastAsia"/>
          <w:kern w:val="0"/>
          <w:sz w:val="28"/>
          <w:szCs w:val="28"/>
          <w:lang w:eastAsia="zh-CN"/>
        </w:rPr>
        <w:t xml:space="preserve"> that since</w:t>
      </w:r>
      <w:r w:rsidR="0058426C" w:rsidRPr="001101B3">
        <w:rPr>
          <w:bCs/>
          <w:i/>
          <w:sz w:val="28"/>
          <w:szCs w:val="28"/>
        </w:rPr>
        <w:t xml:space="preserve"> R</w:t>
      </w:r>
      <w:r w:rsidR="0058426C" w:rsidRPr="001101B3">
        <w:rPr>
          <w:bCs/>
          <w:sz w:val="28"/>
          <w:szCs w:val="28"/>
        </w:rPr>
        <w:t xml:space="preserve"> v </w:t>
      </w:r>
      <w:proofErr w:type="spellStart"/>
      <w:r w:rsidR="0058426C" w:rsidRPr="001101B3">
        <w:rPr>
          <w:bCs/>
          <w:i/>
          <w:sz w:val="28"/>
          <w:szCs w:val="28"/>
        </w:rPr>
        <w:t>Tsui</w:t>
      </w:r>
      <w:proofErr w:type="spellEnd"/>
      <w:r w:rsidR="0058426C" w:rsidRPr="001101B3">
        <w:rPr>
          <w:bCs/>
          <w:i/>
          <w:sz w:val="28"/>
          <w:szCs w:val="28"/>
        </w:rPr>
        <w:t xml:space="preserve"> Mei-</w:t>
      </w:r>
      <w:proofErr w:type="spellStart"/>
      <w:r w:rsidR="0058426C" w:rsidRPr="001101B3">
        <w:rPr>
          <w:bCs/>
          <w:i/>
          <w:sz w:val="28"/>
          <w:szCs w:val="28"/>
        </w:rPr>
        <w:t>ying</w:t>
      </w:r>
      <w:proofErr w:type="spellEnd"/>
      <w:r w:rsidR="0058426C" w:rsidRPr="001101B3">
        <w:rPr>
          <w:i/>
          <w:sz w:val="28"/>
          <w:szCs w:val="28"/>
        </w:rPr>
        <w:t xml:space="preserve"> </w:t>
      </w:r>
      <w:r w:rsidR="0058426C" w:rsidRPr="001101B3">
        <w:rPr>
          <w:sz w:val="28"/>
          <w:szCs w:val="28"/>
        </w:rPr>
        <w:t>and</w:t>
      </w:r>
      <w:r w:rsidR="0058426C" w:rsidRPr="001101B3">
        <w:rPr>
          <w:i/>
          <w:sz w:val="28"/>
          <w:szCs w:val="28"/>
        </w:rPr>
        <w:t xml:space="preserve"> Secretary of Justice </w:t>
      </w:r>
      <w:r w:rsidR="0058426C" w:rsidRPr="001101B3">
        <w:rPr>
          <w:sz w:val="28"/>
          <w:szCs w:val="28"/>
        </w:rPr>
        <w:t>v</w:t>
      </w:r>
      <w:r w:rsidR="0058426C" w:rsidRPr="001101B3">
        <w:rPr>
          <w:i/>
          <w:sz w:val="28"/>
          <w:szCs w:val="28"/>
        </w:rPr>
        <w:t xml:space="preserve"> Chau Wan-f</w:t>
      </w:r>
      <w:r w:rsidR="00E8486A" w:rsidRPr="001101B3">
        <w:rPr>
          <w:i/>
          <w:sz w:val="28"/>
          <w:szCs w:val="28"/>
        </w:rPr>
        <w:t>u</w:t>
      </w:r>
      <w:r w:rsidR="0058426C" w:rsidRPr="001101B3">
        <w:rPr>
          <w:i/>
          <w:sz w:val="28"/>
          <w:szCs w:val="28"/>
        </w:rPr>
        <w:t>n</w:t>
      </w:r>
      <w:r w:rsidR="0058426C" w:rsidRPr="001101B3">
        <w:rPr>
          <w:rFonts w:eastAsiaTheme="minorEastAsia"/>
          <w:kern w:val="0"/>
          <w:sz w:val="28"/>
          <w:szCs w:val="28"/>
          <w:lang w:eastAsia="zh-CN"/>
        </w:rPr>
        <w:t xml:space="preserve">, </w:t>
      </w:r>
      <w:r w:rsidR="008D1ACC" w:rsidRPr="001101B3">
        <w:rPr>
          <w:rFonts w:eastAsiaTheme="minorEastAsia"/>
          <w:kern w:val="0"/>
          <w:sz w:val="28"/>
          <w:szCs w:val="28"/>
          <w:lang w:eastAsia="zh-CN"/>
        </w:rPr>
        <w:t>“</w:t>
      </w:r>
      <w:r w:rsidR="0058426C" w:rsidRPr="001101B3">
        <w:rPr>
          <w:rFonts w:eastAsiaTheme="minorEastAsia"/>
          <w:kern w:val="0"/>
          <w:sz w:val="28"/>
          <w:szCs w:val="28"/>
          <w:lang w:eastAsia="zh-CN"/>
        </w:rPr>
        <w:t>it might be said that the attitude of the courts towards offences of violence has changed with the result that they are now dealt with more severely</w:t>
      </w:r>
      <w:r w:rsidR="003942C8" w:rsidRPr="001101B3">
        <w:rPr>
          <w:rFonts w:eastAsiaTheme="minorEastAsia"/>
          <w:kern w:val="0"/>
          <w:sz w:val="28"/>
          <w:szCs w:val="28"/>
          <w:lang w:eastAsia="zh-CN"/>
        </w:rPr>
        <w:t>.</w:t>
      </w:r>
      <w:r w:rsidR="00052418" w:rsidRPr="001101B3">
        <w:rPr>
          <w:rFonts w:eastAsiaTheme="minorEastAsia"/>
          <w:kern w:val="0"/>
          <w:sz w:val="28"/>
          <w:szCs w:val="28"/>
          <w:lang w:eastAsia="zh-CN"/>
        </w:rPr>
        <w:t xml:space="preserve"> </w:t>
      </w:r>
      <w:r w:rsidR="005618D9" w:rsidRPr="001101B3">
        <w:rPr>
          <w:rFonts w:eastAsiaTheme="minorEastAsia"/>
          <w:kern w:val="0"/>
          <w:sz w:val="28"/>
          <w:szCs w:val="28"/>
          <w:lang w:eastAsia="zh-CN"/>
        </w:rPr>
        <w:t xml:space="preserve">It was also said in </w:t>
      </w:r>
      <w:r w:rsidR="005618D9" w:rsidRPr="001101B3">
        <w:rPr>
          <w:rFonts w:eastAsiaTheme="minorEastAsia"/>
          <w:i/>
          <w:kern w:val="0"/>
          <w:sz w:val="28"/>
          <w:szCs w:val="28"/>
          <w:lang w:eastAsia="zh-CN"/>
        </w:rPr>
        <w:t>HKSAR</w:t>
      </w:r>
      <w:r w:rsidR="005618D9" w:rsidRPr="001101B3">
        <w:rPr>
          <w:rFonts w:eastAsiaTheme="minorEastAsia"/>
          <w:kern w:val="0"/>
          <w:sz w:val="28"/>
          <w:szCs w:val="28"/>
          <w:lang w:eastAsia="zh-CN"/>
        </w:rPr>
        <w:t xml:space="preserve"> v </w:t>
      </w:r>
      <w:r w:rsidR="005618D9" w:rsidRPr="001101B3">
        <w:rPr>
          <w:rFonts w:eastAsiaTheme="minorEastAsia"/>
          <w:i/>
          <w:kern w:val="0"/>
          <w:sz w:val="28"/>
          <w:szCs w:val="28"/>
          <w:lang w:eastAsia="zh-CN"/>
        </w:rPr>
        <w:t xml:space="preserve">Wong </w:t>
      </w:r>
      <w:proofErr w:type="spellStart"/>
      <w:r w:rsidR="005618D9" w:rsidRPr="001101B3">
        <w:rPr>
          <w:rFonts w:eastAsiaTheme="minorEastAsia"/>
          <w:i/>
          <w:kern w:val="0"/>
          <w:sz w:val="28"/>
          <w:szCs w:val="28"/>
          <w:lang w:eastAsia="zh-CN"/>
        </w:rPr>
        <w:t>Luk</w:t>
      </w:r>
      <w:proofErr w:type="spellEnd"/>
      <w:r w:rsidR="005618D9" w:rsidRPr="001101B3">
        <w:rPr>
          <w:rFonts w:eastAsiaTheme="minorEastAsia"/>
          <w:i/>
          <w:kern w:val="0"/>
          <w:sz w:val="28"/>
          <w:szCs w:val="28"/>
          <w:lang w:eastAsia="zh-CN"/>
        </w:rPr>
        <w:t xml:space="preserve"> Sau</w:t>
      </w:r>
      <w:r w:rsidR="003C2CDA" w:rsidRPr="001101B3">
        <w:rPr>
          <w:rFonts w:eastAsiaTheme="minorEastAsia"/>
          <w:i/>
          <w:kern w:val="0"/>
          <w:sz w:val="28"/>
          <w:szCs w:val="28"/>
          <w:lang w:eastAsia="zh-CN"/>
        </w:rPr>
        <w:t>,</w:t>
      </w:r>
      <w:r w:rsidR="005618D9" w:rsidRPr="001101B3">
        <w:rPr>
          <w:rStyle w:val="FootnoteReference"/>
          <w:rFonts w:eastAsiaTheme="minorEastAsia"/>
          <w:kern w:val="0"/>
          <w:sz w:val="28"/>
          <w:szCs w:val="28"/>
          <w:lang w:eastAsia="zh-CN"/>
        </w:rPr>
        <w:footnoteReference w:id="33"/>
      </w:r>
      <w:r w:rsidR="005618D9" w:rsidRPr="001101B3">
        <w:rPr>
          <w:rFonts w:eastAsiaTheme="minorEastAsia"/>
          <w:kern w:val="0"/>
          <w:sz w:val="28"/>
          <w:szCs w:val="28"/>
          <w:lang w:eastAsia="zh-CN"/>
        </w:rPr>
        <w:t xml:space="preserve"> </w:t>
      </w:r>
      <w:r w:rsidR="00052418" w:rsidRPr="001101B3">
        <w:rPr>
          <w:rFonts w:eastAsiaTheme="minorEastAsia"/>
          <w:kern w:val="0"/>
          <w:sz w:val="28"/>
          <w:szCs w:val="28"/>
          <w:lang w:eastAsia="zh-CN"/>
        </w:rPr>
        <w:t xml:space="preserve">per </w:t>
      </w:r>
      <w:r w:rsidR="00052418" w:rsidRPr="001101B3">
        <w:rPr>
          <w:rStyle w:val="Strong"/>
          <w:b w:val="0"/>
          <w:sz w:val="28"/>
          <w:szCs w:val="28"/>
        </w:rPr>
        <w:t>Barnes J</w:t>
      </w:r>
      <w:r w:rsidR="003C2CDA" w:rsidRPr="001101B3">
        <w:rPr>
          <w:rStyle w:val="Strong"/>
          <w:b w:val="0"/>
          <w:sz w:val="28"/>
          <w:szCs w:val="28"/>
        </w:rPr>
        <w:t>,</w:t>
      </w:r>
      <w:r w:rsidR="00052418" w:rsidRPr="001101B3">
        <w:rPr>
          <w:rStyle w:val="Strong"/>
          <w:b w:val="0"/>
          <w:sz w:val="28"/>
          <w:szCs w:val="28"/>
        </w:rPr>
        <w:t xml:space="preserve"> </w:t>
      </w:r>
      <w:r w:rsidR="00052418" w:rsidRPr="001101B3">
        <w:rPr>
          <w:sz w:val="28"/>
          <w:szCs w:val="28"/>
        </w:rPr>
        <w:t>(giving the reasons for judgment of the Court) at [18]:</w:t>
      </w:r>
      <w:r w:rsidR="00052418" w:rsidRPr="001101B3">
        <w:rPr>
          <w:rFonts w:eastAsiaTheme="minorEastAsia"/>
          <w:kern w:val="0"/>
          <w:sz w:val="28"/>
          <w:szCs w:val="28"/>
          <w:lang w:eastAsia="zh-CN"/>
        </w:rPr>
        <w:t xml:space="preserve"> </w:t>
      </w:r>
      <w:r w:rsidR="005618D9" w:rsidRPr="001101B3">
        <w:rPr>
          <w:rFonts w:eastAsiaTheme="minorEastAsia"/>
          <w:kern w:val="0"/>
          <w:sz w:val="28"/>
          <w:szCs w:val="28"/>
          <w:lang w:eastAsia="zh-CN"/>
        </w:rPr>
        <w:t>that, “For the offence of wounding with intent, the circumstances of the offence and the background of the offenders differ from case to case, and other decided cases are, in our view, of limited value.” Having said</w:t>
      </w:r>
      <w:r w:rsidR="00702C8D" w:rsidRPr="001101B3">
        <w:rPr>
          <w:rFonts w:eastAsiaTheme="minorEastAsia"/>
          <w:kern w:val="0"/>
          <w:sz w:val="28"/>
          <w:szCs w:val="28"/>
          <w:lang w:eastAsia="zh-CN"/>
        </w:rPr>
        <w:t xml:space="preserve"> this,</w:t>
      </w:r>
      <w:r w:rsidR="005618D9" w:rsidRPr="001101B3">
        <w:rPr>
          <w:rFonts w:eastAsiaTheme="minorEastAsia"/>
          <w:kern w:val="0"/>
          <w:sz w:val="28"/>
          <w:szCs w:val="28"/>
          <w:lang w:eastAsia="zh-CN"/>
        </w:rPr>
        <w:t xml:space="preserve"> the Court of Appeal in this case rejected cases with different facts and in other cases has considered cases with similar facts when formulating its judgments.</w:t>
      </w:r>
    </w:p>
    <w:p w14:paraId="3C483D1E" w14:textId="77777777" w:rsidR="00702C8D" w:rsidRPr="001101B3" w:rsidRDefault="00702C8D" w:rsidP="009E7112">
      <w:pPr>
        <w:widowControl/>
        <w:autoSpaceDE w:val="0"/>
        <w:autoSpaceDN w:val="0"/>
        <w:adjustRightInd w:val="0"/>
        <w:jc w:val="both"/>
        <w:rPr>
          <w:rFonts w:eastAsiaTheme="minorEastAsia"/>
          <w:kern w:val="0"/>
          <w:sz w:val="28"/>
          <w:szCs w:val="28"/>
          <w:lang w:eastAsia="zh-CN"/>
        </w:rPr>
      </w:pPr>
    </w:p>
    <w:p w14:paraId="0EBA082E" w14:textId="06117C56" w:rsidR="00702C8D" w:rsidRPr="001101B3" w:rsidRDefault="00702C8D" w:rsidP="009E7112">
      <w:pPr>
        <w:widowControl/>
        <w:autoSpaceDE w:val="0"/>
        <w:autoSpaceDN w:val="0"/>
        <w:adjustRightInd w:val="0"/>
        <w:jc w:val="both"/>
        <w:rPr>
          <w:rFonts w:eastAsiaTheme="minorEastAsia"/>
          <w:kern w:val="0"/>
          <w:sz w:val="28"/>
          <w:szCs w:val="28"/>
          <w:lang w:eastAsia="zh-CN"/>
        </w:rPr>
      </w:pPr>
      <w:r w:rsidRPr="001101B3">
        <w:rPr>
          <w:rFonts w:eastAsiaTheme="minorEastAsia"/>
          <w:kern w:val="0"/>
          <w:sz w:val="28"/>
          <w:szCs w:val="28"/>
          <w:lang w:eastAsia="zh-CN"/>
        </w:rPr>
        <w:t>The following extract f</w:t>
      </w:r>
      <w:r w:rsidR="003C2CDA" w:rsidRPr="001101B3">
        <w:rPr>
          <w:rFonts w:eastAsiaTheme="minorEastAsia"/>
          <w:kern w:val="0"/>
          <w:sz w:val="28"/>
          <w:szCs w:val="28"/>
          <w:lang w:eastAsia="zh-CN"/>
        </w:rPr>
        <w:t>rom</w:t>
      </w:r>
      <w:r w:rsidRPr="001101B3">
        <w:rPr>
          <w:rFonts w:eastAsiaTheme="minorEastAsia"/>
          <w:i/>
          <w:kern w:val="0"/>
          <w:sz w:val="28"/>
          <w:szCs w:val="28"/>
          <w:lang w:eastAsia="zh-CN"/>
        </w:rPr>
        <w:t xml:space="preserve"> HKSAR</w:t>
      </w:r>
      <w:r w:rsidRPr="001101B3">
        <w:rPr>
          <w:rFonts w:eastAsiaTheme="minorEastAsia"/>
          <w:kern w:val="0"/>
          <w:sz w:val="28"/>
          <w:szCs w:val="28"/>
          <w:lang w:eastAsia="zh-CN"/>
        </w:rPr>
        <w:t xml:space="preserve"> v </w:t>
      </w:r>
      <w:r w:rsidRPr="001101B3">
        <w:rPr>
          <w:rFonts w:eastAsiaTheme="minorEastAsia"/>
          <w:i/>
          <w:kern w:val="0"/>
          <w:sz w:val="28"/>
          <w:szCs w:val="28"/>
          <w:lang w:eastAsia="zh-CN"/>
        </w:rPr>
        <w:t>Chan Chun Tat</w:t>
      </w:r>
      <w:r w:rsidRPr="001101B3">
        <w:rPr>
          <w:rFonts w:eastAsiaTheme="minorEastAsia"/>
          <w:kern w:val="0"/>
          <w:sz w:val="28"/>
          <w:szCs w:val="28"/>
          <w:lang w:eastAsia="zh-CN"/>
        </w:rPr>
        <w:t xml:space="preserve"> </w:t>
      </w:r>
      <w:r w:rsidR="003C2CDA" w:rsidRPr="001101B3">
        <w:rPr>
          <w:rFonts w:eastAsiaTheme="minorEastAsia"/>
          <w:kern w:val="0"/>
          <w:sz w:val="28"/>
          <w:szCs w:val="28"/>
          <w:lang w:eastAsia="zh-CN"/>
        </w:rPr>
        <w:t>(see further above at (</w:t>
      </w:r>
      <w:r w:rsidR="00655D72" w:rsidRPr="001101B3">
        <w:rPr>
          <w:rFonts w:eastAsiaTheme="minorEastAsia"/>
          <w:kern w:val="0"/>
          <w:sz w:val="28"/>
          <w:szCs w:val="28"/>
          <w:lang w:eastAsia="zh-CN"/>
        </w:rPr>
        <w:t>9</w:t>
      </w:r>
      <w:r w:rsidR="003C2CDA" w:rsidRPr="001101B3">
        <w:rPr>
          <w:rFonts w:eastAsiaTheme="minorEastAsia"/>
          <w:kern w:val="0"/>
          <w:sz w:val="28"/>
          <w:szCs w:val="28"/>
          <w:lang w:eastAsia="zh-CN"/>
        </w:rPr>
        <w:t xml:space="preserve">.6)), </w:t>
      </w:r>
      <w:r w:rsidRPr="001101B3">
        <w:rPr>
          <w:rFonts w:eastAsiaTheme="minorEastAsia"/>
          <w:kern w:val="0"/>
          <w:sz w:val="28"/>
          <w:szCs w:val="28"/>
          <w:lang w:eastAsia="zh-CN"/>
        </w:rPr>
        <w:t>is also instructive:</w:t>
      </w:r>
    </w:p>
    <w:p w14:paraId="3B23C9D0" w14:textId="56EDDA48" w:rsidR="00702C8D" w:rsidRPr="001101B3" w:rsidRDefault="00702C8D" w:rsidP="00702C8D">
      <w:pPr>
        <w:pStyle w:val="NormalWeb"/>
        <w:rPr>
          <w:i/>
          <w:sz w:val="28"/>
          <w:szCs w:val="28"/>
        </w:rPr>
      </w:pPr>
      <w:r w:rsidRPr="001101B3">
        <w:rPr>
          <w:i/>
          <w:sz w:val="28"/>
          <w:szCs w:val="28"/>
        </w:rPr>
        <w:t xml:space="preserve">44 “ …is difficult to derive very much in legal principle from the decided cases. This court has said on innumerable occasions that the sentences for this offence are very much case and fact specific and hence the wide range of 3-12 years for </w:t>
      </w:r>
      <w:r w:rsidRPr="001101B3">
        <w:rPr>
          <w:i/>
          <w:sz w:val="28"/>
          <w:szCs w:val="28"/>
        </w:rPr>
        <w:lastRenderedPageBreak/>
        <w:t xml:space="preserve">the usual type of wounding with intent. </w:t>
      </w:r>
      <w:proofErr w:type="gramStart"/>
      <w:r w:rsidRPr="001101B3">
        <w:rPr>
          <w:i/>
          <w:sz w:val="28"/>
          <w:szCs w:val="28"/>
        </w:rPr>
        <w:t>Of course</w:t>
      </w:r>
      <w:proofErr w:type="gramEnd"/>
      <w:r w:rsidRPr="001101B3">
        <w:rPr>
          <w:i/>
          <w:sz w:val="28"/>
          <w:szCs w:val="28"/>
        </w:rPr>
        <w:t xml:space="preserve"> there will always be cases which, for one reason or another, require a starting point beyond this range. Likewise, although cases attracting a starting point towards the top of this range will often be cases involving severe injuries and/or severe residual disabilities it cannot be said that only cases with these features are appropriate candidates for such a high starting point.</w:t>
      </w:r>
    </w:p>
    <w:p w14:paraId="670210EB" w14:textId="77777777" w:rsidR="00702C8D" w:rsidRPr="001101B3" w:rsidRDefault="00702C8D" w:rsidP="00702C8D">
      <w:pPr>
        <w:pStyle w:val="NormalWeb"/>
        <w:rPr>
          <w:i/>
          <w:sz w:val="28"/>
          <w:szCs w:val="28"/>
        </w:rPr>
      </w:pPr>
      <w:bookmarkStart w:id="6" w:name="p45"/>
      <w:r w:rsidRPr="001101B3">
        <w:rPr>
          <w:i/>
          <w:sz w:val="28"/>
          <w:szCs w:val="28"/>
        </w:rPr>
        <w:t>45.</w:t>
      </w:r>
      <w:bookmarkEnd w:id="6"/>
      <w:r w:rsidRPr="001101B3">
        <w:rPr>
          <w:i/>
          <w:sz w:val="28"/>
          <w:szCs w:val="28"/>
        </w:rPr>
        <w:t xml:space="preserve"> Consequently, we are of the view that little is to be gained in embarking upon a comparative analysis of other cases. We believe it is more helpful to identify the relevant sentencing principles and by properly applying them arrive at a just sentence. The starting point for this is an examination of the offence itself.</w:t>
      </w:r>
    </w:p>
    <w:p w14:paraId="554FF7D6" w14:textId="77777777" w:rsidR="00702C8D" w:rsidRPr="001101B3" w:rsidRDefault="00702C8D" w:rsidP="00702C8D">
      <w:pPr>
        <w:pStyle w:val="NormalWeb"/>
        <w:rPr>
          <w:i/>
          <w:sz w:val="28"/>
          <w:szCs w:val="28"/>
        </w:rPr>
      </w:pPr>
      <w:bookmarkStart w:id="7" w:name="p46"/>
      <w:r w:rsidRPr="001101B3">
        <w:rPr>
          <w:i/>
          <w:sz w:val="28"/>
          <w:szCs w:val="28"/>
        </w:rPr>
        <w:t>46.</w:t>
      </w:r>
      <w:bookmarkEnd w:id="7"/>
      <w:r w:rsidRPr="001101B3">
        <w:rPr>
          <w:i/>
          <w:sz w:val="28"/>
          <w:szCs w:val="28"/>
        </w:rPr>
        <w:t xml:space="preserve"> The reason that offences contrary to </w:t>
      </w:r>
      <w:hyperlink r:id="rId11" w:history="1">
        <w:r w:rsidRPr="001101B3">
          <w:rPr>
            <w:rStyle w:val="Hyperlink"/>
            <w:i/>
            <w:color w:val="auto"/>
            <w:sz w:val="28"/>
            <w:szCs w:val="28"/>
            <w:u w:val="none"/>
          </w:rPr>
          <w:t>section 17</w:t>
        </w:r>
      </w:hyperlink>
      <w:r w:rsidRPr="001101B3">
        <w:rPr>
          <w:i/>
          <w:sz w:val="28"/>
          <w:szCs w:val="28"/>
        </w:rPr>
        <w:t xml:space="preserve"> are serious is because they are committed with the intention of inflicting grievous bodily harm on the victim. In helping the lay person to understand what this legal phrase means the courts have said that it means not just serious bodily harm but “really serious bodily harm”, laying emphasis on the qualifying word “really” </w:t>
      </w:r>
      <w:bookmarkStart w:id="8" w:name="_ftnref1"/>
      <w:r w:rsidRPr="001101B3">
        <w:rPr>
          <w:i/>
          <w:sz w:val="28"/>
          <w:szCs w:val="28"/>
        </w:rPr>
        <w:fldChar w:fldCharType="begin"/>
      </w:r>
      <w:r w:rsidRPr="001101B3">
        <w:rPr>
          <w:i/>
          <w:sz w:val="28"/>
          <w:szCs w:val="28"/>
        </w:rPr>
        <w:instrText xml:space="preserve"> HYPERLINK "http://www.hklii.hk/eng/hk/cases/hkca/2013/169.html" \l "_ftn1" \o "" </w:instrText>
      </w:r>
      <w:r w:rsidRPr="001101B3">
        <w:rPr>
          <w:i/>
          <w:sz w:val="28"/>
          <w:szCs w:val="28"/>
        </w:rPr>
        <w:fldChar w:fldCharType="separate"/>
      </w:r>
      <w:r w:rsidRPr="001101B3">
        <w:rPr>
          <w:rStyle w:val="Hyperlink"/>
          <w:i/>
          <w:color w:val="auto"/>
          <w:sz w:val="28"/>
          <w:szCs w:val="28"/>
          <w:u w:val="none"/>
        </w:rPr>
        <w:t>[1]</w:t>
      </w:r>
      <w:r w:rsidRPr="001101B3">
        <w:rPr>
          <w:i/>
          <w:sz w:val="28"/>
          <w:szCs w:val="28"/>
        </w:rPr>
        <w:fldChar w:fldCharType="end"/>
      </w:r>
      <w:bookmarkEnd w:id="8"/>
      <w:r w:rsidRPr="001101B3">
        <w:rPr>
          <w:i/>
          <w:sz w:val="28"/>
          <w:szCs w:val="28"/>
        </w:rPr>
        <w:t xml:space="preserve"> It must be remembered that an intent to inflict this level of harm will have the consequence, should the victim die from the assault, of rendering the assailant liable to conviction for murder. In upholding the grievous bodily harm rule as a basis of liability for murder the Court of Final</w:t>
      </w:r>
      <w:r w:rsidRPr="001101B3">
        <w:rPr>
          <w:sz w:val="28"/>
          <w:szCs w:val="28"/>
        </w:rPr>
        <w:t xml:space="preserve"> </w:t>
      </w:r>
      <w:r w:rsidRPr="001101B3">
        <w:rPr>
          <w:i/>
          <w:sz w:val="28"/>
          <w:szCs w:val="28"/>
        </w:rPr>
        <w:t xml:space="preserve">Appeal in </w:t>
      </w:r>
      <w:r w:rsidRPr="001101B3">
        <w:rPr>
          <w:i/>
          <w:iCs/>
          <w:sz w:val="28"/>
          <w:szCs w:val="28"/>
        </w:rPr>
        <w:t>Lau Cheong &amp; Anor v HKSAR</w:t>
      </w:r>
      <w:r w:rsidRPr="001101B3">
        <w:rPr>
          <w:i/>
          <w:sz w:val="28"/>
          <w:szCs w:val="28"/>
        </w:rPr>
        <w:t xml:space="preserve"> </w:t>
      </w:r>
      <w:hyperlink r:id="rId12" w:tooltip="View Case" w:history="1">
        <w:r w:rsidRPr="001101B3">
          <w:rPr>
            <w:rStyle w:val="Hyperlink"/>
            <w:i/>
            <w:color w:val="auto"/>
            <w:sz w:val="28"/>
            <w:szCs w:val="28"/>
            <w:u w:val="none"/>
          </w:rPr>
          <w:t>[2002] HKCFA 46</w:t>
        </w:r>
      </w:hyperlink>
      <w:r w:rsidRPr="001101B3">
        <w:rPr>
          <w:i/>
          <w:sz w:val="28"/>
          <w:szCs w:val="28"/>
        </w:rPr>
        <w:t xml:space="preserve">; </w:t>
      </w:r>
      <w:hyperlink r:id="rId13" w:tooltip="View LawCiteRecord" w:history="1">
        <w:r w:rsidRPr="001101B3">
          <w:rPr>
            <w:rStyle w:val="Hyperlink"/>
            <w:i/>
            <w:color w:val="auto"/>
            <w:sz w:val="28"/>
            <w:szCs w:val="28"/>
            <w:u w:val="none"/>
          </w:rPr>
          <w:t>(2002) 5 HKCFAR 415</w:t>
        </w:r>
      </w:hyperlink>
      <w:r w:rsidRPr="001101B3">
        <w:rPr>
          <w:i/>
          <w:sz w:val="28"/>
          <w:szCs w:val="28"/>
        </w:rPr>
        <w:t xml:space="preserve"> made the important point that an assailant intending to inflict this level of harm may not be able to control the consequences to the victim. At page 437 C - D it said:</w:t>
      </w:r>
    </w:p>
    <w:p w14:paraId="77E3BF3B" w14:textId="77777777" w:rsidR="00702C8D" w:rsidRPr="001101B3" w:rsidRDefault="00702C8D" w:rsidP="00702C8D">
      <w:pPr>
        <w:pStyle w:val="Quote4"/>
        <w:rPr>
          <w:i/>
          <w:color w:val="auto"/>
          <w:sz w:val="28"/>
          <w:szCs w:val="28"/>
        </w:rPr>
      </w:pPr>
      <w:r w:rsidRPr="001101B3">
        <w:rPr>
          <w:i/>
          <w:color w:val="auto"/>
          <w:sz w:val="28"/>
          <w:szCs w:val="28"/>
        </w:rPr>
        <w:t>“A person may not subjectively intend or even foresee that he will cause death. He may desire to limit the consequences of his actions to the infliction of grievous bodily injury. However, as a matter of commonsense it is impossible to predict that the consequences of an intentional infliction of really serious bodily harm will necessarily be successfully limited and will not prove to be life threatening.”</w:t>
      </w:r>
    </w:p>
    <w:p w14:paraId="772C2940" w14:textId="77777777" w:rsidR="00702C8D" w:rsidRPr="001101B3" w:rsidRDefault="00702C8D" w:rsidP="00702C8D">
      <w:pPr>
        <w:pStyle w:val="NormalWeb"/>
        <w:rPr>
          <w:i/>
          <w:sz w:val="28"/>
          <w:szCs w:val="28"/>
        </w:rPr>
      </w:pPr>
      <w:r w:rsidRPr="001101B3">
        <w:rPr>
          <w:i/>
          <w:sz w:val="28"/>
          <w:szCs w:val="28"/>
        </w:rPr>
        <w:t xml:space="preserve">47. It is hardly surprising, therefore, that the offence is regarded as such a serious one. Indeed, the fact that the usual range of sentence is 3 </w:t>
      </w:r>
      <w:r w:rsidRPr="001101B3">
        <w:rPr>
          <w:i/>
          <w:sz w:val="28"/>
          <w:szCs w:val="28"/>
        </w:rPr>
        <w:noBreakHyphen/>
        <w:t xml:space="preserve"> 12 years’ imprisonment reflects that very seriousness. For this range indicates that not only will imprisonment usually be the norm but also that the minimum period of imprisonment will usually be 3 years.</w:t>
      </w:r>
    </w:p>
    <w:p w14:paraId="74376EF6" w14:textId="77777777" w:rsidR="00702C8D" w:rsidRPr="001101B3" w:rsidRDefault="00702C8D" w:rsidP="00702C8D">
      <w:pPr>
        <w:pStyle w:val="NormalWeb"/>
        <w:rPr>
          <w:i/>
          <w:sz w:val="28"/>
          <w:szCs w:val="28"/>
        </w:rPr>
      </w:pPr>
      <w:bookmarkStart w:id="9" w:name="p48"/>
      <w:r w:rsidRPr="001101B3">
        <w:rPr>
          <w:i/>
          <w:sz w:val="28"/>
          <w:szCs w:val="28"/>
        </w:rPr>
        <w:t>48.</w:t>
      </w:r>
      <w:bookmarkEnd w:id="9"/>
      <w:r w:rsidRPr="001101B3">
        <w:rPr>
          <w:i/>
          <w:sz w:val="28"/>
          <w:szCs w:val="28"/>
        </w:rPr>
        <w:t xml:space="preserve"> Thus in determining the gravity of the offence, the factor of primary importance is the intent of the assailant to cause the victim </w:t>
      </w:r>
      <w:r w:rsidRPr="001101B3">
        <w:rPr>
          <w:i/>
          <w:iCs/>
          <w:sz w:val="28"/>
          <w:szCs w:val="28"/>
        </w:rPr>
        <w:t>really</w:t>
      </w:r>
      <w:r w:rsidRPr="001101B3">
        <w:rPr>
          <w:i/>
          <w:sz w:val="28"/>
          <w:szCs w:val="28"/>
        </w:rPr>
        <w:t xml:space="preserve"> serious bodily harm. Whether that intent was fully realized in the injuries sought to be inflicted has been </w:t>
      </w:r>
      <w:r w:rsidRPr="001101B3">
        <w:rPr>
          <w:i/>
          <w:sz w:val="28"/>
          <w:szCs w:val="28"/>
        </w:rPr>
        <w:lastRenderedPageBreak/>
        <w:t>said to be of “secondary significance”.</w:t>
      </w:r>
      <w:bookmarkStart w:id="10" w:name="_ftnref2"/>
      <w:r w:rsidRPr="001101B3">
        <w:rPr>
          <w:i/>
          <w:sz w:val="28"/>
          <w:szCs w:val="28"/>
        </w:rPr>
        <w:fldChar w:fldCharType="begin"/>
      </w:r>
      <w:r w:rsidRPr="001101B3">
        <w:rPr>
          <w:i/>
          <w:sz w:val="28"/>
          <w:szCs w:val="28"/>
        </w:rPr>
        <w:instrText xml:space="preserve"> HYPERLINK "http://www.hklii.hk/eng/hk/cases/hkca/2013/169.html" \l "_ftn2" \o "" </w:instrText>
      </w:r>
      <w:r w:rsidRPr="001101B3">
        <w:rPr>
          <w:i/>
          <w:sz w:val="28"/>
          <w:szCs w:val="28"/>
        </w:rPr>
        <w:fldChar w:fldCharType="separate"/>
      </w:r>
      <w:r w:rsidRPr="001101B3">
        <w:rPr>
          <w:rStyle w:val="Hyperlink"/>
          <w:i/>
          <w:color w:val="auto"/>
          <w:sz w:val="28"/>
          <w:szCs w:val="28"/>
          <w:u w:val="none"/>
        </w:rPr>
        <w:t>[2]</w:t>
      </w:r>
      <w:r w:rsidRPr="001101B3">
        <w:rPr>
          <w:i/>
          <w:sz w:val="28"/>
          <w:szCs w:val="28"/>
        </w:rPr>
        <w:fldChar w:fldCharType="end"/>
      </w:r>
      <w:bookmarkEnd w:id="10"/>
      <w:r w:rsidRPr="001101B3">
        <w:rPr>
          <w:i/>
          <w:sz w:val="28"/>
          <w:szCs w:val="28"/>
        </w:rPr>
        <w:t xml:space="preserve"> That must be so for, as the Court of Final Appeal pointed out in the </w:t>
      </w:r>
      <w:r w:rsidRPr="001101B3">
        <w:rPr>
          <w:i/>
          <w:iCs/>
          <w:sz w:val="28"/>
          <w:szCs w:val="28"/>
        </w:rPr>
        <w:t>Lau Cheong</w:t>
      </w:r>
      <w:r w:rsidRPr="001101B3">
        <w:rPr>
          <w:i/>
          <w:sz w:val="28"/>
          <w:szCs w:val="28"/>
        </w:rPr>
        <w:t xml:space="preserve"> case, the consequences to the victim may not be as the assailant intended. Tragically, they may be worse, but even when they are not or they are not as bad as the assailant hoped to achieve that may not lessen the gravity of the offence. For the failure of the offender to achieve the level of harm he intended may be due to resistance by the victim, the intervention of others, speedy medical attention or purely unanticipated fortuitous circumstances. That is why, even though the consequences to the victim will always be an important factor, the gravity of the offence lies in the deliberate resort to violence with the intent by the offender to inflict by such violence really serious harm on the victim.</w:t>
      </w:r>
    </w:p>
    <w:p w14:paraId="0DA8D72B" w14:textId="77777777" w:rsidR="00702C8D" w:rsidRPr="001101B3" w:rsidRDefault="00702C8D" w:rsidP="00702C8D">
      <w:pPr>
        <w:pStyle w:val="NormalWeb"/>
        <w:rPr>
          <w:i/>
          <w:sz w:val="28"/>
          <w:szCs w:val="28"/>
        </w:rPr>
      </w:pPr>
      <w:bookmarkStart w:id="11" w:name="p49"/>
      <w:r w:rsidRPr="001101B3">
        <w:rPr>
          <w:i/>
          <w:sz w:val="28"/>
          <w:szCs w:val="28"/>
        </w:rPr>
        <w:t>49.</w:t>
      </w:r>
      <w:bookmarkEnd w:id="11"/>
      <w:r w:rsidRPr="001101B3">
        <w:rPr>
          <w:i/>
          <w:sz w:val="28"/>
          <w:szCs w:val="28"/>
        </w:rPr>
        <w:t xml:space="preserve"> Consequently, many of the factors to which a court will have regard in determining the gravity of a </w:t>
      </w:r>
      <w:hyperlink r:id="rId14" w:history="1">
        <w:r w:rsidRPr="001101B3">
          <w:rPr>
            <w:rStyle w:val="Hyperlink"/>
            <w:i/>
            <w:color w:val="auto"/>
            <w:sz w:val="28"/>
            <w:szCs w:val="28"/>
            <w:u w:val="none"/>
          </w:rPr>
          <w:t>section 17</w:t>
        </w:r>
      </w:hyperlink>
      <w:r w:rsidRPr="001101B3">
        <w:rPr>
          <w:i/>
          <w:sz w:val="28"/>
          <w:szCs w:val="28"/>
        </w:rPr>
        <w:t xml:space="preserve"> offence and the culpability of the offender will relate to the type of harm intended to be inflicted, the means by which that harm was inflicted and the circumstances generally surrounding the assault. Thus, without attempting to exhaustively identity all the relevant factors, the usual ones will be the extent to which the assault was premeditated, the reasons or motivation underlying the assault upon the victim, the mental or emotional state of the assailant at the time of the assault, whether alcohol or drugs contributed to the actions of the assailant, whether the assault was committed by the assailant alone or as part of a group, the type of weapons employed, the level of force or aggression and the persistence with which the assault was pressed home, the injuries caused to the victim and the effect of the assault upon the victim and those close to him or her.</w:t>
      </w:r>
    </w:p>
    <w:p w14:paraId="393C08CD" w14:textId="72DE751A" w:rsidR="00702C8D" w:rsidRPr="001101B3" w:rsidRDefault="00702C8D" w:rsidP="00702C8D">
      <w:pPr>
        <w:widowControl/>
        <w:autoSpaceDE w:val="0"/>
        <w:autoSpaceDN w:val="0"/>
        <w:adjustRightInd w:val="0"/>
        <w:jc w:val="both"/>
        <w:rPr>
          <w:rFonts w:eastAsiaTheme="minorEastAsia"/>
          <w:i/>
          <w:kern w:val="0"/>
          <w:sz w:val="28"/>
          <w:szCs w:val="28"/>
          <w:lang w:eastAsia="zh-CN"/>
        </w:rPr>
      </w:pPr>
      <w:bookmarkStart w:id="12" w:name="p50"/>
      <w:r w:rsidRPr="001101B3">
        <w:rPr>
          <w:i/>
          <w:sz w:val="28"/>
          <w:szCs w:val="28"/>
        </w:rPr>
        <w:t>50.</w:t>
      </w:r>
      <w:bookmarkEnd w:id="12"/>
      <w:r w:rsidRPr="001101B3">
        <w:rPr>
          <w:i/>
          <w:sz w:val="28"/>
          <w:szCs w:val="28"/>
        </w:rPr>
        <w:t xml:space="preserve"> In arriving at an appropriate sentence the court will have regard not just to the need to punish the offender for his conduct, but also to the sentencing principles of deterrence, both general and individual, and, in appropriate cases, the need to denounce the resort to violence. </w:t>
      </w:r>
      <w:proofErr w:type="gramStart"/>
      <w:r w:rsidRPr="001101B3">
        <w:rPr>
          <w:i/>
          <w:sz w:val="28"/>
          <w:szCs w:val="28"/>
        </w:rPr>
        <w:t>Of course</w:t>
      </w:r>
      <w:proofErr w:type="gramEnd"/>
      <w:r w:rsidRPr="001101B3">
        <w:rPr>
          <w:i/>
          <w:sz w:val="28"/>
          <w:szCs w:val="28"/>
        </w:rPr>
        <w:t xml:space="preserve"> deterrence and denunciation are always important when there is resort to violence but there may be particular situations that call for greater deterrence, such as in triad gang or contract attacks, or more denunciatory sentences, such as in domestic violence cases.</w:t>
      </w:r>
      <w:r w:rsidR="00052418" w:rsidRPr="001101B3">
        <w:rPr>
          <w:i/>
          <w:sz w:val="28"/>
          <w:szCs w:val="28"/>
        </w:rPr>
        <w:t>”</w:t>
      </w:r>
    </w:p>
    <w:p w14:paraId="30FEB204" w14:textId="77777777" w:rsidR="00706EA0" w:rsidRPr="001101B3" w:rsidRDefault="00706EA0" w:rsidP="009E7112">
      <w:pPr>
        <w:jc w:val="both"/>
        <w:rPr>
          <w:sz w:val="28"/>
          <w:szCs w:val="28"/>
        </w:rPr>
      </w:pPr>
    </w:p>
    <w:p w14:paraId="36001B1F" w14:textId="18FC3921" w:rsidR="00706EA0" w:rsidRPr="001101B3" w:rsidRDefault="00706EA0" w:rsidP="009E7112">
      <w:pPr>
        <w:jc w:val="both"/>
        <w:rPr>
          <w:sz w:val="28"/>
          <w:szCs w:val="28"/>
        </w:rPr>
      </w:pPr>
      <w:r w:rsidRPr="001101B3">
        <w:rPr>
          <w:sz w:val="28"/>
          <w:szCs w:val="28"/>
        </w:rPr>
        <w:t xml:space="preserve">In </w:t>
      </w:r>
      <w:r w:rsidRPr="001101B3">
        <w:rPr>
          <w:i/>
          <w:sz w:val="28"/>
          <w:szCs w:val="28"/>
        </w:rPr>
        <w:t>HKSAR</w:t>
      </w:r>
      <w:r w:rsidRPr="001101B3">
        <w:rPr>
          <w:sz w:val="28"/>
          <w:szCs w:val="28"/>
        </w:rPr>
        <w:t xml:space="preserve"> v </w:t>
      </w:r>
      <w:r w:rsidRPr="001101B3">
        <w:rPr>
          <w:i/>
          <w:sz w:val="28"/>
          <w:szCs w:val="28"/>
        </w:rPr>
        <w:t>Ying Tung</w:t>
      </w:r>
      <w:r w:rsidRPr="001101B3">
        <w:rPr>
          <w:rStyle w:val="FootnoteReference"/>
          <w:sz w:val="28"/>
          <w:szCs w:val="28"/>
          <w:vertAlign w:val="baseline"/>
        </w:rPr>
        <w:t>,</w:t>
      </w:r>
      <w:r w:rsidRPr="001101B3">
        <w:rPr>
          <w:rStyle w:val="FootnoteReference"/>
          <w:sz w:val="28"/>
          <w:szCs w:val="28"/>
        </w:rPr>
        <w:footnoteReference w:id="34"/>
      </w:r>
      <w:r w:rsidR="002B6D96" w:rsidRPr="001101B3">
        <w:rPr>
          <w:sz w:val="28"/>
          <w:szCs w:val="28"/>
        </w:rPr>
        <w:t xml:space="preserve"> the appellant</w:t>
      </w:r>
      <w:r w:rsidRPr="001101B3">
        <w:rPr>
          <w:sz w:val="28"/>
          <w:szCs w:val="28"/>
        </w:rPr>
        <w:t xml:space="preserve"> attacked the victim in the head with an iron bar, for reasons which are not entirely clear, but possibly because the victim accident</w:t>
      </w:r>
      <w:r w:rsidR="007A1826" w:rsidRPr="001101B3">
        <w:rPr>
          <w:sz w:val="28"/>
          <w:szCs w:val="28"/>
        </w:rPr>
        <w:t>al</w:t>
      </w:r>
      <w:r w:rsidRPr="001101B3">
        <w:rPr>
          <w:sz w:val="28"/>
          <w:szCs w:val="28"/>
        </w:rPr>
        <w:t>ly bumped into hi</w:t>
      </w:r>
      <w:r w:rsidR="002B6D96" w:rsidRPr="001101B3">
        <w:rPr>
          <w:sz w:val="28"/>
          <w:szCs w:val="28"/>
        </w:rPr>
        <w:t>m</w:t>
      </w:r>
      <w:r w:rsidRPr="001101B3">
        <w:rPr>
          <w:sz w:val="28"/>
          <w:szCs w:val="28"/>
        </w:rPr>
        <w:t>. The victim, who was much older (aged 65) and smaller than the assailant (</w:t>
      </w:r>
      <w:r w:rsidR="007A1826" w:rsidRPr="001101B3">
        <w:rPr>
          <w:sz w:val="28"/>
          <w:szCs w:val="28"/>
        </w:rPr>
        <w:t xml:space="preserve">aged </w:t>
      </w:r>
      <w:r w:rsidRPr="001101B3">
        <w:rPr>
          <w:sz w:val="28"/>
          <w:szCs w:val="28"/>
        </w:rPr>
        <w:t>40)</w:t>
      </w:r>
      <w:r w:rsidR="003C6ED8" w:rsidRPr="001101B3">
        <w:rPr>
          <w:sz w:val="28"/>
          <w:szCs w:val="28"/>
        </w:rPr>
        <w:t>,</w:t>
      </w:r>
      <w:r w:rsidRPr="001101B3">
        <w:rPr>
          <w:sz w:val="28"/>
          <w:szCs w:val="28"/>
        </w:rPr>
        <w:t xml:space="preserve"> amongst other things</w:t>
      </w:r>
      <w:r w:rsidR="003C6ED8" w:rsidRPr="001101B3">
        <w:rPr>
          <w:sz w:val="28"/>
          <w:szCs w:val="28"/>
        </w:rPr>
        <w:t>,</w:t>
      </w:r>
      <w:r w:rsidRPr="001101B3">
        <w:rPr>
          <w:sz w:val="28"/>
          <w:szCs w:val="28"/>
        </w:rPr>
        <w:t xml:space="preserve"> fell into coma for 5 days </w:t>
      </w:r>
      <w:r w:rsidRPr="001101B3">
        <w:rPr>
          <w:sz w:val="28"/>
          <w:szCs w:val="28"/>
        </w:rPr>
        <w:lastRenderedPageBreak/>
        <w:t xml:space="preserve">and suffered from ongoing cognitive damage relating to </w:t>
      </w:r>
      <w:r w:rsidR="003C6ED8" w:rsidRPr="001101B3">
        <w:rPr>
          <w:sz w:val="28"/>
          <w:szCs w:val="28"/>
        </w:rPr>
        <w:t xml:space="preserve">his memory. Because of the seriousness of the victim’s injuries and the relative vulnerability of the victim, the Court of </w:t>
      </w:r>
      <w:r w:rsidR="00AA6E34" w:rsidRPr="001101B3">
        <w:rPr>
          <w:sz w:val="28"/>
          <w:szCs w:val="28"/>
        </w:rPr>
        <w:t xml:space="preserve">Appeal held that seven years </w:t>
      </w:r>
      <w:r w:rsidR="003C6ED8" w:rsidRPr="001101B3">
        <w:rPr>
          <w:sz w:val="28"/>
          <w:szCs w:val="28"/>
        </w:rPr>
        <w:t xml:space="preserve">imprisonment was an appropriate sentence, reducing the sentence on appeal from 8 years. The </w:t>
      </w:r>
      <w:r w:rsidR="002B6D96" w:rsidRPr="001101B3">
        <w:rPr>
          <w:sz w:val="28"/>
          <w:szCs w:val="28"/>
        </w:rPr>
        <w:t>appellant had</w:t>
      </w:r>
      <w:r w:rsidR="003C6ED8" w:rsidRPr="001101B3">
        <w:rPr>
          <w:sz w:val="28"/>
          <w:szCs w:val="28"/>
        </w:rPr>
        <w:t xml:space="preserve"> no previous record.</w:t>
      </w:r>
    </w:p>
    <w:p w14:paraId="3D1D3BAB" w14:textId="77777777" w:rsidR="003C6ED8" w:rsidRPr="001101B3" w:rsidRDefault="003C6ED8" w:rsidP="009E7112">
      <w:pPr>
        <w:jc w:val="both"/>
        <w:rPr>
          <w:sz w:val="28"/>
          <w:szCs w:val="28"/>
        </w:rPr>
      </w:pPr>
    </w:p>
    <w:p w14:paraId="2586ECEF" w14:textId="7072EAA2" w:rsidR="003C6ED8" w:rsidRPr="001101B3" w:rsidRDefault="003C6ED8" w:rsidP="009E7112">
      <w:pPr>
        <w:jc w:val="both"/>
        <w:rPr>
          <w:sz w:val="28"/>
          <w:szCs w:val="28"/>
        </w:rPr>
      </w:pPr>
      <w:r w:rsidRPr="001101B3">
        <w:rPr>
          <w:sz w:val="28"/>
          <w:szCs w:val="28"/>
        </w:rPr>
        <w:t xml:space="preserve">In </w:t>
      </w:r>
      <w:r w:rsidRPr="001101B3">
        <w:rPr>
          <w:i/>
          <w:sz w:val="28"/>
          <w:szCs w:val="28"/>
        </w:rPr>
        <w:t>HKSAR</w:t>
      </w:r>
      <w:r w:rsidRPr="001101B3">
        <w:rPr>
          <w:sz w:val="28"/>
          <w:szCs w:val="28"/>
        </w:rPr>
        <w:t xml:space="preserve"> v</w:t>
      </w:r>
      <w:r w:rsidR="002B6D96" w:rsidRPr="001101B3">
        <w:rPr>
          <w:sz w:val="28"/>
          <w:szCs w:val="28"/>
        </w:rPr>
        <w:t xml:space="preserve"> </w:t>
      </w:r>
      <w:r w:rsidR="002B6D96" w:rsidRPr="001101B3">
        <w:rPr>
          <w:i/>
          <w:sz w:val="28"/>
          <w:szCs w:val="28"/>
        </w:rPr>
        <w:t>Chung Chi Fai</w:t>
      </w:r>
      <w:r w:rsidRPr="001101B3">
        <w:rPr>
          <w:sz w:val="28"/>
          <w:szCs w:val="28"/>
        </w:rPr>
        <w:t>,</w:t>
      </w:r>
      <w:r w:rsidRPr="001101B3">
        <w:rPr>
          <w:rStyle w:val="FootnoteReference"/>
          <w:sz w:val="28"/>
          <w:szCs w:val="28"/>
        </w:rPr>
        <w:footnoteReference w:id="35"/>
      </w:r>
      <w:r w:rsidR="002B6D96" w:rsidRPr="001101B3">
        <w:rPr>
          <w:sz w:val="28"/>
          <w:szCs w:val="28"/>
        </w:rPr>
        <w:t xml:space="preserve"> the </w:t>
      </w:r>
      <w:r w:rsidR="003F631F" w:rsidRPr="001101B3">
        <w:rPr>
          <w:sz w:val="28"/>
          <w:szCs w:val="28"/>
        </w:rPr>
        <w:t>applicant</w:t>
      </w:r>
      <w:r w:rsidR="002B6D96" w:rsidRPr="001101B3">
        <w:rPr>
          <w:sz w:val="28"/>
          <w:szCs w:val="28"/>
        </w:rPr>
        <w:t xml:space="preserve"> stabbed the victim in the neck with a knife in what seemed to be </w:t>
      </w:r>
      <w:r w:rsidR="00C16B26" w:rsidRPr="001101B3">
        <w:rPr>
          <w:sz w:val="28"/>
          <w:szCs w:val="28"/>
        </w:rPr>
        <w:t xml:space="preserve">another </w:t>
      </w:r>
      <w:r w:rsidR="002B6D96" w:rsidRPr="001101B3">
        <w:rPr>
          <w:sz w:val="28"/>
          <w:szCs w:val="28"/>
        </w:rPr>
        <w:t>motiveless crime, but may have been related to mental</w:t>
      </w:r>
      <w:r w:rsidR="00C16B26" w:rsidRPr="001101B3">
        <w:rPr>
          <w:sz w:val="28"/>
          <w:szCs w:val="28"/>
        </w:rPr>
        <w:t xml:space="preserve"> and psychological</w:t>
      </w:r>
      <w:r w:rsidR="002B6D96" w:rsidRPr="001101B3">
        <w:rPr>
          <w:sz w:val="28"/>
          <w:szCs w:val="28"/>
        </w:rPr>
        <w:t xml:space="preserve"> disorders</w:t>
      </w:r>
      <w:r w:rsidR="00C16B26" w:rsidRPr="001101B3">
        <w:rPr>
          <w:sz w:val="28"/>
          <w:szCs w:val="28"/>
        </w:rPr>
        <w:t xml:space="preserve"> caused by the applicant</w:t>
      </w:r>
      <w:r w:rsidR="002B6D96" w:rsidRPr="001101B3">
        <w:rPr>
          <w:sz w:val="28"/>
          <w:szCs w:val="28"/>
        </w:rPr>
        <w:t>’s long</w:t>
      </w:r>
      <w:r w:rsidR="00C16B26" w:rsidRPr="001101B3">
        <w:rPr>
          <w:sz w:val="28"/>
          <w:szCs w:val="28"/>
        </w:rPr>
        <w:t>,</w:t>
      </w:r>
      <w:r w:rsidR="002B6D96" w:rsidRPr="001101B3">
        <w:rPr>
          <w:sz w:val="28"/>
          <w:szCs w:val="28"/>
        </w:rPr>
        <w:t xml:space="preserve"> illegal drug taking history. </w:t>
      </w:r>
      <w:r w:rsidR="00CA52B4" w:rsidRPr="001101B3">
        <w:rPr>
          <w:sz w:val="28"/>
          <w:szCs w:val="28"/>
        </w:rPr>
        <w:t xml:space="preserve"> The victim</w:t>
      </w:r>
      <w:r w:rsidR="003F631F" w:rsidRPr="001101B3">
        <w:rPr>
          <w:sz w:val="28"/>
          <w:szCs w:val="28"/>
        </w:rPr>
        <w:t xml:space="preserve"> suffered ongoing numbness</w:t>
      </w:r>
      <w:r w:rsidR="00403DF0" w:rsidRPr="001101B3">
        <w:rPr>
          <w:sz w:val="28"/>
          <w:szCs w:val="28"/>
        </w:rPr>
        <w:t xml:space="preserve"> in his right shoulder and a 25</w:t>
      </w:r>
      <w:r w:rsidR="000E0D7F" w:rsidRPr="001101B3">
        <w:rPr>
          <w:sz w:val="28"/>
          <w:szCs w:val="28"/>
        </w:rPr>
        <w:t>-</w:t>
      </w:r>
      <w:r w:rsidR="00403DF0" w:rsidRPr="001101B3">
        <w:rPr>
          <w:sz w:val="28"/>
          <w:szCs w:val="28"/>
        </w:rPr>
        <w:t>centimeter scar.</w:t>
      </w:r>
      <w:r w:rsidR="003F631F" w:rsidRPr="001101B3">
        <w:rPr>
          <w:sz w:val="28"/>
          <w:szCs w:val="28"/>
        </w:rPr>
        <w:t xml:space="preserve"> </w:t>
      </w:r>
      <w:r w:rsidR="00C16B26" w:rsidRPr="001101B3">
        <w:rPr>
          <w:sz w:val="28"/>
          <w:szCs w:val="28"/>
        </w:rPr>
        <w:t>T</w:t>
      </w:r>
      <w:r w:rsidR="003F631F" w:rsidRPr="001101B3">
        <w:rPr>
          <w:sz w:val="28"/>
          <w:szCs w:val="28"/>
        </w:rPr>
        <w:t>he</w:t>
      </w:r>
      <w:r w:rsidR="002234E0" w:rsidRPr="001101B3">
        <w:rPr>
          <w:sz w:val="28"/>
          <w:szCs w:val="28"/>
        </w:rPr>
        <w:t xml:space="preserve"> </w:t>
      </w:r>
      <w:r w:rsidR="003F631F" w:rsidRPr="001101B3">
        <w:rPr>
          <w:sz w:val="28"/>
          <w:szCs w:val="28"/>
        </w:rPr>
        <w:t>applicant</w:t>
      </w:r>
      <w:r w:rsidR="002234E0" w:rsidRPr="001101B3">
        <w:rPr>
          <w:sz w:val="28"/>
          <w:szCs w:val="28"/>
        </w:rPr>
        <w:t xml:space="preserve"> ultimately</w:t>
      </w:r>
      <w:r w:rsidR="00C16B26" w:rsidRPr="001101B3">
        <w:rPr>
          <w:sz w:val="28"/>
          <w:szCs w:val="28"/>
        </w:rPr>
        <w:t xml:space="preserve"> received a </w:t>
      </w:r>
      <w:r w:rsidR="002B6D96" w:rsidRPr="001101B3">
        <w:rPr>
          <w:sz w:val="28"/>
          <w:szCs w:val="28"/>
        </w:rPr>
        <w:t>sentence</w:t>
      </w:r>
      <w:r w:rsidR="000E0D7F" w:rsidRPr="001101B3">
        <w:rPr>
          <w:sz w:val="28"/>
          <w:szCs w:val="28"/>
        </w:rPr>
        <w:t xml:space="preserve"> of 15-years</w:t>
      </w:r>
      <w:r w:rsidR="002E1C69" w:rsidRPr="001101B3">
        <w:rPr>
          <w:sz w:val="28"/>
          <w:szCs w:val="28"/>
        </w:rPr>
        <w:t>, as a starting point,</w:t>
      </w:r>
      <w:r w:rsidR="002B6D96" w:rsidRPr="001101B3">
        <w:rPr>
          <w:sz w:val="28"/>
          <w:szCs w:val="28"/>
        </w:rPr>
        <w:t xml:space="preserve"> on the basis that this was a similar sentence </w:t>
      </w:r>
      <w:r w:rsidR="00AA6E34" w:rsidRPr="001101B3">
        <w:rPr>
          <w:sz w:val="28"/>
          <w:szCs w:val="28"/>
        </w:rPr>
        <w:t xml:space="preserve">to one </w:t>
      </w:r>
      <w:r w:rsidR="00C16B26" w:rsidRPr="001101B3">
        <w:rPr>
          <w:sz w:val="28"/>
          <w:szCs w:val="28"/>
        </w:rPr>
        <w:t xml:space="preserve">ultimately </w:t>
      </w:r>
      <w:r w:rsidR="002B6D96" w:rsidRPr="001101B3">
        <w:rPr>
          <w:sz w:val="28"/>
          <w:szCs w:val="28"/>
        </w:rPr>
        <w:t>handed down in another very serious act of unprovoked violence, being a case where a defendant pushed a commuter onto train tracks</w:t>
      </w:r>
      <w:r w:rsidR="00403DF0" w:rsidRPr="001101B3">
        <w:rPr>
          <w:sz w:val="28"/>
          <w:szCs w:val="28"/>
        </w:rPr>
        <w:t xml:space="preserve"> in the face of an oncoming train (‘the train case’). The</w:t>
      </w:r>
      <w:r w:rsidR="002B6D96" w:rsidRPr="001101B3">
        <w:rPr>
          <w:sz w:val="28"/>
          <w:szCs w:val="28"/>
        </w:rPr>
        <w:t xml:space="preserve"> victim</w:t>
      </w:r>
      <w:r w:rsidR="00403DF0" w:rsidRPr="001101B3">
        <w:rPr>
          <w:sz w:val="28"/>
          <w:szCs w:val="28"/>
        </w:rPr>
        <w:t xml:space="preserve"> in the train case was</w:t>
      </w:r>
      <w:r w:rsidR="00C16B26" w:rsidRPr="001101B3">
        <w:rPr>
          <w:sz w:val="28"/>
          <w:szCs w:val="28"/>
        </w:rPr>
        <w:t xml:space="preserve"> extremely</w:t>
      </w:r>
      <w:r w:rsidR="00403DF0" w:rsidRPr="001101B3">
        <w:rPr>
          <w:sz w:val="28"/>
          <w:szCs w:val="28"/>
        </w:rPr>
        <w:t xml:space="preserve"> fortunate to escape serious injury</w:t>
      </w:r>
      <w:r w:rsidR="00AA6E34" w:rsidRPr="001101B3">
        <w:rPr>
          <w:sz w:val="28"/>
          <w:szCs w:val="28"/>
        </w:rPr>
        <w:t>,</w:t>
      </w:r>
      <w:r w:rsidR="00403DF0" w:rsidRPr="001101B3">
        <w:rPr>
          <w:sz w:val="28"/>
          <w:szCs w:val="28"/>
        </w:rPr>
        <w:t xml:space="preserve"> aside from a crushed left hand</w:t>
      </w:r>
      <w:r w:rsidR="002B6D96" w:rsidRPr="001101B3">
        <w:rPr>
          <w:sz w:val="28"/>
          <w:szCs w:val="28"/>
        </w:rPr>
        <w:t>.</w:t>
      </w:r>
      <w:r w:rsidR="00403DF0" w:rsidRPr="001101B3">
        <w:rPr>
          <w:sz w:val="28"/>
          <w:szCs w:val="28"/>
        </w:rPr>
        <w:t xml:space="preserve"> </w:t>
      </w:r>
      <w:r w:rsidR="003F631F" w:rsidRPr="001101B3">
        <w:rPr>
          <w:sz w:val="28"/>
          <w:szCs w:val="28"/>
        </w:rPr>
        <w:t>Clearly, in both cases, an important similarity was the significant danger posed</w:t>
      </w:r>
      <w:r w:rsidR="00C16B26" w:rsidRPr="001101B3">
        <w:rPr>
          <w:sz w:val="28"/>
          <w:szCs w:val="28"/>
        </w:rPr>
        <w:t xml:space="preserve"> to the public</w:t>
      </w:r>
      <w:r w:rsidR="003F631F" w:rsidRPr="001101B3">
        <w:rPr>
          <w:sz w:val="28"/>
          <w:szCs w:val="28"/>
        </w:rPr>
        <w:t xml:space="preserve"> by the people perpetrating these attacks. On appeal, the Court of Appeal distinguished the</w:t>
      </w:r>
      <w:r w:rsidR="00B81673" w:rsidRPr="001101B3">
        <w:rPr>
          <w:sz w:val="28"/>
          <w:szCs w:val="28"/>
        </w:rPr>
        <w:t xml:space="preserve"> usual</w:t>
      </w:r>
      <w:r w:rsidR="003F631F" w:rsidRPr="001101B3">
        <w:rPr>
          <w:sz w:val="28"/>
          <w:szCs w:val="28"/>
        </w:rPr>
        <w:t xml:space="preserve"> range of sentences (between 3-12 years</w:t>
      </w:r>
      <w:r w:rsidR="008D3B01" w:rsidRPr="001101B3">
        <w:rPr>
          <w:sz w:val="28"/>
          <w:szCs w:val="28"/>
        </w:rPr>
        <w:t xml:space="preserve"> at that time</w:t>
      </w:r>
      <w:r w:rsidR="003F631F" w:rsidRPr="001101B3">
        <w:rPr>
          <w:sz w:val="28"/>
          <w:szCs w:val="28"/>
        </w:rPr>
        <w:t xml:space="preserve">) handed down in cases involving s.17 OAPO </w:t>
      </w:r>
      <w:r w:rsidR="00403DF0" w:rsidRPr="001101B3">
        <w:rPr>
          <w:sz w:val="28"/>
          <w:szCs w:val="28"/>
        </w:rPr>
        <w:t>where there was provocation or retaliation present.</w:t>
      </w:r>
      <w:r w:rsidR="00C16B26" w:rsidRPr="001101B3">
        <w:rPr>
          <w:sz w:val="28"/>
          <w:szCs w:val="28"/>
        </w:rPr>
        <w:t xml:space="preserve"> </w:t>
      </w:r>
    </w:p>
    <w:p w14:paraId="443C502F" w14:textId="77777777" w:rsidR="00706EA0" w:rsidRPr="001101B3" w:rsidRDefault="00706EA0" w:rsidP="009E7112">
      <w:pPr>
        <w:jc w:val="both"/>
        <w:rPr>
          <w:sz w:val="28"/>
          <w:szCs w:val="28"/>
        </w:rPr>
      </w:pPr>
    </w:p>
    <w:p w14:paraId="58DD003A" w14:textId="6DCC574E" w:rsidR="007E0304" w:rsidRPr="001101B3" w:rsidRDefault="00F9122A" w:rsidP="009E7112">
      <w:pPr>
        <w:jc w:val="both"/>
        <w:rPr>
          <w:sz w:val="28"/>
          <w:szCs w:val="28"/>
        </w:rPr>
      </w:pPr>
      <w:r w:rsidRPr="001101B3">
        <w:rPr>
          <w:sz w:val="28"/>
          <w:szCs w:val="28"/>
        </w:rPr>
        <w:t xml:space="preserve">In </w:t>
      </w:r>
      <w:r w:rsidRPr="001101B3">
        <w:rPr>
          <w:i/>
          <w:sz w:val="28"/>
          <w:szCs w:val="28"/>
        </w:rPr>
        <w:t>HKSAR</w:t>
      </w:r>
      <w:r w:rsidRPr="001101B3">
        <w:rPr>
          <w:sz w:val="28"/>
          <w:szCs w:val="28"/>
        </w:rPr>
        <w:t xml:space="preserve"> v </w:t>
      </w:r>
      <w:r w:rsidRPr="001101B3">
        <w:rPr>
          <w:i/>
          <w:sz w:val="28"/>
          <w:szCs w:val="28"/>
        </w:rPr>
        <w:t>Tsang Ho Wai and Others</w:t>
      </w:r>
      <w:r w:rsidRPr="001101B3">
        <w:rPr>
          <w:rStyle w:val="FootnoteReference"/>
          <w:sz w:val="28"/>
          <w:szCs w:val="28"/>
          <w:vertAlign w:val="baseline"/>
        </w:rPr>
        <w:t>,</w:t>
      </w:r>
      <w:r w:rsidRPr="001101B3">
        <w:rPr>
          <w:rStyle w:val="FootnoteReference"/>
          <w:sz w:val="28"/>
          <w:szCs w:val="28"/>
        </w:rPr>
        <w:footnoteReference w:id="36"/>
      </w:r>
      <w:r w:rsidRPr="001101B3">
        <w:rPr>
          <w:sz w:val="28"/>
          <w:szCs w:val="28"/>
        </w:rPr>
        <w:t xml:space="preserve"> the </w:t>
      </w:r>
      <w:r w:rsidR="00F00F64" w:rsidRPr="001101B3">
        <w:rPr>
          <w:sz w:val="28"/>
          <w:szCs w:val="28"/>
        </w:rPr>
        <w:t>22-year-old</w:t>
      </w:r>
      <w:r w:rsidRPr="001101B3">
        <w:rPr>
          <w:sz w:val="28"/>
          <w:szCs w:val="28"/>
        </w:rPr>
        <w:t xml:space="preserve"> stepmother of a </w:t>
      </w:r>
      <w:r w:rsidR="00F00F64" w:rsidRPr="001101B3">
        <w:rPr>
          <w:sz w:val="28"/>
          <w:szCs w:val="28"/>
        </w:rPr>
        <w:t>seven-year-old</w:t>
      </w:r>
      <w:r w:rsidRPr="001101B3">
        <w:rPr>
          <w:sz w:val="28"/>
          <w:szCs w:val="28"/>
        </w:rPr>
        <w:t xml:space="preserve"> boy arranged for </w:t>
      </w:r>
      <w:r w:rsidR="00487633" w:rsidRPr="001101B3">
        <w:rPr>
          <w:sz w:val="28"/>
          <w:szCs w:val="28"/>
        </w:rPr>
        <w:t xml:space="preserve">a </w:t>
      </w:r>
      <w:r w:rsidRPr="001101B3">
        <w:rPr>
          <w:sz w:val="28"/>
          <w:szCs w:val="28"/>
        </w:rPr>
        <w:t xml:space="preserve">gang of </w:t>
      </w:r>
      <w:r w:rsidR="001101B3">
        <w:rPr>
          <w:sz w:val="28"/>
          <w:szCs w:val="28"/>
        </w:rPr>
        <w:t>5</w:t>
      </w:r>
      <w:r w:rsidRPr="001101B3">
        <w:rPr>
          <w:sz w:val="28"/>
          <w:szCs w:val="28"/>
        </w:rPr>
        <w:t xml:space="preserve"> men to attack the boy and try to chop his right hand off with a chopper. The motive behind the attack was one of jealousy and hatred of the boy. The attack did not succeed in severing the</w:t>
      </w:r>
      <w:r w:rsidR="00F45DBC" w:rsidRPr="001101B3">
        <w:rPr>
          <w:sz w:val="28"/>
          <w:szCs w:val="28"/>
        </w:rPr>
        <w:t xml:space="preserve"> boy’s</w:t>
      </w:r>
      <w:r w:rsidRPr="001101B3">
        <w:rPr>
          <w:sz w:val="28"/>
          <w:szCs w:val="28"/>
        </w:rPr>
        <w:t xml:space="preserve"> hand and after </w:t>
      </w:r>
      <w:r w:rsidR="00F00F64" w:rsidRPr="001101B3">
        <w:rPr>
          <w:sz w:val="28"/>
          <w:szCs w:val="28"/>
        </w:rPr>
        <w:t>surgery,</w:t>
      </w:r>
      <w:r w:rsidRPr="001101B3">
        <w:rPr>
          <w:sz w:val="28"/>
          <w:szCs w:val="28"/>
        </w:rPr>
        <w:t xml:space="preserve"> it returned to close </w:t>
      </w:r>
      <w:r w:rsidR="00F45DBC" w:rsidRPr="001101B3">
        <w:rPr>
          <w:sz w:val="28"/>
          <w:szCs w:val="28"/>
        </w:rPr>
        <w:t xml:space="preserve">to full permanent functioning. </w:t>
      </w:r>
      <w:r w:rsidRPr="001101B3">
        <w:rPr>
          <w:sz w:val="28"/>
          <w:szCs w:val="28"/>
        </w:rPr>
        <w:t xml:space="preserve">The stepmother was not suffering from any relevant psychological or mental disorder. The stepmother received an </w:t>
      </w:r>
      <w:r w:rsidR="00F00F64" w:rsidRPr="001101B3">
        <w:rPr>
          <w:sz w:val="28"/>
          <w:szCs w:val="28"/>
        </w:rPr>
        <w:t>18-year</w:t>
      </w:r>
      <w:r w:rsidRPr="001101B3">
        <w:rPr>
          <w:sz w:val="28"/>
          <w:szCs w:val="28"/>
        </w:rPr>
        <w:t xml:space="preserve"> </w:t>
      </w:r>
      <w:r w:rsidR="00D93FE9" w:rsidRPr="001101B3">
        <w:rPr>
          <w:sz w:val="28"/>
          <w:szCs w:val="28"/>
        </w:rPr>
        <w:t>sentence, which</w:t>
      </w:r>
      <w:r w:rsidRPr="001101B3">
        <w:rPr>
          <w:sz w:val="28"/>
          <w:szCs w:val="28"/>
        </w:rPr>
        <w:t xml:space="preserve"> was reduced to 12 years after the</w:t>
      </w:r>
      <w:r w:rsidR="002E1C69" w:rsidRPr="001101B3">
        <w:rPr>
          <w:sz w:val="28"/>
          <w:szCs w:val="28"/>
        </w:rPr>
        <w:t xml:space="preserve"> one-</w:t>
      </w:r>
      <w:r w:rsidR="00C111B8" w:rsidRPr="001101B3">
        <w:rPr>
          <w:sz w:val="28"/>
          <w:szCs w:val="28"/>
        </w:rPr>
        <w:t>th</w:t>
      </w:r>
      <w:r w:rsidR="002E1C69" w:rsidRPr="001101B3">
        <w:rPr>
          <w:sz w:val="28"/>
          <w:szCs w:val="28"/>
        </w:rPr>
        <w:t>ird</w:t>
      </w:r>
      <w:r w:rsidRPr="001101B3">
        <w:rPr>
          <w:sz w:val="28"/>
          <w:szCs w:val="28"/>
        </w:rPr>
        <w:t xml:space="preserve"> discount was applied </w:t>
      </w:r>
      <w:r w:rsidR="00487633" w:rsidRPr="001101B3">
        <w:rPr>
          <w:sz w:val="28"/>
          <w:szCs w:val="28"/>
        </w:rPr>
        <w:t>on a</w:t>
      </w:r>
      <w:r w:rsidRPr="001101B3">
        <w:rPr>
          <w:sz w:val="28"/>
          <w:szCs w:val="28"/>
        </w:rPr>
        <w:t xml:space="preserve"> plea of guilty.</w:t>
      </w:r>
    </w:p>
    <w:p w14:paraId="315E9327" w14:textId="77777777" w:rsidR="0029354A" w:rsidRPr="001101B3" w:rsidRDefault="0029354A" w:rsidP="009E7112">
      <w:pPr>
        <w:jc w:val="both"/>
        <w:rPr>
          <w:sz w:val="28"/>
          <w:szCs w:val="28"/>
        </w:rPr>
      </w:pPr>
    </w:p>
    <w:p w14:paraId="14401018" w14:textId="533E337C" w:rsidR="0029354A" w:rsidRPr="001101B3" w:rsidRDefault="0029354A" w:rsidP="009E7112">
      <w:pPr>
        <w:jc w:val="both"/>
        <w:rPr>
          <w:sz w:val="28"/>
          <w:szCs w:val="28"/>
        </w:rPr>
      </w:pPr>
      <w:r w:rsidRPr="001101B3">
        <w:rPr>
          <w:sz w:val="28"/>
          <w:szCs w:val="28"/>
        </w:rPr>
        <w:t xml:space="preserve">The Court of Appeal in </w:t>
      </w:r>
      <w:r w:rsidRPr="001101B3">
        <w:rPr>
          <w:i/>
          <w:sz w:val="28"/>
          <w:szCs w:val="28"/>
        </w:rPr>
        <w:t>HKSAR</w:t>
      </w:r>
      <w:r w:rsidRPr="001101B3">
        <w:rPr>
          <w:sz w:val="28"/>
          <w:szCs w:val="28"/>
        </w:rPr>
        <w:t xml:space="preserve"> v </w:t>
      </w:r>
      <w:r w:rsidRPr="001101B3">
        <w:rPr>
          <w:i/>
          <w:sz w:val="28"/>
          <w:szCs w:val="28"/>
        </w:rPr>
        <w:t xml:space="preserve">Wong </w:t>
      </w:r>
      <w:proofErr w:type="spellStart"/>
      <w:r w:rsidRPr="001101B3">
        <w:rPr>
          <w:i/>
          <w:sz w:val="28"/>
          <w:szCs w:val="28"/>
        </w:rPr>
        <w:t>Luk</w:t>
      </w:r>
      <w:proofErr w:type="spellEnd"/>
      <w:r w:rsidRPr="001101B3">
        <w:rPr>
          <w:i/>
          <w:sz w:val="28"/>
          <w:szCs w:val="28"/>
        </w:rPr>
        <w:t xml:space="preserve"> Sau</w:t>
      </w:r>
      <w:r w:rsidRPr="001101B3">
        <w:rPr>
          <w:rStyle w:val="FootnoteReference"/>
          <w:sz w:val="28"/>
          <w:szCs w:val="28"/>
        </w:rPr>
        <w:footnoteReference w:id="37"/>
      </w:r>
      <w:r w:rsidRPr="001101B3">
        <w:rPr>
          <w:i/>
          <w:sz w:val="28"/>
          <w:szCs w:val="28"/>
        </w:rPr>
        <w:t xml:space="preserve"> </w:t>
      </w:r>
      <w:r w:rsidRPr="001101B3">
        <w:rPr>
          <w:sz w:val="28"/>
          <w:szCs w:val="28"/>
        </w:rPr>
        <w:t>later ruled</w:t>
      </w:r>
      <w:r w:rsidR="002E1C69" w:rsidRPr="001101B3">
        <w:rPr>
          <w:sz w:val="28"/>
          <w:szCs w:val="28"/>
        </w:rPr>
        <w:t xml:space="preserve"> that</w:t>
      </w:r>
      <w:r w:rsidRPr="001101B3">
        <w:rPr>
          <w:sz w:val="28"/>
          <w:szCs w:val="28"/>
        </w:rPr>
        <w:t xml:space="preserve">, despite the earlier decision in </w:t>
      </w:r>
      <w:r w:rsidRPr="001101B3">
        <w:rPr>
          <w:i/>
          <w:sz w:val="28"/>
          <w:szCs w:val="28"/>
        </w:rPr>
        <w:t>HKSAR</w:t>
      </w:r>
      <w:r w:rsidRPr="001101B3">
        <w:rPr>
          <w:sz w:val="28"/>
          <w:szCs w:val="28"/>
        </w:rPr>
        <w:t xml:space="preserve"> v </w:t>
      </w:r>
      <w:r w:rsidRPr="001101B3">
        <w:rPr>
          <w:i/>
          <w:sz w:val="28"/>
          <w:szCs w:val="28"/>
        </w:rPr>
        <w:t>Chung Chi Fai</w:t>
      </w:r>
      <w:r w:rsidRPr="001101B3">
        <w:rPr>
          <w:sz w:val="28"/>
          <w:szCs w:val="28"/>
        </w:rPr>
        <w:t xml:space="preserve">, that a sentence of less than </w:t>
      </w:r>
      <w:r w:rsidR="001101B3">
        <w:rPr>
          <w:sz w:val="28"/>
          <w:szCs w:val="28"/>
        </w:rPr>
        <w:t>3</w:t>
      </w:r>
      <w:r w:rsidRPr="001101B3">
        <w:rPr>
          <w:sz w:val="28"/>
          <w:szCs w:val="28"/>
        </w:rPr>
        <w:t xml:space="preserve"> years could be imposed in OAPO cases, because no specific tariff applied to these types of matters. In this case, the applicant was a </w:t>
      </w:r>
      <w:r w:rsidR="00D93FE9" w:rsidRPr="001101B3">
        <w:rPr>
          <w:sz w:val="28"/>
          <w:szCs w:val="28"/>
        </w:rPr>
        <w:t>72-year-old</w:t>
      </w:r>
      <w:r w:rsidR="00AA6E34" w:rsidRPr="001101B3">
        <w:rPr>
          <w:sz w:val="28"/>
          <w:szCs w:val="28"/>
        </w:rPr>
        <w:t xml:space="preserve"> man</w:t>
      </w:r>
      <w:r w:rsidRPr="001101B3">
        <w:rPr>
          <w:sz w:val="28"/>
          <w:szCs w:val="28"/>
        </w:rPr>
        <w:t xml:space="preserve"> who had got into a dispute with a </w:t>
      </w:r>
      <w:r w:rsidR="00D93FE9" w:rsidRPr="001101B3">
        <w:rPr>
          <w:sz w:val="28"/>
          <w:szCs w:val="28"/>
        </w:rPr>
        <w:t>78-year-old</w:t>
      </w:r>
      <w:r w:rsidRPr="001101B3">
        <w:rPr>
          <w:sz w:val="28"/>
          <w:szCs w:val="28"/>
        </w:rPr>
        <w:t xml:space="preserve"> neighbor, over, of all things, a chess game which had occurred a few days earlier. The applicant chased the victim about 60-70 meters with a knife </w:t>
      </w:r>
      <w:r w:rsidR="008D3B01" w:rsidRPr="001101B3">
        <w:rPr>
          <w:sz w:val="28"/>
          <w:szCs w:val="28"/>
        </w:rPr>
        <w:t xml:space="preserve">before </w:t>
      </w:r>
      <w:r w:rsidRPr="001101B3">
        <w:rPr>
          <w:sz w:val="28"/>
          <w:szCs w:val="28"/>
        </w:rPr>
        <w:t xml:space="preserve">stabbing him in the chest and left hand. </w:t>
      </w:r>
      <w:r w:rsidR="00E53ADB" w:rsidRPr="001101B3">
        <w:rPr>
          <w:sz w:val="28"/>
          <w:szCs w:val="28"/>
        </w:rPr>
        <w:t>While</w:t>
      </w:r>
      <w:r w:rsidR="003E0DC0" w:rsidRPr="001101B3">
        <w:rPr>
          <w:sz w:val="28"/>
          <w:szCs w:val="28"/>
        </w:rPr>
        <w:t xml:space="preserve"> t</w:t>
      </w:r>
      <w:r w:rsidRPr="001101B3">
        <w:rPr>
          <w:sz w:val="28"/>
          <w:szCs w:val="28"/>
        </w:rPr>
        <w:t xml:space="preserve">he wounds were not particularly </w:t>
      </w:r>
      <w:r w:rsidR="003E0DC0" w:rsidRPr="001101B3">
        <w:rPr>
          <w:sz w:val="28"/>
          <w:szCs w:val="28"/>
        </w:rPr>
        <w:t xml:space="preserve">serious, this was </w:t>
      </w:r>
      <w:r w:rsidR="008D3B01" w:rsidRPr="001101B3">
        <w:rPr>
          <w:sz w:val="28"/>
          <w:szCs w:val="28"/>
        </w:rPr>
        <w:t xml:space="preserve">the result of good fortune. </w:t>
      </w:r>
      <w:r w:rsidR="00D93FE9" w:rsidRPr="001101B3">
        <w:rPr>
          <w:sz w:val="28"/>
          <w:szCs w:val="28"/>
        </w:rPr>
        <w:t>In addition</w:t>
      </w:r>
      <w:r w:rsidR="008D3B01" w:rsidRPr="001101B3">
        <w:rPr>
          <w:sz w:val="28"/>
          <w:szCs w:val="28"/>
        </w:rPr>
        <w:t>, t</w:t>
      </w:r>
      <w:r w:rsidR="003E0DC0" w:rsidRPr="001101B3">
        <w:rPr>
          <w:sz w:val="28"/>
          <w:szCs w:val="28"/>
        </w:rPr>
        <w:t xml:space="preserve">he actions of the applicant </w:t>
      </w:r>
      <w:r w:rsidR="003E0DC0" w:rsidRPr="001101B3">
        <w:rPr>
          <w:sz w:val="28"/>
          <w:szCs w:val="28"/>
        </w:rPr>
        <w:lastRenderedPageBreak/>
        <w:t>were premedi</w:t>
      </w:r>
      <w:r w:rsidR="00487633" w:rsidRPr="001101B3">
        <w:rPr>
          <w:sz w:val="28"/>
          <w:szCs w:val="28"/>
        </w:rPr>
        <w:t>t</w:t>
      </w:r>
      <w:r w:rsidR="003E0DC0" w:rsidRPr="001101B3">
        <w:rPr>
          <w:sz w:val="28"/>
          <w:szCs w:val="28"/>
        </w:rPr>
        <w:t>ated; he had taken the knife to meet the victim with the apparent intent of using it on him. There were several mitigating factors con</w:t>
      </w:r>
      <w:r w:rsidR="008D3B01" w:rsidRPr="001101B3">
        <w:rPr>
          <w:sz w:val="28"/>
          <w:szCs w:val="28"/>
        </w:rPr>
        <w:t>cerning the applicant</w:t>
      </w:r>
      <w:r w:rsidR="003E0DC0" w:rsidRPr="001101B3">
        <w:rPr>
          <w:sz w:val="28"/>
          <w:szCs w:val="28"/>
        </w:rPr>
        <w:t>. He was aged 72, had suffered from heart problems and he only had one previous conviction, being a</w:t>
      </w:r>
      <w:r w:rsidR="008D3B01" w:rsidRPr="001101B3">
        <w:rPr>
          <w:sz w:val="28"/>
          <w:szCs w:val="28"/>
        </w:rPr>
        <w:t xml:space="preserve"> gambling offence. The applicant</w:t>
      </w:r>
      <w:r w:rsidR="003E0DC0" w:rsidRPr="001101B3">
        <w:rPr>
          <w:sz w:val="28"/>
          <w:szCs w:val="28"/>
        </w:rPr>
        <w:t xml:space="preserve"> was also of good character, having carried out charitable works. The Court of Appeal, taking all these matters in</w:t>
      </w:r>
      <w:r w:rsidR="008D79A6" w:rsidRPr="001101B3">
        <w:rPr>
          <w:sz w:val="28"/>
          <w:szCs w:val="28"/>
        </w:rPr>
        <w:t>to</w:t>
      </w:r>
      <w:r w:rsidR="003E0DC0" w:rsidRPr="001101B3">
        <w:rPr>
          <w:sz w:val="28"/>
          <w:szCs w:val="28"/>
        </w:rPr>
        <w:t xml:space="preserve"> account, reduced his sentence from 3 years imprisonment to 2 years and 3 months.</w:t>
      </w:r>
    </w:p>
    <w:p w14:paraId="6BD3ECCE" w14:textId="77777777" w:rsidR="00592A33" w:rsidRPr="001101B3" w:rsidRDefault="00592A33" w:rsidP="009E7112">
      <w:pPr>
        <w:jc w:val="both"/>
        <w:rPr>
          <w:sz w:val="28"/>
          <w:szCs w:val="28"/>
        </w:rPr>
      </w:pPr>
    </w:p>
    <w:p w14:paraId="3C309425" w14:textId="03A02E9C" w:rsidR="00592A33" w:rsidRPr="001101B3" w:rsidRDefault="00592A33" w:rsidP="009E7112">
      <w:pPr>
        <w:jc w:val="both"/>
        <w:rPr>
          <w:sz w:val="28"/>
          <w:szCs w:val="28"/>
        </w:rPr>
      </w:pPr>
      <w:r w:rsidRPr="001101B3">
        <w:rPr>
          <w:sz w:val="28"/>
          <w:szCs w:val="28"/>
        </w:rPr>
        <w:t xml:space="preserve">In </w:t>
      </w:r>
      <w:proofErr w:type="gramStart"/>
      <w:r w:rsidRPr="001101B3">
        <w:rPr>
          <w:i/>
          <w:sz w:val="28"/>
          <w:szCs w:val="28"/>
        </w:rPr>
        <w:t>The</w:t>
      </w:r>
      <w:proofErr w:type="gramEnd"/>
      <w:r w:rsidRPr="001101B3">
        <w:rPr>
          <w:i/>
          <w:sz w:val="28"/>
          <w:szCs w:val="28"/>
        </w:rPr>
        <w:t xml:space="preserve"> Queen</w:t>
      </w:r>
      <w:r w:rsidRPr="001101B3">
        <w:rPr>
          <w:sz w:val="28"/>
          <w:szCs w:val="28"/>
        </w:rPr>
        <w:t xml:space="preserve"> and </w:t>
      </w:r>
      <w:r w:rsidRPr="001101B3">
        <w:rPr>
          <w:i/>
          <w:sz w:val="28"/>
          <w:szCs w:val="28"/>
        </w:rPr>
        <w:t>Nguyen Thang-</w:t>
      </w:r>
      <w:proofErr w:type="spellStart"/>
      <w:r w:rsidRPr="001101B3">
        <w:rPr>
          <w:i/>
          <w:sz w:val="28"/>
          <w:szCs w:val="28"/>
        </w:rPr>
        <w:t>Loi</w:t>
      </w:r>
      <w:proofErr w:type="spellEnd"/>
      <w:r w:rsidR="000E0D7F" w:rsidRPr="001101B3">
        <w:rPr>
          <w:i/>
          <w:sz w:val="28"/>
          <w:szCs w:val="28"/>
        </w:rPr>
        <w:t>,</w:t>
      </w:r>
      <w:r w:rsidRPr="001101B3">
        <w:rPr>
          <w:rStyle w:val="FootnoteReference"/>
          <w:sz w:val="28"/>
          <w:szCs w:val="28"/>
        </w:rPr>
        <w:footnoteReference w:id="38"/>
      </w:r>
      <w:r w:rsidRPr="001101B3">
        <w:rPr>
          <w:sz w:val="28"/>
          <w:szCs w:val="28"/>
        </w:rPr>
        <w:t xml:space="preserve"> the applicant was found guilty of</w:t>
      </w:r>
      <w:r w:rsidR="002E1C69" w:rsidRPr="001101B3">
        <w:rPr>
          <w:sz w:val="28"/>
          <w:szCs w:val="28"/>
        </w:rPr>
        <w:t xml:space="preserve"> wounding with intent under</w:t>
      </w:r>
      <w:r w:rsidRPr="001101B3">
        <w:rPr>
          <w:sz w:val="28"/>
          <w:szCs w:val="28"/>
        </w:rPr>
        <w:t xml:space="preserve"> </w:t>
      </w:r>
      <w:r w:rsidR="000234C9" w:rsidRPr="001101B3">
        <w:rPr>
          <w:sz w:val="28"/>
          <w:szCs w:val="28"/>
        </w:rPr>
        <w:t>s.17</w:t>
      </w:r>
      <w:r w:rsidR="00C111B8" w:rsidRPr="001101B3">
        <w:rPr>
          <w:sz w:val="28"/>
          <w:szCs w:val="28"/>
        </w:rPr>
        <w:t xml:space="preserve"> </w:t>
      </w:r>
      <w:r w:rsidR="000234C9" w:rsidRPr="001101B3">
        <w:rPr>
          <w:sz w:val="28"/>
          <w:szCs w:val="28"/>
        </w:rPr>
        <w:t>OAP</w:t>
      </w:r>
      <w:r w:rsidR="00E2730F" w:rsidRPr="001101B3">
        <w:rPr>
          <w:sz w:val="28"/>
          <w:szCs w:val="28"/>
        </w:rPr>
        <w:t>O</w:t>
      </w:r>
      <w:r w:rsidR="000234C9" w:rsidRPr="001101B3">
        <w:rPr>
          <w:sz w:val="28"/>
          <w:szCs w:val="28"/>
        </w:rPr>
        <w:t xml:space="preserve">. Namely, </w:t>
      </w:r>
      <w:r w:rsidR="00474F7F" w:rsidRPr="001101B3">
        <w:rPr>
          <w:sz w:val="28"/>
          <w:szCs w:val="28"/>
        </w:rPr>
        <w:t xml:space="preserve">following an argument over whether he had stolen money from her, </w:t>
      </w:r>
      <w:r w:rsidR="000234C9" w:rsidRPr="001101B3">
        <w:rPr>
          <w:sz w:val="28"/>
          <w:szCs w:val="28"/>
        </w:rPr>
        <w:t>repeatedly stabbing his de facto wife in the right eye and thereby permanently blinding her.</w:t>
      </w:r>
      <w:r w:rsidR="00AA08B1" w:rsidRPr="001101B3">
        <w:rPr>
          <w:sz w:val="28"/>
          <w:szCs w:val="28"/>
        </w:rPr>
        <w:t xml:space="preserve"> The applicant appealed against</w:t>
      </w:r>
      <w:r w:rsidR="002E1C69" w:rsidRPr="001101B3">
        <w:rPr>
          <w:sz w:val="28"/>
          <w:szCs w:val="28"/>
        </w:rPr>
        <w:t xml:space="preserve"> the starting point of</w:t>
      </w:r>
      <w:r w:rsidR="00AA08B1" w:rsidRPr="001101B3">
        <w:rPr>
          <w:sz w:val="28"/>
          <w:szCs w:val="28"/>
        </w:rPr>
        <w:t xml:space="preserve"> his sentence of </w:t>
      </w:r>
      <w:r w:rsidR="000E0D7F" w:rsidRPr="001101B3">
        <w:rPr>
          <w:sz w:val="28"/>
          <w:szCs w:val="28"/>
        </w:rPr>
        <w:t>7</w:t>
      </w:r>
      <w:r w:rsidR="00AA08B1" w:rsidRPr="001101B3">
        <w:rPr>
          <w:sz w:val="28"/>
          <w:szCs w:val="28"/>
        </w:rPr>
        <w:t xml:space="preserve"> years imprisonment.</w:t>
      </w:r>
    </w:p>
    <w:p w14:paraId="18B74583" w14:textId="77777777" w:rsidR="00AA08B1" w:rsidRPr="001101B3" w:rsidRDefault="00AA08B1" w:rsidP="009E7112">
      <w:pPr>
        <w:jc w:val="both"/>
        <w:rPr>
          <w:sz w:val="28"/>
          <w:szCs w:val="28"/>
        </w:rPr>
      </w:pPr>
    </w:p>
    <w:p w14:paraId="7BC7E003" w14:textId="025215AB" w:rsidR="00AA08B1" w:rsidRPr="001101B3" w:rsidRDefault="00AA08B1" w:rsidP="000620C3">
      <w:pPr>
        <w:spacing w:line="360" w:lineRule="auto"/>
        <w:rPr>
          <w:snapToGrid w:val="0"/>
          <w:sz w:val="28"/>
          <w:szCs w:val="28"/>
        </w:rPr>
      </w:pPr>
      <w:r w:rsidRPr="001101B3">
        <w:rPr>
          <w:sz w:val="28"/>
          <w:szCs w:val="28"/>
        </w:rPr>
        <w:t>The Court of Appeal, in dismissing his appeal and upholding the sentence</w:t>
      </w:r>
      <w:r w:rsidR="006939FA" w:rsidRPr="001101B3">
        <w:rPr>
          <w:sz w:val="28"/>
          <w:szCs w:val="28"/>
        </w:rPr>
        <w:t xml:space="preserve">, </w:t>
      </w:r>
      <w:r w:rsidR="000620C3" w:rsidRPr="001101B3">
        <w:rPr>
          <w:snapToGrid w:val="0"/>
          <w:sz w:val="28"/>
          <w:szCs w:val="28"/>
        </w:rPr>
        <w:t xml:space="preserve">Power, J.A delivering the </w:t>
      </w:r>
      <w:r w:rsidR="000620C3" w:rsidRPr="001101B3">
        <w:rPr>
          <w:sz w:val="28"/>
          <w:szCs w:val="28"/>
        </w:rPr>
        <w:t>judgment of the Court</w:t>
      </w:r>
      <w:r w:rsidR="000620C3" w:rsidRPr="001101B3">
        <w:rPr>
          <w:snapToGrid w:val="0"/>
          <w:sz w:val="28"/>
          <w:szCs w:val="28"/>
        </w:rPr>
        <w:t xml:space="preserve"> </w:t>
      </w:r>
      <w:r w:rsidR="006939FA" w:rsidRPr="001101B3">
        <w:rPr>
          <w:sz w:val="28"/>
          <w:szCs w:val="28"/>
        </w:rPr>
        <w:t>stated</w:t>
      </w:r>
      <w:r w:rsidRPr="001101B3">
        <w:rPr>
          <w:sz w:val="28"/>
          <w:szCs w:val="28"/>
        </w:rPr>
        <w:t xml:space="preserve"> that, “</w:t>
      </w:r>
      <w:r w:rsidRPr="001101B3">
        <w:rPr>
          <w:i/>
          <w:snapToGrid w:val="0"/>
          <w:sz w:val="28"/>
          <w:szCs w:val="28"/>
        </w:rPr>
        <w:t xml:space="preserve">What we have said of the facts makes it plain that this was a vicious wounding deliberately directed at the </w:t>
      </w:r>
      <w:r w:rsidR="006F7FA2" w:rsidRPr="001101B3">
        <w:rPr>
          <w:i/>
          <w:snapToGrid w:val="0"/>
          <w:sz w:val="28"/>
          <w:szCs w:val="28"/>
        </w:rPr>
        <w:t>r</w:t>
      </w:r>
      <w:r w:rsidRPr="001101B3">
        <w:rPr>
          <w:i/>
          <w:snapToGrid w:val="0"/>
          <w:sz w:val="28"/>
          <w:szCs w:val="28"/>
        </w:rPr>
        <w:t xml:space="preserve">ight eye of the victim. It resulted, as the applicant must have realized it very likely would, in her being blinded in that eye. These, in our view, are aggravating circumstances of particular weight. We are, as we have been urged by Mr. Poll to be, conscious of tensions resulting from prolonged confinement but these can be given little weight in mitigation in the circumstances of this attack. We have not been assisted by sentences in other cases to which we have been referred with quite different facts. We do bear in mind that the incident was between persons who were cohabiting but reject entirely any suggestion that this was, in any sense, a lovers' quarrel. The applicant had stolen </w:t>
      </w:r>
      <w:r w:rsidR="006F7FA2" w:rsidRPr="001101B3">
        <w:rPr>
          <w:i/>
          <w:snapToGrid w:val="0"/>
          <w:sz w:val="28"/>
          <w:szCs w:val="28"/>
        </w:rPr>
        <w:t>m</w:t>
      </w:r>
      <w:r w:rsidRPr="001101B3">
        <w:rPr>
          <w:i/>
          <w:snapToGrid w:val="0"/>
          <w:sz w:val="28"/>
          <w:szCs w:val="28"/>
        </w:rPr>
        <w:t>oney from the victim and it was out of this theft that the disagreement arose. The sentence was a severe one but was not so outside the proper range as to require our interference.”</w:t>
      </w:r>
    </w:p>
    <w:p w14:paraId="6D77A3C2" w14:textId="54C10777" w:rsidR="006C4CFC" w:rsidRPr="001101B3" w:rsidRDefault="006C4CFC" w:rsidP="006C4CFC">
      <w:pPr>
        <w:rPr>
          <w:b/>
          <w:sz w:val="28"/>
          <w:szCs w:val="28"/>
        </w:rPr>
      </w:pPr>
    </w:p>
    <w:p w14:paraId="0C483521" w14:textId="492ADEBF" w:rsidR="00EA1A7A" w:rsidRPr="001101B3" w:rsidRDefault="00EA1A7A" w:rsidP="006C4CFC">
      <w:pPr>
        <w:rPr>
          <w:b/>
          <w:sz w:val="28"/>
          <w:szCs w:val="28"/>
        </w:rPr>
      </w:pPr>
    </w:p>
    <w:p w14:paraId="0CB0223A" w14:textId="77777777" w:rsidR="00EA1A7A" w:rsidRPr="001101B3" w:rsidRDefault="00EA1A7A" w:rsidP="006C4CFC">
      <w:pPr>
        <w:rPr>
          <w:b/>
          <w:sz w:val="28"/>
          <w:szCs w:val="28"/>
        </w:rPr>
      </w:pPr>
    </w:p>
    <w:p w14:paraId="7E617074" w14:textId="2A515519" w:rsidR="007E0304" w:rsidRPr="001101B3" w:rsidRDefault="00C73002" w:rsidP="006C4CFC">
      <w:pPr>
        <w:rPr>
          <w:b/>
          <w:sz w:val="28"/>
          <w:szCs w:val="28"/>
        </w:rPr>
      </w:pPr>
      <w:r w:rsidRPr="001101B3">
        <w:rPr>
          <w:b/>
          <w:sz w:val="28"/>
          <w:szCs w:val="28"/>
        </w:rPr>
        <w:lastRenderedPageBreak/>
        <w:t>9</w:t>
      </w:r>
      <w:r w:rsidR="006C4CFC" w:rsidRPr="001101B3">
        <w:rPr>
          <w:b/>
          <w:sz w:val="28"/>
          <w:szCs w:val="28"/>
        </w:rPr>
        <w:t xml:space="preserve">.10 </w:t>
      </w:r>
      <w:r w:rsidR="007E0304" w:rsidRPr="001101B3">
        <w:rPr>
          <w:b/>
          <w:sz w:val="28"/>
          <w:szCs w:val="28"/>
        </w:rPr>
        <w:t xml:space="preserve">Non-custodial sentences </w:t>
      </w:r>
    </w:p>
    <w:p w14:paraId="1A16AF0D" w14:textId="7FCF0C98" w:rsidR="006C4CFC" w:rsidRPr="001101B3" w:rsidRDefault="006C4CFC" w:rsidP="006C4CFC">
      <w:pPr>
        <w:rPr>
          <w:b/>
          <w:sz w:val="28"/>
          <w:szCs w:val="28"/>
        </w:rPr>
      </w:pPr>
    </w:p>
    <w:p w14:paraId="4523316F" w14:textId="0C450B7D" w:rsidR="006C4CFC" w:rsidRPr="001101B3" w:rsidRDefault="006C4CFC" w:rsidP="006C4CFC">
      <w:pPr>
        <w:rPr>
          <w:sz w:val="28"/>
          <w:szCs w:val="28"/>
        </w:rPr>
      </w:pPr>
      <w:r w:rsidRPr="001101B3">
        <w:rPr>
          <w:sz w:val="28"/>
          <w:szCs w:val="28"/>
        </w:rPr>
        <w:t>These are sentences that do not involve the incarceration of the offender.</w:t>
      </w:r>
    </w:p>
    <w:p w14:paraId="7B2400A8" w14:textId="77777777" w:rsidR="007E0304" w:rsidRPr="001101B3" w:rsidRDefault="007E0304" w:rsidP="007E0304">
      <w:pPr>
        <w:rPr>
          <w:b/>
          <w:sz w:val="28"/>
          <w:szCs w:val="28"/>
        </w:rPr>
      </w:pPr>
    </w:p>
    <w:p w14:paraId="2F3A2A3D" w14:textId="0D3A77D4" w:rsidR="007E0304" w:rsidRPr="001101B3" w:rsidRDefault="00C73002" w:rsidP="007E0304">
      <w:pPr>
        <w:rPr>
          <w:sz w:val="28"/>
          <w:szCs w:val="28"/>
        </w:rPr>
      </w:pPr>
      <w:r w:rsidRPr="001101B3">
        <w:rPr>
          <w:b/>
          <w:sz w:val="28"/>
          <w:szCs w:val="28"/>
        </w:rPr>
        <w:t>9</w:t>
      </w:r>
      <w:r w:rsidR="007E0304" w:rsidRPr="001101B3">
        <w:rPr>
          <w:b/>
          <w:sz w:val="28"/>
          <w:szCs w:val="28"/>
        </w:rPr>
        <w:t>.10.1 Suspended sentences</w:t>
      </w:r>
      <w:r w:rsidR="007E0304" w:rsidRPr="001101B3">
        <w:rPr>
          <w:rStyle w:val="FootnoteReference"/>
          <w:sz w:val="28"/>
          <w:szCs w:val="28"/>
        </w:rPr>
        <w:footnoteReference w:id="39"/>
      </w:r>
      <w:r w:rsidR="007E0304" w:rsidRPr="001101B3">
        <w:rPr>
          <w:sz w:val="28"/>
          <w:szCs w:val="28"/>
        </w:rPr>
        <w:t xml:space="preserve"> </w:t>
      </w:r>
    </w:p>
    <w:p w14:paraId="65732DB7" w14:textId="77777777" w:rsidR="00BB5183" w:rsidRPr="001101B3" w:rsidRDefault="00BB5183" w:rsidP="007E0304">
      <w:pPr>
        <w:rPr>
          <w:sz w:val="28"/>
          <w:szCs w:val="28"/>
        </w:rPr>
      </w:pPr>
    </w:p>
    <w:p w14:paraId="3874DF8E" w14:textId="4B19B511" w:rsidR="00367CC4" w:rsidRPr="001101B3" w:rsidRDefault="008D79A6" w:rsidP="007E0304">
      <w:pPr>
        <w:rPr>
          <w:i/>
          <w:sz w:val="28"/>
          <w:szCs w:val="28"/>
        </w:rPr>
      </w:pPr>
      <w:r w:rsidRPr="001101B3">
        <w:rPr>
          <w:sz w:val="28"/>
          <w:szCs w:val="28"/>
        </w:rPr>
        <w:t>Key points:</w:t>
      </w:r>
    </w:p>
    <w:p w14:paraId="76B10A1F" w14:textId="77777777" w:rsidR="007E0304" w:rsidRPr="001101B3" w:rsidRDefault="00BB5183" w:rsidP="007E0304">
      <w:pPr>
        <w:pStyle w:val="ListParagraph"/>
        <w:numPr>
          <w:ilvl w:val="0"/>
          <w:numId w:val="15"/>
        </w:numPr>
        <w:rPr>
          <w:sz w:val="28"/>
          <w:szCs w:val="28"/>
        </w:rPr>
      </w:pPr>
      <w:r w:rsidRPr="001101B3">
        <w:rPr>
          <w:sz w:val="28"/>
          <w:szCs w:val="28"/>
        </w:rPr>
        <w:t>The o</w:t>
      </w:r>
      <w:r w:rsidR="007E0304" w:rsidRPr="001101B3">
        <w:rPr>
          <w:sz w:val="28"/>
          <w:szCs w:val="28"/>
        </w:rPr>
        <w:t xml:space="preserve">ffender </w:t>
      </w:r>
      <w:r w:rsidRPr="001101B3">
        <w:rPr>
          <w:sz w:val="28"/>
          <w:szCs w:val="28"/>
        </w:rPr>
        <w:t xml:space="preserve">is </w:t>
      </w:r>
      <w:r w:rsidR="007E0304" w:rsidRPr="001101B3">
        <w:rPr>
          <w:sz w:val="28"/>
          <w:szCs w:val="28"/>
        </w:rPr>
        <w:t>sentenced to imprisonment</w:t>
      </w:r>
      <w:r w:rsidR="008D79A6" w:rsidRPr="001101B3">
        <w:rPr>
          <w:sz w:val="28"/>
          <w:szCs w:val="28"/>
        </w:rPr>
        <w:t>.</w:t>
      </w:r>
    </w:p>
    <w:p w14:paraId="00DE48AB" w14:textId="2EE5C571" w:rsidR="007E0304" w:rsidRPr="001101B3" w:rsidRDefault="00BB5183" w:rsidP="007E0304">
      <w:pPr>
        <w:pStyle w:val="ListParagraph"/>
        <w:numPr>
          <w:ilvl w:val="0"/>
          <w:numId w:val="15"/>
        </w:numPr>
        <w:rPr>
          <w:sz w:val="28"/>
          <w:szCs w:val="28"/>
        </w:rPr>
      </w:pPr>
      <w:r w:rsidRPr="001101B3">
        <w:rPr>
          <w:sz w:val="28"/>
          <w:szCs w:val="28"/>
        </w:rPr>
        <w:t>These apply</w:t>
      </w:r>
      <w:r w:rsidR="007E0304" w:rsidRPr="001101B3">
        <w:rPr>
          <w:sz w:val="28"/>
          <w:szCs w:val="28"/>
        </w:rPr>
        <w:t xml:space="preserve"> to sentences of not more than 2 years</w:t>
      </w:r>
      <w:r w:rsidR="007A7384" w:rsidRPr="001101B3">
        <w:rPr>
          <w:sz w:val="28"/>
          <w:szCs w:val="28"/>
        </w:rPr>
        <w:t>.</w:t>
      </w:r>
    </w:p>
    <w:p w14:paraId="6A966FE8" w14:textId="3FD45911" w:rsidR="007E0304" w:rsidRPr="001101B3" w:rsidRDefault="00BB5183" w:rsidP="007E0304">
      <w:pPr>
        <w:pStyle w:val="ListParagraph"/>
        <w:numPr>
          <w:ilvl w:val="0"/>
          <w:numId w:val="15"/>
        </w:numPr>
        <w:rPr>
          <w:sz w:val="28"/>
          <w:szCs w:val="28"/>
        </w:rPr>
      </w:pPr>
      <w:r w:rsidRPr="001101B3">
        <w:rPr>
          <w:sz w:val="28"/>
          <w:szCs w:val="28"/>
        </w:rPr>
        <w:t>These c</w:t>
      </w:r>
      <w:r w:rsidR="007E0304" w:rsidRPr="001101B3">
        <w:rPr>
          <w:sz w:val="28"/>
          <w:szCs w:val="28"/>
        </w:rPr>
        <w:t>annot be applied to more serious offences such as rape or manslaughter</w:t>
      </w:r>
      <w:r w:rsidR="007A7384" w:rsidRPr="001101B3">
        <w:rPr>
          <w:sz w:val="28"/>
          <w:szCs w:val="28"/>
        </w:rPr>
        <w:t>.</w:t>
      </w:r>
    </w:p>
    <w:p w14:paraId="2850026F" w14:textId="77777777" w:rsidR="007E0304" w:rsidRPr="001101B3" w:rsidRDefault="007E0304" w:rsidP="007E0304">
      <w:pPr>
        <w:pStyle w:val="ListParagraph"/>
        <w:numPr>
          <w:ilvl w:val="0"/>
          <w:numId w:val="15"/>
        </w:numPr>
        <w:rPr>
          <w:sz w:val="28"/>
          <w:szCs w:val="28"/>
        </w:rPr>
      </w:pPr>
      <w:r w:rsidRPr="001101B3">
        <w:rPr>
          <w:sz w:val="28"/>
          <w:szCs w:val="28"/>
        </w:rPr>
        <w:t>The term is suspended for between 1 and 3 years</w:t>
      </w:r>
      <w:r w:rsidR="008D79A6" w:rsidRPr="001101B3">
        <w:rPr>
          <w:sz w:val="28"/>
          <w:szCs w:val="28"/>
        </w:rPr>
        <w:t>.</w:t>
      </w:r>
    </w:p>
    <w:p w14:paraId="207A1187" w14:textId="7A7A0A35" w:rsidR="007E0304" w:rsidRPr="001101B3" w:rsidRDefault="00BB5183" w:rsidP="007E0304">
      <w:pPr>
        <w:pStyle w:val="ListParagraph"/>
        <w:numPr>
          <w:ilvl w:val="0"/>
          <w:numId w:val="15"/>
        </w:numPr>
        <w:rPr>
          <w:sz w:val="28"/>
          <w:szCs w:val="28"/>
        </w:rPr>
      </w:pPr>
      <w:r w:rsidRPr="001101B3">
        <w:rPr>
          <w:sz w:val="28"/>
          <w:szCs w:val="28"/>
        </w:rPr>
        <w:t>If the offender</w:t>
      </w:r>
      <w:r w:rsidR="007E0304" w:rsidRPr="001101B3">
        <w:rPr>
          <w:sz w:val="28"/>
          <w:szCs w:val="28"/>
        </w:rPr>
        <w:t xml:space="preserve"> do</w:t>
      </w:r>
      <w:r w:rsidRPr="001101B3">
        <w:rPr>
          <w:sz w:val="28"/>
          <w:szCs w:val="28"/>
        </w:rPr>
        <w:t>es</w:t>
      </w:r>
      <w:r w:rsidR="007E0304" w:rsidRPr="001101B3">
        <w:rPr>
          <w:sz w:val="28"/>
          <w:szCs w:val="28"/>
        </w:rPr>
        <w:t xml:space="preserve"> not breach</w:t>
      </w:r>
      <w:r w:rsidRPr="001101B3">
        <w:rPr>
          <w:sz w:val="28"/>
          <w:szCs w:val="28"/>
        </w:rPr>
        <w:t xml:space="preserve"> the</w:t>
      </w:r>
      <w:r w:rsidR="007E0304" w:rsidRPr="001101B3">
        <w:rPr>
          <w:sz w:val="28"/>
          <w:szCs w:val="28"/>
        </w:rPr>
        <w:t xml:space="preserve"> terms of the </w:t>
      </w:r>
      <w:r w:rsidR="006F7FA2" w:rsidRPr="001101B3">
        <w:rPr>
          <w:sz w:val="28"/>
          <w:szCs w:val="28"/>
        </w:rPr>
        <w:t>suspended sentence</w:t>
      </w:r>
      <w:r w:rsidR="007E0304" w:rsidRPr="001101B3">
        <w:rPr>
          <w:sz w:val="28"/>
          <w:szCs w:val="28"/>
        </w:rPr>
        <w:t xml:space="preserve"> or commit a further offence </w:t>
      </w:r>
      <w:r w:rsidR="006C4CFC" w:rsidRPr="001101B3">
        <w:rPr>
          <w:sz w:val="28"/>
          <w:szCs w:val="28"/>
        </w:rPr>
        <w:t>he/she is</w:t>
      </w:r>
      <w:r w:rsidR="007E0304" w:rsidRPr="001101B3">
        <w:rPr>
          <w:sz w:val="28"/>
          <w:szCs w:val="28"/>
        </w:rPr>
        <w:t xml:space="preserve"> not imprisoned but</w:t>
      </w:r>
      <w:r w:rsidRPr="001101B3">
        <w:rPr>
          <w:sz w:val="28"/>
          <w:szCs w:val="28"/>
        </w:rPr>
        <w:t xml:space="preserve"> the</w:t>
      </w:r>
      <w:r w:rsidR="007E0304" w:rsidRPr="001101B3">
        <w:rPr>
          <w:sz w:val="28"/>
          <w:szCs w:val="28"/>
        </w:rPr>
        <w:t xml:space="preserve"> converse will probably apply.</w:t>
      </w:r>
    </w:p>
    <w:p w14:paraId="05FF1A2D" w14:textId="77777777" w:rsidR="007E0304" w:rsidRPr="001101B3" w:rsidRDefault="007E0304" w:rsidP="007E0304">
      <w:pPr>
        <w:rPr>
          <w:b/>
          <w:sz w:val="28"/>
          <w:szCs w:val="28"/>
        </w:rPr>
      </w:pPr>
    </w:p>
    <w:p w14:paraId="269BD151" w14:textId="1713A808" w:rsidR="007E0304" w:rsidRPr="001101B3" w:rsidRDefault="00C73002" w:rsidP="007E0304">
      <w:pPr>
        <w:rPr>
          <w:b/>
          <w:sz w:val="28"/>
          <w:szCs w:val="28"/>
        </w:rPr>
      </w:pPr>
      <w:r w:rsidRPr="001101B3">
        <w:rPr>
          <w:b/>
          <w:sz w:val="28"/>
          <w:szCs w:val="28"/>
        </w:rPr>
        <w:t>9</w:t>
      </w:r>
      <w:r w:rsidR="007E0304" w:rsidRPr="001101B3">
        <w:rPr>
          <w:b/>
          <w:sz w:val="28"/>
          <w:szCs w:val="28"/>
        </w:rPr>
        <w:t>.10.2 Community service order</w:t>
      </w:r>
      <w:r w:rsidR="007E0304" w:rsidRPr="001101B3">
        <w:rPr>
          <w:rStyle w:val="FootnoteReference"/>
          <w:sz w:val="28"/>
          <w:szCs w:val="28"/>
        </w:rPr>
        <w:footnoteReference w:id="40"/>
      </w:r>
    </w:p>
    <w:p w14:paraId="42B9E745" w14:textId="77777777" w:rsidR="00BB5183" w:rsidRPr="001101B3" w:rsidRDefault="00BB5183" w:rsidP="007E0304">
      <w:pPr>
        <w:rPr>
          <w:b/>
          <w:sz w:val="28"/>
          <w:szCs w:val="28"/>
        </w:rPr>
      </w:pPr>
    </w:p>
    <w:p w14:paraId="70EA098C" w14:textId="344428AA" w:rsidR="00BB5183" w:rsidRPr="001101B3" w:rsidRDefault="00BB5183" w:rsidP="00BB5183">
      <w:pPr>
        <w:rPr>
          <w:sz w:val="28"/>
          <w:szCs w:val="28"/>
        </w:rPr>
      </w:pPr>
      <w:r w:rsidRPr="001101B3">
        <w:rPr>
          <w:sz w:val="28"/>
          <w:szCs w:val="28"/>
        </w:rPr>
        <w:t>Key points:</w:t>
      </w:r>
    </w:p>
    <w:p w14:paraId="5D7D24A3" w14:textId="77777777" w:rsidR="00367CC4" w:rsidRPr="001101B3" w:rsidRDefault="00367CC4" w:rsidP="007E0304">
      <w:pPr>
        <w:rPr>
          <w:b/>
          <w:sz w:val="28"/>
          <w:szCs w:val="28"/>
        </w:rPr>
      </w:pPr>
    </w:p>
    <w:p w14:paraId="24F366E5" w14:textId="539EDA85" w:rsidR="007E0304" w:rsidRPr="001101B3" w:rsidRDefault="00BB5183" w:rsidP="007E0304">
      <w:pPr>
        <w:pStyle w:val="ListParagraph"/>
        <w:numPr>
          <w:ilvl w:val="0"/>
          <w:numId w:val="16"/>
        </w:numPr>
        <w:rPr>
          <w:sz w:val="28"/>
          <w:szCs w:val="28"/>
        </w:rPr>
      </w:pPr>
      <w:r w:rsidRPr="001101B3">
        <w:rPr>
          <w:sz w:val="28"/>
          <w:szCs w:val="28"/>
        </w:rPr>
        <w:t>C</w:t>
      </w:r>
      <w:r w:rsidR="007E0304" w:rsidRPr="001101B3">
        <w:rPr>
          <w:sz w:val="28"/>
          <w:szCs w:val="28"/>
        </w:rPr>
        <w:t>ourts</w:t>
      </w:r>
      <w:r w:rsidRPr="001101B3">
        <w:rPr>
          <w:sz w:val="28"/>
          <w:szCs w:val="28"/>
        </w:rPr>
        <w:t xml:space="preserve"> are allowed</w:t>
      </w:r>
      <w:r w:rsidR="007E0304" w:rsidRPr="001101B3">
        <w:rPr>
          <w:sz w:val="28"/>
          <w:szCs w:val="28"/>
        </w:rPr>
        <w:t xml:space="preserve"> to make orders requiring offenders to perform</w:t>
      </w:r>
      <w:r w:rsidR="007A7384" w:rsidRPr="001101B3">
        <w:rPr>
          <w:sz w:val="28"/>
          <w:szCs w:val="28"/>
        </w:rPr>
        <w:t xml:space="preserve"> up to 240 hours of</w:t>
      </w:r>
      <w:r w:rsidR="007E0304" w:rsidRPr="001101B3">
        <w:rPr>
          <w:sz w:val="28"/>
          <w:szCs w:val="28"/>
        </w:rPr>
        <w:t xml:space="preserve"> unpaid work in the community e.g. work in hospitals</w:t>
      </w:r>
      <w:r w:rsidR="008D79A6" w:rsidRPr="001101B3">
        <w:rPr>
          <w:sz w:val="28"/>
          <w:szCs w:val="28"/>
        </w:rPr>
        <w:t>.</w:t>
      </w:r>
    </w:p>
    <w:p w14:paraId="28BF2553" w14:textId="77777777" w:rsidR="00367CC4" w:rsidRPr="001101B3" w:rsidRDefault="00BB5183" w:rsidP="007E0304">
      <w:pPr>
        <w:pStyle w:val="ListParagraph"/>
        <w:numPr>
          <w:ilvl w:val="0"/>
          <w:numId w:val="16"/>
        </w:numPr>
        <w:rPr>
          <w:sz w:val="28"/>
          <w:szCs w:val="28"/>
        </w:rPr>
      </w:pPr>
      <w:r w:rsidRPr="001101B3">
        <w:rPr>
          <w:sz w:val="28"/>
          <w:szCs w:val="28"/>
        </w:rPr>
        <w:t>The</w:t>
      </w:r>
      <w:r w:rsidR="00367CC4" w:rsidRPr="001101B3">
        <w:rPr>
          <w:sz w:val="28"/>
          <w:szCs w:val="28"/>
        </w:rPr>
        <w:t>s</w:t>
      </w:r>
      <w:r w:rsidRPr="001101B3">
        <w:rPr>
          <w:sz w:val="28"/>
          <w:szCs w:val="28"/>
        </w:rPr>
        <w:t>e can be imposed</w:t>
      </w:r>
      <w:r w:rsidR="00367CC4" w:rsidRPr="001101B3">
        <w:rPr>
          <w:sz w:val="28"/>
          <w:szCs w:val="28"/>
        </w:rPr>
        <w:t xml:space="preserve"> where a person of or over 14 years of age is convicted of an offence punishable with imprisonment</w:t>
      </w:r>
      <w:r w:rsidR="008D79A6" w:rsidRPr="001101B3">
        <w:rPr>
          <w:sz w:val="28"/>
          <w:szCs w:val="28"/>
        </w:rPr>
        <w:t>.</w:t>
      </w:r>
    </w:p>
    <w:p w14:paraId="4807BB97" w14:textId="77777777" w:rsidR="007E0304" w:rsidRPr="001101B3" w:rsidRDefault="00BB5183" w:rsidP="007E0304">
      <w:pPr>
        <w:pStyle w:val="ListParagraph"/>
        <w:numPr>
          <w:ilvl w:val="0"/>
          <w:numId w:val="16"/>
        </w:numPr>
        <w:spacing w:after="200" w:line="276" w:lineRule="auto"/>
        <w:rPr>
          <w:sz w:val="28"/>
          <w:szCs w:val="28"/>
        </w:rPr>
      </w:pPr>
      <w:r w:rsidRPr="001101B3">
        <w:rPr>
          <w:sz w:val="28"/>
          <w:szCs w:val="28"/>
        </w:rPr>
        <w:t>These allow</w:t>
      </w:r>
      <w:r w:rsidR="007E0304" w:rsidRPr="001101B3">
        <w:rPr>
          <w:sz w:val="28"/>
          <w:szCs w:val="28"/>
        </w:rPr>
        <w:t xml:space="preserve"> the offender to put something back into the community</w:t>
      </w:r>
      <w:r w:rsidR="008D79A6" w:rsidRPr="001101B3">
        <w:rPr>
          <w:sz w:val="28"/>
          <w:szCs w:val="28"/>
        </w:rPr>
        <w:t>.</w:t>
      </w:r>
    </w:p>
    <w:p w14:paraId="0EEC0008" w14:textId="3F81E65E" w:rsidR="003C2CDA" w:rsidRPr="001101B3" w:rsidRDefault="00BB5183" w:rsidP="006C4CFC">
      <w:pPr>
        <w:spacing w:after="200" w:line="276" w:lineRule="auto"/>
        <w:rPr>
          <w:sz w:val="28"/>
          <w:szCs w:val="28"/>
        </w:rPr>
      </w:pPr>
      <w:r w:rsidRPr="001101B3">
        <w:rPr>
          <w:sz w:val="28"/>
          <w:szCs w:val="28"/>
        </w:rPr>
        <w:t>These have</w:t>
      </w:r>
      <w:r w:rsidR="007E0304" w:rsidRPr="001101B3">
        <w:rPr>
          <w:sz w:val="28"/>
          <w:szCs w:val="28"/>
        </w:rPr>
        <w:t xml:space="preserve"> a strong rehabilitative function</w:t>
      </w:r>
      <w:r w:rsidR="005D2553" w:rsidRPr="001101B3">
        <w:rPr>
          <w:sz w:val="28"/>
          <w:szCs w:val="28"/>
        </w:rPr>
        <w:t>.</w:t>
      </w:r>
    </w:p>
    <w:p w14:paraId="6A26D442" w14:textId="1B876687" w:rsidR="00BB5183" w:rsidRPr="001101B3" w:rsidRDefault="00BB5183" w:rsidP="00655D72">
      <w:pPr>
        <w:pStyle w:val="ListParagraph"/>
        <w:widowControl/>
        <w:numPr>
          <w:ilvl w:val="3"/>
          <w:numId w:val="39"/>
        </w:numPr>
        <w:spacing w:after="200" w:line="276" w:lineRule="auto"/>
        <w:rPr>
          <w:b/>
          <w:sz w:val="28"/>
          <w:szCs w:val="28"/>
        </w:rPr>
      </w:pPr>
      <w:r w:rsidRPr="001101B3">
        <w:rPr>
          <w:b/>
          <w:sz w:val="28"/>
          <w:szCs w:val="28"/>
        </w:rPr>
        <w:t>Type</w:t>
      </w:r>
      <w:r w:rsidR="008D79A6" w:rsidRPr="001101B3">
        <w:rPr>
          <w:b/>
          <w:sz w:val="28"/>
          <w:szCs w:val="28"/>
        </w:rPr>
        <w:t>s</w:t>
      </w:r>
      <w:r w:rsidRPr="001101B3">
        <w:rPr>
          <w:b/>
          <w:sz w:val="28"/>
          <w:szCs w:val="28"/>
        </w:rPr>
        <w:t xml:space="preserve"> of offender</w:t>
      </w:r>
      <w:r w:rsidR="008D79A6" w:rsidRPr="001101B3">
        <w:rPr>
          <w:b/>
          <w:sz w:val="28"/>
          <w:szCs w:val="28"/>
        </w:rPr>
        <w:t>s</w:t>
      </w:r>
    </w:p>
    <w:p w14:paraId="6EA9C4E3" w14:textId="3ABE27E1" w:rsidR="00F45DBC" w:rsidRPr="001101B3" w:rsidRDefault="00E450BF" w:rsidP="00AF312B">
      <w:pPr>
        <w:widowControl/>
        <w:spacing w:after="200" w:line="276" w:lineRule="auto"/>
        <w:rPr>
          <w:sz w:val="28"/>
          <w:szCs w:val="28"/>
        </w:rPr>
      </w:pPr>
      <w:r w:rsidRPr="001101B3">
        <w:rPr>
          <w:sz w:val="28"/>
          <w:szCs w:val="28"/>
        </w:rPr>
        <w:t>Generally, t</w:t>
      </w:r>
      <w:r w:rsidR="00BB5183" w:rsidRPr="001101B3">
        <w:rPr>
          <w:sz w:val="28"/>
          <w:szCs w:val="28"/>
        </w:rPr>
        <w:t xml:space="preserve">he type of offender who </w:t>
      </w:r>
      <w:r w:rsidR="006F7FA2" w:rsidRPr="001101B3">
        <w:rPr>
          <w:sz w:val="28"/>
          <w:szCs w:val="28"/>
        </w:rPr>
        <w:t>is</w:t>
      </w:r>
      <w:r w:rsidR="008D79A6" w:rsidRPr="001101B3">
        <w:rPr>
          <w:sz w:val="28"/>
          <w:szCs w:val="28"/>
        </w:rPr>
        <w:t xml:space="preserve"> </w:t>
      </w:r>
      <w:r w:rsidR="00BB5183" w:rsidRPr="001101B3">
        <w:rPr>
          <w:sz w:val="28"/>
          <w:szCs w:val="28"/>
        </w:rPr>
        <w:t>suitable for this type of order is one who:</w:t>
      </w:r>
    </w:p>
    <w:p w14:paraId="01F31B4D" w14:textId="5069B2EC" w:rsidR="008D3B01" w:rsidRPr="001101B3" w:rsidRDefault="00633C1B" w:rsidP="008D3B01">
      <w:pPr>
        <w:pStyle w:val="ListParagraph"/>
        <w:numPr>
          <w:ilvl w:val="0"/>
          <w:numId w:val="34"/>
        </w:numPr>
        <w:jc w:val="both"/>
        <w:rPr>
          <w:sz w:val="28"/>
          <w:szCs w:val="28"/>
        </w:rPr>
      </w:pPr>
      <w:r w:rsidRPr="001101B3">
        <w:rPr>
          <w:sz w:val="28"/>
          <w:szCs w:val="28"/>
        </w:rPr>
        <w:t>I</w:t>
      </w:r>
      <w:r w:rsidR="004B2D04" w:rsidRPr="001101B3">
        <w:rPr>
          <w:sz w:val="28"/>
          <w:szCs w:val="28"/>
        </w:rPr>
        <w:t xml:space="preserve">s </w:t>
      </w:r>
      <w:r w:rsidR="008D79A6" w:rsidRPr="001101B3">
        <w:rPr>
          <w:sz w:val="28"/>
          <w:szCs w:val="28"/>
        </w:rPr>
        <w:t>a</w:t>
      </w:r>
      <w:r w:rsidR="00BB5183" w:rsidRPr="001101B3">
        <w:rPr>
          <w:sz w:val="28"/>
          <w:szCs w:val="28"/>
        </w:rPr>
        <w:t xml:space="preserve"> </w:t>
      </w:r>
      <w:r w:rsidR="007E0304" w:rsidRPr="001101B3">
        <w:rPr>
          <w:sz w:val="28"/>
          <w:szCs w:val="28"/>
        </w:rPr>
        <w:t xml:space="preserve">1st offender or </w:t>
      </w:r>
      <w:r w:rsidR="004B2D04" w:rsidRPr="001101B3">
        <w:rPr>
          <w:sz w:val="28"/>
          <w:szCs w:val="28"/>
        </w:rPr>
        <w:t>has</w:t>
      </w:r>
      <w:r w:rsidR="007E0304" w:rsidRPr="001101B3">
        <w:rPr>
          <w:sz w:val="28"/>
          <w:szCs w:val="28"/>
        </w:rPr>
        <w:t xml:space="preserve"> a ‘light’ criminal record</w:t>
      </w:r>
      <w:r w:rsidR="007A7384" w:rsidRPr="001101B3">
        <w:rPr>
          <w:sz w:val="28"/>
          <w:szCs w:val="28"/>
        </w:rPr>
        <w:t>.</w:t>
      </w:r>
    </w:p>
    <w:p w14:paraId="666AFC90" w14:textId="0201E819" w:rsidR="008D3B01" w:rsidRPr="001101B3" w:rsidRDefault="00633C1B" w:rsidP="008D3B01">
      <w:pPr>
        <w:pStyle w:val="ListParagraph"/>
        <w:numPr>
          <w:ilvl w:val="0"/>
          <w:numId w:val="34"/>
        </w:numPr>
        <w:jc w:val="both"/>
        <w:rPr>
          <w:sz w:val="28"/>
          <w:szCs w:val="28"/>
        </w:rPr>
      </w:pPr>
      <w:r w:rsidRPr="001101B3">
        <w:rPr>
          <w:sz w:val="28"/>
          <w:szCs w:val="28"/>
        </w:rPr>
        <w:t>H</w:t>
      </w:r>
      <w:r w:rsidR="008D79A6" w:rsidRPr="001101B3">
        <w:rPr>
          <w:sz w:val="28"/>
          <w:szCs w:val="28"/>
        </w:rPr>
        <w:t>as</w:t>
      </w:r>
      <w:r w:rsidR="007E0304" w:rsidRPr="001101B3">
        <w:rPr>
          <w:sz w:val="28"/>
          <w:szCs w:val="28"/>
        </w:rPr>
        <w:t xml:space="preserve"> a stable background or family</w:t>
      </w:r>
      <w:r w:rsidR="008449DA" w:rsidRPr="001101B3">
        <w:rPr>
          <w:sz w:val="28"/>
          <w:szCs w:val="28"/>
        </w:rPr>
        <w:t xml:space="preserve"> </w:t>
      </w:r>
      <w:proofErr w:type="gramStart"/>
      <w:r w:rsidR="008449DA" w:rsidRPr="001101B3">
        <w:rPr>
          <w:sz w:val="28"/>
          <w:szCs w:val="28"/>
        </w:rPr>
        <w:t>life</w:t>
      </w:r>
      <w:r w:rsidR="007A7384" w:rsidRPr="001101B3">
        <w:rPr>
          <w:sz w:val="28"/>
          <w:szCs w:val="28"/>
        </w:rPr>
        <w:t>.</w:t>
      </w:r>
      <w:proofErr w:type="gramEnd"/>
    </w:p>
    <w:p w14:paraId="316804DF" w14:textId="1E31AAD3" w:rsidR="008D3B01" w:rsidRPr="001101B3" w:rsidRDefault="00633C1B" w:rsidP="008D3B01">
      <w:pPr>
        <w:pStyle w:val="ListParagraph"/>
        <w:numPr>
          <w:ilvl w:val="0"/>
          <w:numId w:val="34"/>
        </w:numPr>
        <w:jc w:val="both"/>
        <w:rPr>
          <w:sz w:val="28"/>
          <w:szCs w:val="28"/>
        </w:rPr>
      </w:pPr>
      <w:r w:rsidRPr="001101B3">
        <w:rPr>
          <w:sz w:val="28"/>
          <w:szCs w:val="28"/>
        </w:rPr>
        <w:t>P</w:t>
      </w:r>
      <w:r w:rsidR="007E0304" w:rsidRPr="001101B3">
        <w:rPr>
          <w:sz w:val="28"/>
          <w:szCs w:val="28"/>
        </w:rPr>
        <w:t>ossesses a good work record</w:t>
      </w:r>
      <w:r w:rsidR="007A7384" w:rsidRPr="001101B3">
        <w:rPr>
          <w:sz w:val="28"/>
          <w:szCs w:val="28"/>
        </w:rPr>
        <w:t>.</w:t>
      </w:r>
    </w:p>
    <w:p w14:paraId="7E8FA058" w14:textId="72732CC7" w:rsidR="008D3B01" w:rsidRPr="001101B3" w:rsidRDefault="00D93FE9" w:rsidP="008D3B01">
      <w:pPr>
        <w:pStyle w:val="ListParagraph"/>
        <w:numPr>
          <w:ilvl w:val="0"/>
          <w:numId w:val="34"/>
        </w:numPr>
        <w:jc w:val="both"/>
        <w:rPr>
          <w:sz w:val="28"/>
          <w:szCs w:val="28"/>
        </w:rPr>
      </w:pPr>
      <w:r w:rsidRPr="001101B3">
        <w:rPr>
          <w:sz w:val="28"/>
          <w:szCs w:val="28"/>
        </w:rPr>
        <w:t>Either is</w:t>
      </w:r>
      <w:r w:rsidR="007E0304" w:rsidRPr="001101B3">
        <w:rPr>
          <w:sz w:val="28"/>
          <w:szCs w:val="28"/>
        </w:rPr>
        <w:t xml:space="preserve"> in employment or has some chance</w:t>
      </w:r>
      <w:r w:rsidR="004B2D04" w:rsidRPr="001101B3">
        <w:rPr>
          <w:sz w:val="28"/>
          <w:szCs w:val="28"/>
        </w:rPr>
        <w:t>s</w:t>
      </w:r>
      <w:r w:rsidR="007E0304" w:rsidRPr="001101B3">
        <w:rPr>
          <w:sz w:val="28"/>
          <w:szCs w:val="28"/>
        </w:rPr>
        <w:t xml:space="preserve"> of obtaining it</w:t>
      </w:r>
      <w:r w:rsidR="007A7384" w:rsidRPr="001101B3">
        <w:rPr>
          <w:sz w:val="28"/>
          <w:szCs w:val="28"/>
        </w:rPr>
        <w:t>.</w:t>
      </w:r>
    </w:p>
    <w:p w14:paraId="67075F28" w14:textId="5AFDEA6F" w:rsidR="008D3B01" w:rsidRPr="001101B3" w:rsidRDefault="00633C1B" w:rsidP="008D3B01">
      <w:pPr>
        <w:pStyle w:val="ListParagraph"/>
        <w:numPr>
          <w:ilvl w:val="0"/>
          <w:numId w:val="34"/>
        </w:numPr>
        <w:jc w:val="both"/>
        <w:rPr>
          <w:sz w:val="28"/>
          <w:szCs w:val="28"/>
        </w:rPr>
      </w:pPr>
      <w:r w:rsidRPr="001101B3">
        <w:rPr>
          <w:sz w:val="28"/>
          <w:szCs w:val="28"/>
        </w:rPr>
        <w:t>H</w:t>
      </w:r>
      <w:r w:rsidR="007E0304" w:rsidRPr="001101B3">
        <w:rPr>
          <w:sz w:val="28"/>
          <w:szCs w:val="28"/>
        </w:rPr>
        <w:t>as a demonstrated genuine remorse</w:t>
      </w:r>
      <w:r w:rsidR="00B7229F" w:rsidRPr="001101B3">
        <w:rPr>
          <w:sz w:val="28"/>
          <w:szCs w:val="28"/>
        </w:rPr>
        <w:t>; and</w:t>
      </w:r>
    </w:p>
    <w:p w14:paraId="7BA13B43" w14:textId="77777777" w:rsidR="00E450BF" w:rsidRPr="001101B3" w:rsidRDefault="00633C1B" w:rsidP="008D3B01">
      <w:pPr>
        <w:pStyle w:val="ListParagraph"/>
        <w:numPr>
          <w:ilvl w:val="0"/>
          <w:numId w:val="34"/>
        </w:numPr>
        <w:jc w:val="both"/>
        <w:rPr>
          <w:sz w:val="28"/>
          <w:szCs w:val="28"/>
        </w:rPr>
      </w:pPr>
      <w:r w:rsidRPr="001101B3">
        <w:rPr>
          <w:sz w:val="28"/>
          <w:szCs w:val="28"/>
        </w:rPr>
        <w:t>O</w:t>
      </w:r>
      <w:r w:rsidR="007E0304" w:rsidRPr="001101B3">
        <w:rPr>
          <w:sz w:val="28"/>
          <w:szCs w:val="28"/>
        </w:rPr>
        <w:t>nly has at most a slight risk of re-offending.</w:t>
      </w:r>
    </w:p>
    <w:p w14:paraId="20DA5FDE" w14:textId="0CCD29A0" w:rsidR="00BC4780" w:rsidRPr="001101B3" w:rsidRDefault="00E450BF" w:rsidP="002643C3">
      <w:pPr>
        <w:pStyle w:val="ListParagraph"/>
        <w:numPr>
          <w:ilvl w:val="0"/>
          <w:numId w:val="34"/>
        </w:numPr>
        <w:rPr>
          <w:sz w:val="28"/>
          <w:szCs w:val="28"/>
        </w:rPr>
      </w:pPr>
      <w:r w:rsidRPr="001101B3">
        <w:rPr>
          <w:sz w:val="28"/>
          <w:szCs w:val="28"/>
        </w:rPr>
        <w:lastRenderedPageBreak/>
        <w:t>It tends to apply to less serious offences.</w:t>
      </w:r>
      <w:r w:rsidRPr="001101B3">
        <w:rPr>
          <w:rStyle w:val="FootnoteReference"/>
          <w:sz w:val="28"/>
          <w:szCs w:val="28"/>
        </w:rPr>
        <w:footnoteReference w:id="41"/>
      </w:r>
    </w:p>
    <w:p w14:paraId="1B0308B3" w14:textId="77777777" w:rsidR="007E0304" w:rsidRPr="001101B3" w:rsidRDefault="007E0304" w:rsidP="007E0304">
      <w:pPr>
        <w:rPr>
          <w:b/>
          <w:sz w:val="28"/>
          <w:szCs w:val="28"/>
        </w:rPr>
      </w:pPr>
    </w:p>
    <w:p w14:paraId="5E717A44" w14:textId="6821EE3B" w:rsidR="007E0304" w:rsidRPr="001101B3" w:rsidRDefault="00C73002" w:rsidP="007E0304">
      <w:pPr>
        <w:rPr>
          <w:b/>
          <w:sz w:val="28"/>
          <w:szCs w:val="28"/>
        </w:rPr>
      </w:pPr>
      <w:r w:rsidRPr="001101B3">
        <w:rPr>
          <w:b/>
          <w:sz w:val="28"/>
          <w:szCs w:val="28"/>
        </w:rPr>
        <w:t>9</w:t>
      </w:r>
      <w:r w:rsidR="007E0304" w:rsidRPr="001101B3">
        <w:rPr>
          <w:b/>
          <w:sz w:val="28"/>
          <w:szCs w:val="28"/>
        </w:rPr>
        <w:t>.11 Other non-custodial sentences</w:t>
      </w:r>
    </w:p>
    <w:p w14:paraId="426C683B" w14:textId="77777777" w:rsidR="00367CC4" w:rsidRPr="001101B3" w:rsidRDefault="00367CC4" w:rsidP="007E0304">
      <w:pPr>
        <w:rPr>
          <w:b/>
          <w:sz w:val="28"/>
          <w:szCs w:val="28"/>
        </w:rPr>
      </w:pPr>
    </w:p>
    <w:p w14:paraId="53E77DFE" w14:textId="3ECD5B1E" w:rsidR="007E0304" w:rsidRPr="001101B3" w:rsidRDefault="007E0304" w:rsidP="007E0304">
      <w:pPr>
        <w:numPr>
          <w:ilvl w:val="0"/>
          <w:numId w:val="18"/>
        </w:numPr>
        <w:rPr>
          <w:sz w:val="28"/>
          <w:szCs w:val="28"/>
        </w:rPr>
      </w:pPr>
      <w:r w:rsidRPr="001101B3">
        <w:rPr>
          <w:sz w:val="28"/>
          <w:szCs w:val="28"/>
        </w:rPr>
        <w:t>Fines</w:t>
      </w:r>
    </w:p>
    <w:p w14:paraId="72D95BF4" w14:textId="672D6D6E" w:rsidR="007E0304" w:rsidRPr="001101B3" w:rsidRDefault="007E0304" w:rsidP="007E0304">
      <w:pPr>
        <w:numPr>
          <w:ilvl w:val="0"/>
          <w:numId w:val="18"/>
        </w:numPr>
        <w:rPr>
          <w:sz w:val="28"/>
          <w:szCs w:val="28"/>
        </w:rPr>
      </w:pPr>
      <w:r w:rsidRPr="001101B3">
        <w:rPr>
          <w:sz w:val="28"/>
          <w:szCs w:val="28"/>
        </w:rPr>
        <w:t>Absolute Discharge</w:t>
      </w:r>
    </w:p>
    <w:p w14:paraId="17A981F3" w14:textId="77777777" w:rsidR="007E0304" w:rsidRPr="001101B3" w:rsidRDefault="007E0304" w:rsidP="007E0304">
      <w:pPr>
        <w:numPr>
          <w:ilvl w:val="0"/>
          <w:numId w:val="18"/>
        </w:numPr>
        <w:rPr>
          <w:sz w:val="28"/>
          <w:szCs w:val="28"/>
        </w:rPr>
      </w:pPr>
      <w:r w:rsidRPr="001101B3">
        <w:rPr>
          <w:sz w:val="28"/>
          <w:szCs w:val="28"/>
        </w:rPr>
        <w:t>Conditional Discharge</w:t>
      </w:r>
    </w:p>
    <w:p w14:paraId="5CEB06BD" w14:textId="608959D2" w:rsidR="007E0304" w:rsidRPr="001101B3" w:rsidRDefault="007E0304" w:rsidP="007E0304">
      <w:pPr>
        <w:numPr>
          <w:ilvl w:val="0"/>
          <w:numId w:val="18"/>
        </w:numPr>
        <w:rPr>
          <w:sz w:val="28"/>
          <w:szCs w:val="28"/>
        </w:rPr>
      </w:pPr>
      <w:r w:rsidRPr="001101B3">
        <w:rPr>
          <w:sz w:val="28"/>
          <w:szCs w:val="28"/>
        </w:rPr>
        <w:t>Probation</w:t>
      </w:r>
      <w:r w:rsidR="00E83DA7" w:rsidRPr="001101B3">
        <w:rPr>
          <w:sz w:val="28"/>
          <w:szCs w:val="28"/>
        </w:rPr>
        <w:t>.</w:t>
      </w:r>
    </w:p>
    <w:p w14:paraId="3F6E7B18" w14:textId="683A16B5" w:rsidR="007E0304" w:rsidRPr="001101B3" w:rsidRDefault="007E0304" w:rsidP="007E0304">
      <w:pPr>
        <w:rPr>
          <w:i/>
          <w:sz w:val="28"/>
          <w:szCs w:val="28"/>
        </w:rPr>
      </w:pPr>
    </w:p>
    <w:p w14:paraId="0C7519EB" w14:textId="78BD3787" w:rsidR="007E0304" w:rsidRPr="001101B3" w:rsidRDefault="00C73002" w:rsidP="007E0304">
      <w:pPr>
        <w:rPr>
          <w:b/>
          <w:sz w:val="28"/>
          <w:szCs w:val="28"/>
        </w:rPr>
      </w:pPr>
      <w:r w:rsidRPr="001101B3">
        <w:rPr>
          <w:b/>
          <w:sz w:val="28"/>
          <w:szCs w:val="28"/>
        </w:rPr>
        <w:t>9</w:t>
      </w:r>
      <w:r w:rsidR="007E0304" w:rsidRPr="001101B3">
        <w:rPr>
          <w:b/>
          <w:sz w:val="28"/>
          <w:szCs w:val="28"/>
        </w:rPr>
        <w:t>.11.1 Fines</w:t>
      </w:r>
    </w:p>
    <w:p w14:paraId="037009D1" w14:textId="77777777" w:rsidR="007E0304" w:rsidRPr="001101B3" w:rsidRDefault="007E0304" w:rsidP="007E0304">
      <w:pPr>
        <w:rPr>
          <w:b/>
          <w:sz w:val="28"/>
          <w:szCs w:val="28"/>
        </w:rPr>
      </w:pPr>
    </w:p>
    <w:p w14:paraId="7C35484D" w14:textId="786CD7FA" w:rsidR="007E0304" w:rsidRPr="001101B3" w:rsidRDefault="007E0304" w:rsidP="007E0304">
      <w:pPr>
        <w:rPr>
          <w:sz w:val="28"/>
          <w:szCs w:val="28"/>
        </w:rPr>
      </w:pPr>
      <w:r w:rsidRPr="001101B3">
        <w:rPr>
          <w:sz w:val="28"/>
          <w:szCs w:val="28"/>
        </w:rPr>
        <w:t>This involves a monetary penalty. The amount will depend on the seriousness of the offence and the ability of the offender to pay that fine. Fines must not go beyond the means of the offender.  Also</w:t>
      </w:r>
      <w:r w:rsidR="00D93FE9" w:rsidRPr="001101B3">
        <w:rPr>
          <w:sz w:val="28"/>
          <w:szCs w:val="28"/>
        </w:rPr>
        <w:t>,</w:t>
      </w:r>
      <w:r w:rsidRPr="001101B3">
        <w:rPr>
          <w:sz w:val="28"/>
          <w:szCs w:val="28"/>
        </w:rPr>
        <w:t xml:space="preserve"> fines should not operate as a means of allowing a rich offender to buy their way out of jail.  The rationale of fining is for it to operate as an effective general deterrent.</w:t>
      </w:r>
      <w:r w:rsidR="00ED0931" w:rsidRPr="001101B3">
        <w:rPr>
          <w:sz w:val="28"/>
          <w:szCs w:val="28"/>
        </w:rPr>
        <w:t xml:space="preserve"> This would be suitable in a case of an offence of theft (such as shoplifting) where the offender had no prior record.</w:t>
      </w:r>
    </w:p>
    <w:p w14:paraId="2323A6B7" w14:textId="77777777" w:rsidR="002705C7" w:rsidRPr="001101B3" w:rsidRDefault="002705C7" w:rsidP="007E0304">
      <w:pPr>
        <w:rPr>
          <w:b/>
          <w:sz w:val="28"/>
          <w:szCs w:val="28"/>
        </w:rPr>
      </w:pPr>
    </w:p>
    <w:p w14:paraId="29BF6DF5" w14:textId="0E083E0B" w:rsidR="007E0304" w:rsidRPr="001101B3" w:rsidRDefault="00C73002" w:rsidP="007E0304">
      <w:pPr>
        <w:rPr>
          <w:b/>
          <w:sz w:val="28"/>
          <w:szCs w:val="28"/>
        </w:rPr>
      </w:pPr>
      <w:r w:rsidRPr="001101B3">
        <w:rPr>
          <w:b/>
          <w:sz w:val="28"/>
          <w:szCs w:val="28"/>
        </w:rPr>
        <w:t>9</w:t>
      </w:r>
      <w:r w:rsidR="007E0304" w:rsidRPr="001101B3">
        <w:rPr>
          <w:b/>
          <w:sz w:val="28"/>
          <w:szCs w:val="28"/>
        </w:rPr>
        <w:t>.11.2 Discharge</w:t>
      </w:r>
    </w:p>
    <w:p w14:paraId="2FEA21AD" w14:textId="77777777" w:rsidR="007E0304" w:rsidRPr="001101B3" w:rsidRDefault="007E0304" w:rsidP="007E0304">
      <w:pPr>
        <w:rPr>
          <w:b/>
          <w:sz w:val="28"/>
          <w:szCs w:val="28"/>
        </w:rPr>
      </w:pPr>
    </w:p>
    <w:p w14:paraId="441AC33D" w14:textId="6D40D32E" w:rsidR="007E0304" w:rsidRPr="001101B3" w:rsidRDefault="00C73002" w:rsidP="007E0304">
      <w:pPr>
        <w:rPr>
          <w:sz w:val="28"/>
          <w:szCs w:val="28"/>
        </w:rPr>
      </w:pPr>
      <w:r w:rsidRPr="001101B3">
        <w:rPr>
          <w:b/>
          <w:sz w:val="28"/>
          <w:szCs w:val="28"/>
        </w:rPr>
        <w:t>9</w:t>
      </w:r>
      <w:r w:rsidR="007E0304" w:rsidRPr="001101B3">
        <w:rPr>
          <w:b/>
          <w:sz w:val="28"/>
          <w:szCs w:val="28"/>
        </w:rPr>
        <w:t>.11.2.1 Absolute discharge</w:t>
      </w:r>
      <w:r w:rsidR="007E0304" w:rsidRPr="001101B3">
        <w:rPr>
          <w:rStyle w:val="FootnoteReference"/>
          <w:sz w:val="28"/>
          <w:szCs w:val="28"/>
        </w:rPr>
        <w:footnoteReference w:id="42"/>
      </w:r>
    </w:p>
    <w:p w14:paraId="51C0C962" w14:textId="77777777" w:rsidR="007E0304" w:rsidRPr="001101B3" w:rsidRDefault="007E0304" w:rsidP="007E0304">
      <w:pPr>
        <w:rPr>
          <w:b/>
          <w:sz w:val="28"/>
          <w:szCs w:val="28"/>
        </w:rPr>
      </w:pPr>
    </w:p>
    <w:p w14:paraId="6BFAA6B7" w14:textId="20B19612" w:rsidR="007E0304" w:rsidRPr="001101B3" w:rsidRDefault="007E0304" w:rsidP="007E0304">
      <w:pPr>
        <w:rPr>
          <w:sz w:val="28"/>
          <w:szCs w:val="28"/>
        </w:rPr>
      </w:pPr>
      <w:r w:rsidRPr="001101B3">
        <w:rPr>
          <w:sz w:val="28"/>
          <w:szCs w:val="28"/>
        </w:rPr>
        <w:t>Here the appearance in court is considered enough punishment.  It is rarely used as it is regarded as too much ‘of a slap on the wrist’. It might be applied to a:</w:t>
      </w:r>
    </w:p>
    <w:p w14:paraId="09DAACD3" w14:textId="2F893038" w:rsidR="007E0304" w:rsidRPr="001101B3" w:rsidRDefault="007E0304" w:rsidP="007E0304">
      <w:pPr>
        <w:pStyle w:val="ListParagraph"/>
        <w:widowControl/>
        <w:numPr>
          <w:ilvl w:val="0"/>
          <w:numId w:val="19"/>
        </w:numPr>
        <w:spacing w:after="200" w:line="276" w:lineRule="auto"/>
        <w:rPr>
          <w:sz w:val="28"/>
          <w:szCs w:val="28"/>
        </w:rPr>
      </w:pPr>
      <w:r w:rsidRPr="001101B3">
        <w:rPr>
          <w:sz w:val="28"/>
          <w:szCs w:val="28"/>
        </w:rPr>
        <w:t>‘</w:t>
      </w:r>
      <w:r w:rsidR="00633C1B" w:rsidRPr="001101B3">
        <w:rPr>
          <w:sz w:val="28"/>
          <w:szCs w:val="28"/>
        </w:rPr>
        <w:t>T</w:t>
      </w:r>
      <w:r w:rsidRPr="001101B3">
        <w:rPr>
          <w:sz w:val="28"/>
          <w:szCs w:val="28"/>
        </w:rPr>
        <w:t>rivial offence’</w:t>
      </w:r>
    </w:p>
    <w:p w14:paraId="46D8CC4C" w14:textId="22394A51" w:rsidR="006F7FA2" w:rsidRPr="001101B3" w:rsidRDefault="00633C1B" w:rsidP="002643C3">
      <w:pPr>
        <w:pStyle w:val="ListParagraph"/>
        <w:widowControl/>
        <w:numPr>
          <w:ilvl w:val="0"/>
          <w:numId w:val="19"/>
        </w:numPr>
        <w:spacing w:after="200" w:line="276" w:lineRule="auto"/>
        <w:rPr>
          <w:sz w:val="28"/>
          <w:szCs w:val="28"/>
        </w:rPr>
      </w:pPr>
      <w:r w:rsidRPr="001101B3">
        <w:rPr>
          <w:sz w:val="28"/>
          <w:szCs w:val="28"/>
        </w:rPr>
        <w:t>V</w:t>
      </w:r>
      <w:r w:rsidR="007E0304" w:rsidRPr="001101B3">
        <w:rPr>
          <w:sz w:val="28"/>
          <w:szCs w:val="28"/>
        </w:rPr>
        <w:t xml:space="preserve">ery old offender with </w:t>
      </w:r>
      <w:r w:rsidR="00B7229F" w:rsidRPr="001101B3">
        <w:rPr>
          <w:sz w:val="28"/>
          <w:szCs w:val="28"/>
        </w:rPr>
        <w:t xml:space="preserve">no criminal conviction record </w:t>
      </w:r>
      <w:r w:rsidR="007E0304" w:rsidRPr="001101B3">
        <w:rPr>
          <w:sz w:val="28"/>
          <w:szCs w:val="28"/>
        </w:rPr>
        <w:t>and charged with a less serious offence.</w:t>
      </w:r>
    </w:p>
    <w:p w14:paraId="11188D3F" w14:textId="6AF28BD6" w:rsidR="007E0304" w:rsidRPr="001101B3" w:rsidRDefault="00C73002" w:rsidP="007E0304">
      <w:pPr>
        <w:rPr>
          <w:b/>
          <w:sz w:val="28"/>
          <w:szCs w:val="28"/>
        </w:rPr>
      </w:pPr>
      <w:r w:rsidRPr="001101B3">
        <w:rPr>
          <w:b/>
          <w:sz w:val="28"/>
          <w:szCs w:val="28"/>
        </w:rPr>
        <w:t>9</w:t>
      </w:r>
      <w:r w:rsidR="007E0304" w:rsidRPr="001101B3">
        <w:rPr>
          <w:b/>
          <w:sz w:val="28"/>
          <w:szCs w:val="28"/>
        </w:rPr>
        <w:t>.11.2.2 Conditional discharge</w:t>
      </w:r>
      <w:r w:rsidR="00F16087" w:rsidRPr="001101B3">
        <w:rPr>
          <w:rStyle w:val="FootnoteReference"/>
          <w:sz w:val="28"/>
          <w:szCs w:val="28"/>
        </w:rPr>
        <w:footnoteReference w:id="43"/>
      </w:r>
    </w:p>
    <w:p w14:paraId="75EF7749" w14:textId="77777777" w:rsidR="007E0304" w:rsidRPr="001101B3" w:rsidRDefault="007E0304" w:rsidP="007E0304">
      <w:pPr>
        <w:rPr>
          <w:b/>
          <w:sz w:val="28"/>
          <w:szCs w:val="28"/>
        </w:rPr>
      </w:pPr>
    </w:p>
    <w:p w14:paraId="7EC01DB5" w14:textId="5C1DC091" w:rsidR="002705C7" w:rsidRPr="001101B3" w:rsidRDefault="00D93FE9" w:rsidP="007E0304">
      <w:pPr>
        <w:rPr>
          <w:sz w:val="28"/>
          <w:szCs w:val="28"/>
        </w:rPr>
      </w:pPr>
      <w:r w:rsidRPr="001101B3">
        <w:rPr>
          <w:sz w:val="28"/>
          <w:szCs w:val="28"/>
        </w:rPr>
        <w:t>E.g.,</w:t>
      </w:r>
      <w:r w:rsidR="007E0304" w:rsidRPr="001101B3">
        <w:rPr>
          <w:sz w:val="28"/>
          <w:szCs w:val="28"/>
        </w:rPr>
        <w:t xml:space="preserve"> </w:t>
      </w:r>
      <w:r w:rsidR="00A4065C" w:rsidRPr="001101B3">
        <w:rPr>
          <w:sz w:val="28"/>
          <w:szCs w:val="28"/>
        </w:rPr>
        <w:t xml:space="preserve">a </w:t>
      </w:r>
      <w:r w:rsidR="007E0304" w:rsidRPr="001101B3">
        <w:rPr>
          <w:sz w:val="28"/>
          <w:szCs w:val="28"/>
        </w:rPr>
        <w:t>discharge with</w:t>
      </w:r>
      <w:r w:rsidR="00A4065C" w:rsidRPr="001101B3">
        <w:rPr>
          <w:sz w:val="28"/>
          <w:szCs w:val="28"/>
        </w:rPr>
        <w:t xml:space="preserve"> a</w:t>
      </w:r>
      <w:r w:rsidR="007E0304" w:rsidRPr="001101B3">
        <w:rPr>
          <w:sz w:val="28"/>
          <w:szCs w:val="28"/>
        </w:rPr>
        <w:t xml:space="preserve"> good </w:t>
      </w:r>
      <w:proofErr w:type="spellStart"/>
      <w:r w:rsidR="007E0304" w:rsidRPr="001101B3">
        <w:rPr>
          <w:sz w:val="28"/>
          <w:szCs w:val="28"/>
        </w:rPr>
        <w:t>behavio</w:t>
      </w:r>
      <w:r w:rsidR="00B7229F" w:rsidRPr="001101B3">
        <w:rPr>
          <w:sz w:val="28"/>
          <w:szCs w:val="28"/>
        </w:rPr>
        <w:t>u</w:t>
      </w:r>
      <w:r w:rsidR="007E0304" w:rsidRPr="001101B3">
        <w:rPr>
          <w:sz w:val="28"/>
          <w:szCs w:val="28"/>
        </w:rPr>
        <w:t>r</w:t>
      </w:r>
      <w:proofErr w:type="spellEnd"/>
      <w:r w:rsidR="007E0304" w:rsidRPr="001101B3">
        <w:rPr>
          <w:sz w:val="28"/>
          <w:szCs w:val="28"/>
        </w:rPr>
        <w:t xml:space="preserve"> bond</w:t>
      </w:r>
      <w:r w:rsidRPr="001101B3">
        <w:rPr>
          <w:sz w:val="28"/>
          <w:szCs w:val="28"/>
        </w:rPr>
        <w:t>,</w:t>
      </w:r>
      <w:r w:rsidR="00A4065C" w:rsidRPr="001101B3">
        <w:rPr>
          <w:sz w:val="28"/>
          <w:szCs w:val="28"/>
        </w:rPr>
        <w:t xml:space="preserve"> </w:t>
      </w:r>
      <w:r w:rsidR="000A3455" w:rsidRPr="001101B3">
        <w:rPr>
          <w:sz w:val="28"/>
          <w:szCs w:val="28"/>
        </w:rPr>
        <w:t>w</w:t>
      </w:r>
      <w:r w:rsidR="007E0304" w:rsidRPr="001101B3">
        <w:rPr>
          <w:sz w:val="28"/>
          <w:szCs w:val="28"/>
        </w:rPr>
        <w:t>here the court does not consider any immediate punishment is needed.  It operates as a warning to keep out of trouble.</w:t>
      </w:r>
    </w:p>
    <w:p w14:paraId="7C716F09" w14:textId="77777777" w:rsidR="00EA1A7A" w:rsidRPr="001101B3" w:rsidRDefault="00EA1A7A" w:rsidP="007E0304">
      <w:pPr>
        <w:rPr>
          <w:sz w:val="28"/>
          <w:szCs w:val="28"/>
        </w:rPr>
      </w:pPr>
    </w:p>
    <w:p w14:paraId="0F3ED688" w14:textId="77777777" w:rsidR="00296AE9" w:rsidRPr="001101B3" w:rsidRDefault="00296AE9" w:rsidP="007E0304">
      <w:pPr>
        <w:rPr>
          <w:b/>
          <w:sz w:val="28"/>
          <w:szCs w:val="28"/>
        </w:rPr>
      </w:pPr>
    </w:p>
    <w:p w14:paraId="71B317CB" w14:textId="75EB81F5" w:rsidR="007E0304" w:rsidRPr="001101B3" w:rsidRDefault="00C73002" w:rsidP="007E0304">
      <w:pPr>
        <w:rPr>
          <w:b/>
          <w:sz w:val="28"/>
          <w:szCs w:val="28"/>
        </w:rPr>
      </w:pPr>
      <w:r w:rsidRPr="001101B3">
        <w:rPr>
          <w:b/>
          <w:sz w:val="28"/>
          <w:szCs w:val="28"/>
        </w:rPr>
        <w:lastRenderedPageBreak/>
        <w:t>9</w:t>
      </w:r>
      <w:r w:rsidR="007E0304" w:rsidRPr="001101B3">
        <w:rPr>
          <w:b/>
          <w:sz w:val="28"/>
          <w:szCs w:val="28"/>
        </w:rPr>
        <w:t>.12 Probation</w:t>
      </w:r>
      <w:r w:rsidR="007E0304" w:rsidRPr="001101B3">
        <w:rPr>
          <w:rStyle w:val="FootnoteReference"/>
          <w:sz w:val="28"/>
          <w:szCs w:val="28"/>
        </w:rPr>
        <w:footnoteReference w:id="44"/>
      </w:r>
    </w:p>
    <w:p w14:paraId="7EA4CCDD" w14:textId="77777777" w:rsidR="007E0304" w:rsidRPr="001101B3" w:rsidRDefault="007E0304" w:rsidP="007E0304">
      <w:pPr>
        <w:rPr>
          <w:sz w:val="28"/>
          <w:szCs w:val="28"/>
        </w:rPr>
      </w:pPr>
    </w:p>
    <w:p w14:paraId="13543FE3" w14:textId="77777777" w:rsidR="00B05A59" w:rsidRPr="001101B3" w:rsidRDefault="00B05A59" w:rsidP="00B05A59">
      <w:pPr>
        <w:rPr>
          <w:sz w:val="28"/>
          <w:szCs w:val="28"/>
        </w:rPr>
      </w:pPr>
      <w:r w:rsidRPr="001101B3">
        <w:rPr>
          <w:sz w:val="28"/>
          <w:szCs w:val="28"/>
        </w:rPr>
        <w:t>Key points are:</w:t>
      </w:r>
    </w:p>
    <w:p w14:paraId="222395D9" w14:textId="77777777" w:rsidR="00B05A59" w:rsidRPr="001101B3" w:rsidRDefault="00B05A59" w:rsidP="007E0304">
      <w:pPr>
        <w:rPr>
          <w:sz w:val="28"/>
          <w:szCs w:val="28"/>
        </w:rPr>
      </w:pPr>
    </w:p>
    <w:p w14:paraId="4A386A04" w14:textId="4789D41D" w:rsidR="007E0304" w:rsidRPr="001101B3" w:rsidRDefault="00B05A59" w:rsidP="007E0304">
      <w:pPr>
        <w:pStyle w:val="ListParagraph"/>
        <w:widowControl/>
        <w:numPr>
          <w:ilvl w:val="0"/>
          <w:numId w:val="20"/>
        </w:numPr>
        <w:spacing w:after="200" w:line="276" w:lineRule="auto"/>
        <w:rPr>
          <w:sz w:val="28"/>
          <w:szCs w:val="28"/>
        </w:rPr>
      </w:pPr>
      <w:r w:rsidRPr="001101B3">
        <w:rPr>
          <w:sz w:val="28"/>
          <w:szCs w:val="28"/>
        </w:rPr>
        <w:t>The o</w:t>
      </w:r>
      <w:r w:rsidR="007E0304" w:rsidRPr="001101B3">
        <w:rPr>
          <w:sz w:val="28"/>
          <w:szCs w:val="28"/>
        </w:rPr>
        <w:t>ffender must be under supervision of a probation officer for between 1 and 3 years</w:t>
      </w:r>
      <w:r w:rsidR="007A7384" w:rsidRPr="001101B3">
        <w:rPr>
          <w:sz w:val="28"/>
          <w:szCs w:val="28"/>
        </w:rPr>
        <w:t>.</w:t>
      </w:r>
    </w:p>
    <w:p w14:paraId="71480087" w14:textId="0D9B4643" w:rsidR="007E0304" w:rsidRPr="001101B3" w:rsidRDefault="00B05A59" w:rsidP="007E0304">
      <w:pPr>
        <w:pStyle w:val="ListParagraph"/>
        <w:widowControl/>
        <w:numPr>
          <w:ilvl w:val="0"/>
          <w:numId w:val="20"/>
        </w:numPr>
        <w:spacing w:after="200" w:line="276" w:lineRule="auto"/>
        <w:rPr>
          <w:sz w:val="28"/>
          <w:szCs w:val="28"/>
        </w:rPr>
      </w:pPr>
      <w:r w:rsidRPr="001101B3">
        <w:rPr>
          <w:sz w:val="28"/>
          <w:szCs w:val="28"/>
        </w:rPr>
        <w:t>The offender must a</w:t>
      </w:r>
      <w:r w:rsidR="007E0304" w:rsidRPr="001101B3">
        <w:rPr>
          <w:sz w:val="28"/>
          <w:szCs w:val="28"/>
        </w:rPr>
        <w:t>dhere to certain conditions e.g. reside at particular address</w:t>
      </w:r>
      <w:r w:rsidR="007A7384" w:rsidRPr="001101B3">
        <w:rPr>
          <w:sz w:val="28"/>
          <w:szCs w:val="28"/>
        </w:rPr>
        <w:t>.</w:t>
      </w:r>
    </w:p>
    <w:p w14:paraId="72493C84" w14:textId="18E33722" w:rsidR="007E0304" w:rsidRPr="001101B3" w:rsidRDefault="00B05A59" w:rsidP="007E0304">
      <w:pPr>
        <w:pStyle w:val="ListParagraph"/>
        <w:widowControl/>
        <w:numPr>
          <w:ilvl w:val="0"/>
          <w:numId w:val="20"/>
        </w:numPr>
        <w:spacing w:after="200" w:line="276" w:lineRule="auto"/>
        <w:rPr>
          <w:sz w:val="28"/>
          <w:szCs w:val="28"/>
        </w:rPr>
      </w:pPr>
      <w:r w:rsidRPr="001101B3">
        <w:rPr>
          <w:sz w:val="28"/>
          <w:szCs w:val="28"/>
        </w:rPr>
        <w:t>The a</w:t>
      </w:r>
      <w:r w:rsidR="007E0304" w:rsidRPr="001101B3">
        <w:rPr>
          <w:sz w:val="28"/>
          <w:szCs w:val="28"/>
        </w:rPr>
        <w:t>im is to rehabilitate by ensuring good conduct of offender for a given period</w:t>
      </w:r>
      <w:r w:rsidR="007A7384" w:rsidRPr="001101B3">
        <w:rPr>
          <w:sz w:val="28"/>
          <w:szCs w:val="28"/>
        </w:rPr>
        <w:t>.</w:t>
      </w:r>
    </w:p>
    <w:p w14:paraId="7EA38F5B" w14:textId="77777777" w:rsidR="005D2553" w:rsidRPr="001101B3" w:rsidRDefault="00B05A59" w:rsidP="00F9122A">
      <w:pPr>
        <w:pStyle w:val="ListParagraph"/>
        <w:widowControl/>
        <w:numPr>
          <w:ilvl w:val="0"/>
          <w:numId w:val="20"/>
        </w:numPr>
        <w:spacing w:after="200" w:line="276" w:lineRule="auto"/>
        <w:rPr>
          <w:sz w:val="28"/>
          <w:szCs w:val="28"/>
        </w:rPr>
      </w:pPr>
      <w:r w:rsidRPr="001101B3">
        <w:rPr>
          <w:sz w:val="28"/>
          <w:szCs w:val="28"/>
        </w:rPr>
        <w:t>It is r</w:t>
      </w:r>
      <w:r w:rsidR="007E0304" w:rsidRPr="001101B3">
        <w:rPr>
          <w:sz w:val="28"/>
          <w:szCs w:val="28"/>
        </w:rPr>
        <w:t>elevant for less serious offences.</w:t>
      </w:r>
    </w:p>
    <w:p w14:paraId="6EFD8A79" w14:textId="77777777" w:rsidR="007E0304" w:rsidRPr="001101B3" w:rsidRDefault="007E0304" w:rsidP="007E0304">
      <w:pPr>
        <w:widowControl/>
        <w:spacing w:after="200" w:line="276" w:lineRule="auto"/>
        <w:jc w:val="both"/>
        <w:rPr>
          <w:sz w:val="28"/>
          <w:szCs w:val="28"/>
        </w:rPr>
      </w:pPr>
    </w:p>
    <w:p w14:paraId="262B3EEC" w14:textId="77777777" w:rsidR="00BB5183" w:rsidRPr="001101B3" w:rsidRDefault="00BB5183">
      <w:pPr>
        <w:rPr>
          <w:sz w:val="28"/>
          <w:szCs w:val="28"/>
        </w:rPr>
      </w:pPr>
    </w:p>
    <w:p w14:paraId="6419B508" w14:textId="77777777" w:rsidR="00BB5183" w:rsidRPr="001101B3" w:rsidRDefault="00BB5183">
      <w:pPr>
        <w:rPr>
          <w:sz w:val="28"/>
          <w:szCs w:val="28"/>
        </w:rPr>
      </w:pPr>
    </w:p>
    <w:p w14:paraId="2BE8CAA5" w14:textId="77777777" w:rsidR="008B16EE" w:rsidRPr="001101B3" w:rsidRDefault="008B16EE">
      <w:pPr>
        <w:rPr>
          <w:sz w:val="28"/>
          <w:szCs w:val="28"/>
        </w:rPr>
      </w:pPr>
    </w:p>
    <w:sectPr w:rsidR="008B16EE" w:rsidRPr="001101B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9C7AA" w14:textId="77777777" w:rsidR="002F791D" w:rsidRDefault="002F791D" w:rsidP="007E0304">
      <w:r>
        <w:separator/>
      </w:r>
    </w:p>
  </w:endnote>
  <w:endnote w:type="continuationSeparator" w:id="0">
    <w:p w14:paraId="10930542" w14:textId="77777777" w:rsidR="002F791D" w:rsidRDefault="002F791D" w:rsidP="007E0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C69C4" w14:textId="77777777" w:rsidR="009547A3" w:rsidRDefault="009547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5029411"/>
      <w:docPartObj>
        <w:docPartGallery w:val="Page Numbers (Bottom of Page)"/>
        <w:docPartUnique/>
      </w:docPartObj>
    </w:sdtPr>
    <w:sdtEndPr>
      <w:rPr>
        <w:noProof/>
      </w:rPr>
    </w:sdtEndPr>
    <w:sdtContent>
      <w:p w14:paraId="746B7904" w14:textId="3CC74812" w:rsidR="00026A7E" w:rsidRDefault="00026A7E">
        <w:pPr>
          <w:pStyle w:val="Footer"/>
        </w:pPr>
        <w:r>
          <w:fldChar w:fldCharType="begin"/>
        </w:r>
        <w:r>
          <w:instrText xml:space="preserve"> PAGE   \* MERGEFORMAT </w:instrText>
        </w:r>
        <w:r>
          <w:fldChar w:fldCharType="separate"/>
        </w:r>
        <w:r w:rsidR="002E3E4D">
          <w:rPr>
            <w:noProof/>
          </w:rPr>
          <w:t>2</w:t>
        </w:r>
        <w:r>
          <w:rPr>
            <w:noProof/>
          </w:rPr>
          <w:fldChar w:fldCharType="end"/>
        </w:r>
      </w:p>
    </w:sdtContent>
  </w:sdt>
  <w:p w14:paraId="5A0E910D" w14:textId="77777777" w:rsidR="00026A7E" w:rsidRDefault="00026A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9386A" w14:textId="77777777" w:rsidR="009547A3" w:rsidRDefault="00954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29C72" w14:textId="77777777" w:rsidR="002F791D" w:rsidRDefault="002F791D" w:rsidP="007E0304">
      <w:r>
        <w:separator/>
      </w:r>
    </w:p>
  </w:footnote>
  <w:footnote w:type="continuationSeparator" w:id="0">
    <w:p w14:paraId="4C66B29B" w14:textId="77777777" w:rsidR="002F791D" w:rsidRDefault="002F791D" w:rsidP="007E0304">
      <w:r>
        <w:continuationSeparator/>
      </w:r>
    </w:p>
  </w:footnote>
  <w:footnote w:id="1">
    <w:p w14:paraId="2D07F057" w14:textId="16ED767F" w:rsidR="00026A7E" w:rsidRPr="009E7112" w:rsidRDefault="00026A7E">
      <w:pPr>
        <w:pStyle w:val="FootnoteText"/>
      </w:pPr>
      <w:r w:rsidRPr="009E7112">
        <w:rPr>
          <w:rStyle w:val="FootnoteReference"/>
        </w:rPr>
        <w:footnoteRef/>
      </w:r>
      <w:r w:rsidRPr="009E7112">
        <w:t xml:space="preserve"> Because the offence of wounding with intent to cause actual bodily harm under s.17 Offences Against the Person Ordinance (Cap. 212) (“OAPO”) is used in the tutorial exercise relating to this area of the course, it will occupy a prominent part in these notes. This section states: </w:t>
      </w:r>
      <w:r w:rsidRPr="009E7112">
        <w:rPr>
          <w:i/>
        </w:rPr>
        <w:t>Any person who—(a)unlawfully and maliciously, by any means whatsoever, wounds or causes any grievous bodily harm to any person; or(b)shoots at any person; or(c)by drawing a trigger or in any other manner, attempts to discharge any kind of loaded arms at any person,</w:t>
      </w:r>
      <w:r>
        <w:rPr>
          <w:i/>
        </w:rPr>
        <w:t xml:space="preserve"> </w:t>
      </w:r>
      <w:r w:rsidRPr="009E7112">
        <w:rPr>
          <w:i/>
        </w:rPr>
        <w:t>with intent in any of such cases to maim, disfigure, or disable any person, or to do some other grievous bodily harm to any person, or with intent to resist or prevent the lawful apprehension or detainer of any person, shall be guilty of an offence triable upon indictment, and shall be liable to imprisonment for life</w:t>
      </w:r>
      <w:r w:rsidRPr="009E7112">
        <w:t>.</w:t>
      </w:r>
    </w:p>
  </w:footnote>
  <w:footnote w:id="2">
    <w:p w14:paraId="5BD5A065" w14:textId="389197D1" w:rsidR="000514A4" w:rsidRDefault="000514A4">
      <w:pPr>
        <w:pStyle w:val="FootnoteText"/>
      </w:pPr>
      <w:r>
        <w:rPr>
          <w:rStyle w:val="FootnoteReference"/>
        </w:rPr>
        <w:footnoteRef/>
      </w:r>
      <w:r>
        <w:t xml:space="preserve"> These notes contain some information distributed by previous course leaders.</w:t>
      </w:r>
    </w:p>
  </w:footnote>
  <w:footnote w:id="3">
    <w:p w14:paraId="4431B569" w14:textId="1DAD250A" w:rsidR="00026A7E" w:rsidRPr="00D47F73" w:rsidRDefault="00026A7E" w:rsidP="007E0304">
      <w:pPr>
        <w:pStyle w:val="FootnoteText"/>
        <w:snapToGrid w:val="0"/>
      </w:pPr>
      <w:r w:rsidRPr="009E7112">
        <w:rPr>
          <w:rStyle w:val="FootnoteReference"/>
        </w:rPr>
        <w:footnoteRef/>
      </w:r>
      <w:r w:rsidRPr="009E7112">
        <w:t xml:space="preserve"> John </w:t>
      </w:r>
      <w:proofErr w:type="spellStart"/>
      <w:r w:rsidRPr="009E7112">
        <w:t>Hostsettler</w:t>
      </w:r>
      <w:proofErr w:type="spellEnd"/>
      <w:r w:rsidRPr="009E7112">
        <w:t xml:space="preserve">, </w:t>
      </w:r>
      <w:r w:rsidRPr="009E7112">
        <w:rPr>
          <w:i/>
        </w:rPr>
        <w:t>A History of Criminal Justice in England and Wales</w:t>
      </w:r>
      <w:r w:rsidRPr="009E7112">
        <w:t xml:space="preserve"> (UK:</w:t>
      </w:r>
      <w:r w:rsidR="000E0D7F">
        <w:t xml:space="preserve"> </w:t>
      </w:r>
      <w:r w:rsidRPr="009E7112">
        <w:t>Waterside Press 2009).</w:t>
      </w:r>
      <w:r w:rsidRPr="00D47F73">
        <w:t xml:space="preserve"> </w:t>
      </w:r>
    </w:p>
  </w:footnote>
  <w:footnote w:id="4">
    <w:p w14:paraId="4209599B" w14:textId="297BDE89" w:rsidR="00026A7E" w:rsidRPr="00631296" w:rsidRDefault="00026A7E" w:rsidP="007E0304">
      <w:pPr>
        <w:snapToGrid w:val="0"/>
        <w:rPr>
          <w:sz w:val="20"/>
          <w:szCs w:val="20"/>
        </w:rPr>
      </w:pPr>
      <w:r w:rsidRPr="00631296">
        <w:rPr>
          <w:rStyle w:val="FootnoteReference"/>
          <w:sz w:val="20"/>
          <w:szCs w:val="20"/>
        </w:rPr>
        <w:footnoteRef/>
      </w:r>
      <w:r w:rsidRPr="00631296">
        <w:rPr>
          <w:sz w:val="20"/>
          <w:szCs w:val="20"/>
        </w:rPr>
        <w:t xml:space="preserve"> Simon N M Young, </w:t>
      </w:r>
      <w:r w:rsidR="000E0D7F">
        <w:rPr>
          <w:sz w:val="20"/>
          <w:szCs w:val="20"/>
        </w:rPr>
        <w:t>“</w:t>
      </w:r>
      <w:r w:rsidRPr="00631296">
        <w:rPr>
          <w:sz w:val="20"/>
          <w:szCs w:val="20"/>
        </w:rPr>
        <w:t>Sentencing</w:t>
      </w:r>
      <w:r w:rsidR="000E0D7F">
        <w:rPr>
          <w:sz w:val="20"/>
          <w:szCs w:val="20"/>
        </w:rPr>
        <w:t xml:space="preserve">” </w:t>
      </w:r>
      <w:r w:rsidRPr="00631296">
        <w:rPr>
          <w:sz w:val="20"/>
          <w:szCs w:val="20"/>
        </w:rPr>
        <w:t xml:space="preserve">Chapter </w:t>
      </w:r>
      <w:r w:rsidR="00F30A1E">
        <w:rPr>
          <w:sz w:val="20"/>
          <w:szCs w:val="20"/>
        </w:rPr>
        <w:t>15</w:t>
      </w:r>
      <w:r w:rsidRPr="00631296">
        <w:rPr>
          <w:sz w:val="20"/>
          <w:szCs w:val="20"/>
        </w:rPr>
        <w:t xml:space="preserve"> in Wing Hong Chui and T Wing L (eds.),</w:t>
      </w:r>
      <w:r w:rsidR="003523FF">
        <w:rPr>
          <w:sz w:val="20"/>
          <w:szCs w:val="20"/>
        </w:rPr>
        <w:t xml:space="preserve"> </w:t>
      </w:r>
      <w:r w:rsidRPr="00631296">
        <w:rPr>
          <w:i/>
          <w:sz w:val="20"/>
          <w:szCs w:val="20"/>
        </w:rPr>
        <w:t>Understanding Criminal Justice in Hong Kong</w:t>
      </w:r>
      <w:r w:rsidRPr="00631296">
        <w:rPr>
          <w:sz w:val="20"/>
          <w:szCs w:val="20"/>
        </w:rPr>
        <w:t xml:space="preserve"> </w:t>
      </w:r>
      <w:r w:rsidR="00655D72">
        <w:rPr>
          <w:sz w:val="20"/>
          <w:szCs w:val="20"/>
        </w:rPr>
        <w:t xml:space="preserve"> </w:t>
      </w:r>
      <w:r w:rsidRPr="00631296">
        <w:rPr>
          <w:sz w:val="20"/>
          <w:szCs w:val="20"/>
        </w:rPr>
        <w:t>(Devon: Willan Publishing 20</w:t>
      </w:r>
      <w:r w:rsidR="00F30A1E">
        <w:rPr>
          <w:sz w:val="20"/>
          <w:szCs w:val="20"/>
        </w:rPr>
        <w:t>17</w:t>
      </w:r>
      <w:r w:rsidRPr="00631296">
        <w:rPr>
          <w:sz w:val="20"/>
          <w:szCs w:val="20"/>
        </w:rPr>
        <w:t xml:space="preserve">) </w:t>
      </w:r>
      <w:r w:rsidR="00F30A1E">
        <w:rPr>
          <w:sz w:val="20"/>
          <w:szCs w:val="20"/>
        </w:rPr>
        <w:t>269</w:t>
      </w:r>
      <w:r w:rsidRPr="00631296">
        <w:rPr>
          <w:sz w:val="20"/>
          <w:szCs w:val="20"/>
        </w:rPr>
        <w:t>.</w:t>
      </w:r>
    </w:p>
  </w:footnote>
  <w:footnote w:id="5">
    <w:p w14:paraId="7BBF6EB0" w14:textId="7733B710" w:rsidR="00026A7E" w:rsidRPr="00631296" w:rsidRDefault="00026A7E" w:rsidP="007E0304">
      <w:pPr>
        <w:pStyle w:val="FootnoteText"/>
        <w:snapToGrid w:val="0"/>
      </w:pPr>
      <w:r w:rsidRPr="00631296">
        <w:rPr>
          <w:rStyle w:val="FootnoteReference"/>
        </w:rPr>
        <w:footnoteRef/>
      </w:r>
      <w:r w:rsidRPr="00631296">
        <w:rPr>
          <w:color w:val="333333"/>
        </w:rPr>
        <w:t xml:space="preserve">Andrew Ashworth &amp; Julian Roberts, </w:t>
      </w:r>
      <w:r w:rsidR="00E33EED">
        <w:rPr>
          <w:color w:val="333333"/>
        </w:rPr>
        <w:t>“</w:t>
      </w:r>
      <w:r w:rsidRPr="00631296">
        <w:rPr>
          <w:color w:val="333333"/>
        </w:rPr>
        <w:t>Sentencing: Theory, Principle, and Practice</w:t>
      </w:r>
      <w:r w:rsidR="00E33EED">
        <w:t>”</w:t>
      </w:r>
      <w:r w:rsidRPr="00631296">
        <w:t xml:space="preserve"> </w:t>
      </w:r>
      <w:r w:rsidRPr="00631296">
        <w:rPr>
          <w:i/>
        </w:rPr>
        <w:t>Oxford Handbook of Criminology</w:t>
      </w:r>
      <w:r w:rsidRPr="00631296">
        <w:rPr>
          <w:b/>
        </w:rPr>
        <w:t xml:space="preserve"> </w:t>
      </w:r>
      <w:r w:rsidRPr="008449DA">
        <w:t>(</w:t>
      </w:r>
      <w:r w:rsidRPr="00631296">
        <w:t xml:space="preserve">Fifth </w:t>
      </w:r>
      <w:r w:rsidR="00F30A1E">
        <w:t>E</w:t>
      </w:r>
      <w:r w:rsidRPr="00631296">
        <w:t>dition</w:t>
      </w:r>
      <w:r w:rsidR="00FD1096">
        <w:t xml:space="preserve"> </w:t>
      </w:r>
      <w:r w:rsidRPr="00631296">
        <w:t>Oxford:</w:t>
      </w:r>
      <w:r w:rsidR="001101B3">
        <w:t xml:space="preserve"> </w:t>
      </w:r>
      <w:r w:rsidRPr="00631296">
        <w:t>Oxford University Press 2012) Chapter 29.</w:t>
      </w:r>
    </w:p>
  </w:footnote>
  <w:footnote w:id="6">
    <w:p w14:paraId="7A065EE7" w14:textId="2EE7A082" w:rsidR="00026A7E" w:rsidRPr="00631296" w:rsidRDefault="00026A7E" w:rsidP="007E0304">
      <w:pPr>
        <w:pStyle w:val="FootnoteText"/>
        <w:snapToGrid w:val="0"/>
      </w:pPr>
      <w:r w:rsidRPr="00631296">
        <w:rPr>
          <w:rStyle w:val="FootnoteReference"/>
        </w:rPr>
        <w:footnoteRef/>
      </w:r>
      <w:r w:rsidRPr="00631296">
        <w:t xml:space="preserve"> Young (n </w:t>
      </w:r>
      <w:r w:rsidR="00E2783F">
        <w:t>4</w:t>
      </w:r>
      <w:r w:rsidRPr="00631296">
        <w:t>) 178.</w:t>
      </w:r>
    </w:p>
  </w:footnote>
  <w:footnote w:id="7">
    <w:p w14:paraId="6173C59E" w14:textId="77777777" w:rsidR="00026A7E" w:rsidRDefault="00026A7E" w:rsidP="007E0304">
      <w:pPr>
        <w:pStyle w:val="FootnoteText"/>
        <w:snapToGrid w:val="0"/>
      </w:pPr>
      <w:r w:rsidRPr="00631296">
        <w:rPr>
          <w:rStyle w:val="FootnoteReference"/>
        </w:rPr>
        <w:footnoteRef/>
      </w:r>
      <w:r w:rsidRPr="00631296">
        <w:t xml:space="preserve"> [2001] 4 HKCFAR 12.</w:t>
      </w:r>
    </w:p>
  </w:footnote>
  <w:footnote w:id="8">
    <w:p w14:paraId="5D0230B5" w14:textId="209D1931" w:rsidR="00026A7E" w:rsidRDefault="00026A7E">
      <w:pPr>
        <w:pStyle w:val="FootnoteText"/>
      </w:pPr>
      <w:r>
        <w:rPr>
          <w:rStyle w:val="FootnoteReference"/>
        </w:rPr>
        <w:footnoteRef/>
      </w:r>
      <w:r>
        <w:t xml:space="preserve"> [2014] HKDC 827; DCCC 97/2014.</w:t>
      </w:r>
    </w:p>
  </w:footnote>
  <w:footnote w:id="9">
    <w:p w14:paraId="5D2891E5" w14:textId="1602C7FE" w:rsidR="00026A7E" w:rsidRPr="00931B48" w:rsidRDefault="00026A7E" w:rsidP="007E0304">
      <w:pPr>
        <w:snapToGrid w:val="0"/>
        <w:rPr>
          <w:sz w:val="20"/>
          <w:szCs w:val="20"/>
        </w:rPr>
      </w:pPr>
      <w:r w:rsidRPr="00931B48">
        <w:rPr>
          <w:rStyle w:val="FootnoteReference"/>
          <w:sz w:val="20"/>
          <w:szCs w:val="20"/>
        </w:rPr>
        <w:footnoteRef/>
      </w:r>
      <w:r w:rsidRPr="00931B48">
        <w:rPr>
          <w:sz w:val="20"/>
          <w:szCs w:val="20"/>
        </w:rPr>
        <w:t xml:space="preserve"> </w:t>
      </w:r>
      <w:r w:rsidR="00630F40">
        <w:rPr>
          <w:sz w:val="20"/>
          <w:szCs w:val="20"/>
        </w:rPr>
        <w:t xml:space="preserve">Andrew Ashworth, </w:t>
      </w:r>
      <w:r w:rsidR="00E33EED">
        <w:rPr>
          <w:sz w:val="20"/>
          <w:szCs w:val="20"/>
        </w:rPr>
        <w:t>“</w:t>
      </w:r>
      <w:r w:rsidR="00630F40">
        <w:rPr>
          <w:sz w:val="20"/>
          <w:szCs w:val="20"/>
        </w:rPr>
        <w:t>Sentencing</w:t>
      </w:r>
      <w:r w:rsidR="00E33EED">
        <w:rPr>
          <w:sz w:val="20"/>
          <w:szCs w:val="20"/>
        </w:rPr>
        <w:t>”</w:t>
      </w:r>
      <w:r w:rsidR="00630F40">
        <w:rPr>
          <w:sz w:val="20"/>
          <w:szCs w:val="20"/>
        </w:rPr>
        <w:t xml:space="preserve"> Chapter 9 in Mike Maguire, Rod Morgan and Robert Reiner (eds.) </w:t>
      </w:r>
      <w:r w:rsidR="00630F40" w:rsidRPr="006C4CFC">
        <w:rPr>
          <w:i/>
          <w:sz w:val="20"/>
          <w:szCs w:val="20"/>
        </w:rPr>
        <w:t>The Oxford Handbook of Criminology</w:t>
      </w:r>
      <w:r w:rsidR="00630F40">
        <w:rPr>
          <w:sz w:val="20"/>
          <w:szCs w:val="20"/>
        </w:rPr>
        <w:t xml:space="preserve"> (Fourth Editio</w:t>
      </w:r>
      <w:r w:rsidR="00831FE5">
        <w:rPr>
          <w:sz w:val="20"/>
          <w:szCs w:val="20"/>
        </w:rPr>
        <w:t xml:space="preserve">n </w:t>
      </w:r>
      <w:r w:rsidR="00E33EED">
        <w:rPr>
          <w:sz w:val="20"/>
          <w:szCs w:val="20"/>
        </w:rPr>
        <w:t>Oxford</w:t>
      </w:r>
      <w:r w:rsidR="00831FE5">
        <w:rPr>
          <w:sz w:val="20"/>
          <w:szCs w:val="20"/>
        </w:rPr>
        <w:t>:</w:t>
      </w:r>
      <w:r w:rsidR="00630F40">
        <w:rPr>
          <w:sz w:val="20"/>
          <w:szCs w:val="20"/>
        </w:rPr>
        <w:t xml:space="preserve"> Oxford University Press 2007) 993-994.</w:t>
      </w:r>
    </w:p>
  </w:footnote>
  <w:footnote w:id="10">
    <w:p w14:paraId="7CB79518" w14:textId="54275D74" w:rsidR="00026A7E" w:rsidRPr="00931B48" w:rsidRDefault="00026A7E">
      <w:pPr>
        <w:pStyle w:val="FootnoteText"/>
      </w:pPr>
      <w:r w:rsidRPr="00931B48">
        <w:rPr>
          <w:rStyle w:val="FootnoteReference"/>
        </w:rPr>
        <w:footnoteRef/>
      </w:r>
      <w:r w:rsidRPr="00931B48">
        <w:t xml:space="preserve"> [2015] HKDC 267; DCCC 724/2014 (24 March 2015).</w:t>
      </w:r>
    </w:p>
  </w:footnote>
  <w:footnote w:id="11">
    <w:p w14:paraId="6BDEAA7C" w14:textId="7F0D344F" w:rsidR="0043020D" w:rsidRDefault="0043020D">
      <w:pPr>
        <w:pStyle w:val="FootnoteText"/>
      </w:pPr>
      <w:r w:rsidRPr="00931B48">
        <w:rPr>
          <w:rStyle w:val="FootnoteReference"/>
        </w:rPr>
        <w:footnoteRef/>
      </w:r>
      <w:r w:rsidRPr="00931B48">
        <w:t xml:space="preserve"> Any person who unlawfully and maliciously wounds or inflicts any grievous bodily harm upon any other person, either with or without any weapon or instrument, shall be guilty of an offence triable upon indictment, and shall be liable to imprisonment for 3 years.</w:t>
      </w:r>
    </w:p>
  </w:footnote>
  <w:footnote w:id="12">
    <w:p w14:paraId="7871F626" w14:textId="070561D0" w:rsidR="00026A7E" w:rsidRDefault="00026A7E" w:rsidP="007E0304">
      <w:pPr>
        <w:pStyle w:val="FootnoteText"/>
        <w:snapToGrid w:val="0"/>
      </w:pPr>
      <w:r w:rsidRPr="00631296">
        <w:rPr>
          <w:rStyle w:val="FootnoteReference"/>
        </w:rPr>
        <w:footnoteRef/>
      </w:r>
      <w:r w:rsidRPr="00631296">
        <w:t xml:space="preserve"> Young (n </w:t>
      </w:r>
      <w:r w:rsidR="00E2783F">
        <w:t>4</w:t>
      </w:r>
      <w:r w:rsidRPr="00631296">
        <w:t>) 170.</w:t>
      </w:r>
    </w:p>
  </w:footnote>
  <w:footnote w:id="13">
    <w:p w14:paraId="4C8304E7" w14:textId="31E7629A" w:rsidR="00026A7E" w:rsidRDefault="00026A7E">
      <w:pPr>
        <w:pStyle w:val="FootnoteText"/>
      </w:pPr>
      <w:r>
        <w:rPr>
          <w:rStyle w:val="FootnoteReference"/>
        </w:rPr>
        <w:footnoteRef/>
      </w:r>
      <w:r>
        <w:t xml:space="preserve"> </w:t>
      </w:r>
      <w:proofErr w:type="gramStart"/>
      <w:r w:rsidRPr="00631296">
        <w:t>Grenville</w:t>
      </w:r>
      <w:proofErr w:type="gramEnd"/>
      <w:r w:rsidRPr="00631296">
        <w:t xml:space="preserve"> I Cross</w:t>
      </w:r>
      <w:r w:rsidR="0010207E">
        <w:t xml:space="preserve"> SBS,</w:t>
      </w:r>
      <w:r w:rsidRPr="00631296">
        <w:t xml:space="preserve"> SC and Patrick WS Cheung, </w:t>
      </w:r>
      <w:r w:rsidRPr="00631296">
        <w:rPr>
          <w:i/>
        </w:rPr>
        <w:t>Sentencing in Hong Kong</w:t>
      </w:r>
      <w:r>
        <w:t xml:space="preserve"> (</w:t>
      </w:r>
      <w:r w:rsidR="00816EB7">
        <w:t>Ninth</w:t>
      </w:r>
      <w:r w:rsidRPr="00631296">
        <w:t xml:space="preserve"> Editi</w:t>
      </w:r>
      <w:r>
        <w:t>on</w:t>
      </w:r>
      <w:r w:rsidR="000D5AAD">
        <w:t>.</w:t>
      </w:r>
      <w:r>
        <w:t xml:space="preserve"> </w:t>
      </w:r>
      <w:r w:rsidR="00630F40">
        <w:t xml:space="preserve">Hong Kong: </w:t>
      </w:r>
      <w:r w:rsidR="0010207E">
        <w:t>LexisNexis</w:t>
      </w:r>
      <w:r>
        <w:t xml:space="preserve"> 20</w:t>
      </w:r>
      <w:r w:rsidR="00DA2E83">
        <w:t>20</w:t>
      </w:r>
      <w:r>
        <w:t xml:space="preserve">) </w:t>
      </w:r>
      <w:r w:rsidR="0010207E">
        <w:t>1</w:t>
      </w:r>
      <w:r w:rsidR="00DA2E83">
        <w:t>13</w:t>
      </w:r>
      <w:r>
        <w:t>.</w:t>
      </w:r>
    </w:p>
  </w:footnote>
  <w:footnote w:id="14">
    <w:p w14:paraId="4B76479C" w14:textId="44B69B31" w:rsidR="003877E3" w:rsidRPr="003877E3" w:rsidRDefault="003877E3">
      <w:pPr>
        <w:pStyle w:val="FootnoteText"/>
      </w:pPr>
      <w:r w:rsidRPr="003877E3">
        <w:rPr>
          <w:rStyle w:val="FootnoteReference"/>
        </w:rPr>
        <w:footnoteRef/>
      </w:r>
      <w:r w:rsidRPr="003877E3">
        <w:t xml:space="preserve"> [2014] HKCA 72; [2014] 3 HKLRD 538; CACC 497/2012 (13 February 2014) at paras 41</w:t>
      </w:r>
      <w:r w:rsidR="00630F40">
        <w:t>–</w:t>
      </w:r>
      <w:r w:rsidRPr="003877E3">
        <w:t xml:space="preserve"> 48</w:t>
      </w:r>
      <w:r w:rsidR="00630F40">
        <w:t>.</w:t>
      </w:r>
    </w:p>
  </w:footnote>
  <w:footnote w:id="15">
    <w:p w14:paraId="46FD0897" w14:textId="77777777" w:rsidR="00026A7E" w:rsidRPr="003877E3" w:rsidRDefault="00026A7E" w:rsidP="007E0304">
      <w:pPr>
        <w:pStyle w:val="FootnoteText"/>
        <w:snapToGrid w:val="0"/>
      </w:pPr>
      <w:r w:rsidRPr="003877E3">
        <w:rPr>
          <w:rStyle w:val="FootnoteReference"/>
        </w:rPr>
        <w:footnoteRef/>
      </w:r>
      <w:r w:rsidRPr="003877E3">
        <w:t xml:space="preserve"> [2000] 3 HKCFAR 31.</w:t>
      </w:r>
    </w:p>
  </w:footnote>
  <w:footnote w:id="16">
    <w:p w14:paraId="2A7644DC" w14:textId="2F9213F8" w:rsidR="00026A7E" w:rsidRPr="00947102" w:rsidRDefault="00026A7E">
      <w:pPr>
        <w:pStyle w:val="FootnoteText"/>
      </w:pPr>
      <w:r w:rsidRPr="003877E3">
        <w:rPr>
          <w:rStyle w:val="FootnoteReference"/>
        </w:rPr>
        <w:footnoteRef/>
      </w:r>
      <w:r w:rsidRPr="003877E3">
        <w:t xml:space="preserve"> [2013] HKCA 169; [2013] 6 HKC 225; CACC 317/2012 (11 April 2013)</w:t>
      </w:r>
      <w:r w:rsidR="003877E3" w:rsidRPr="003877E3">
        <w:t>.</w:t>
      </w:r>
    </w:p>
  </w:footnote>
  <w:footnote w:id="17">
    <w:p w14:paraId="743F5B33" w14:textId="1B4A4C13" w:rsidR="00026A7E" w:rsidRDefault="00026A7E" w:rsidP="007E0304">
      <w:pPr>
        <w:pStyle w:val="FootnoteText"/>
        <w:snapToGrid w:val="0"/>
        <w:rPr>
          <w:sz w:val="16"/>
          <w:szCs w:val="16"/>
        </w:rPr>
      </w:pPr>
      <w:r w:rsidRPr="00947102">
        <w:rPr>
          <w:rStyle w:val="FootnoteReference"/>
        </w:rPr>
        <w:footnoteRef/>
      </w:r>
      <w:r w:rsidRPr="00947102">
        <w:t xml:space="preserve"> Cross and Cheung (n 1</w:t>
      </w:r>
      <w:r w:rsidR="000514A4">
        <w:t>3</w:t>
      </w:r>
      <w:r w:rsidRPr="00947102">
        <w:t>)</w:t>
      </w:r>
      <w:r w:rsidR="0010207E">
        <w:t xml:space="preserve"> Chapter</w:t>
      </w:r>
      <w:r w:rsidR="000D5AAD">
        <w:t xml:space="preserve"> </w:t>
      </w:r>
      <w:r w:rsidRPr="00947102">
        <w:t>1.</w:t>
      </w:r>
    </w:p>
  </w:footnote>
  <w:footnote w:id="18">
    <w:p w14:paraId="3D9AA545" w14:textId="77777777" w:rsidR="00026A7E" w:rsidRPr="00524DDC" w:rsidRDefault="00026A7E" w:rsidP="007E0304">
      <w:pPr>
        <w:snapToGrid w:val="0"/>
        <w:rPr>
          <w:sz w:val="20"/>
          <w:szCs w:val="20"/>
        </w:rPr>
      </w:pPr>
      <w:r w:rsidRPr="00524DDC">
        <w:rPr>
          <w:rStyle w:val="FootnoteReference"/>
          <w:sz w:val="20"/>
          <w:szCs w:val="20"/>
        </w:rPr>
        <w:footnoteRef/>
      </w:r>
      <w:r w:rsidRPr="00524DDC">
        <w:rPr>
          <w:sz w:val="20"/>
          <w:szCs w:val="20"/>
        </w:rPr>
        <w:t xml:space="preserve"> P </w:t>
      </w:r>
      <w:proofErr w:type="spellStart"/>
      <w:r w:rsidRPr="00524DDC">
        <w:rPr>
          <w:sz w:val="20"/>
          <w:szCs w:val="20"/>
        </w:rPr>
        <w:t>Flahery</w:t>
      </w:r>
      <w:proofErr w:type="spellEnd"/>
      <w:r w:rsidRPr="00524DDC">
        <w:rPr>
          <w:sz w:val="20"/>
          <w:szCs w:val="20"/>
        </w:rPr>
        <w:t>,</w:t>
      </w:r>
      <w:r w:rsidRPr="00524DDC">
        <w:rPr>
          <w:i/>
          <w:sz w:val="20"/>
          <w:szCs w:val="20"/>
        </w:rPr>
        <w:t xml:space="preserve"> Sentencing the Recidivist: Reconciling Harsher Treatment for Repeat Offenders with Modern Retributivist Theory</w:t>
      </w:r>
      <w:r w:rsidRPr="00524DDC">
        <w:rPr>
          <w:sz w:val="20"/>
          <w:szCs w:val="20"/>
        </w:rPr>
        <w:t xml:space="preserve"> (CIL 2006/2007) 319.</w:t>
      </w:r>
    </w:p>
  </w:footnote>
  <w:footnote w:id="19">
    <w:p w14:paraId="70C317B6" w14:textId="77777777" w:rsidR="00026A7E" w:rsidRPr="00524DDC" w:rsidRDefault="00026A7E" w:rsidP="007E0304">
      <w:pPr>
        <w:pStyle w:val="FootnoteText"/>
        <w:snapToGrid w:val="0"/>
      </w:pPr>
      <w:r w:rsidRPr="00524DDC">
        <w:rPr>
          <w:rStyle w:val="FootnoteReference"/>
        </w:rPr>
        <w:footnoteRef/>
      </w:r>
      <w:r w:rsidRPr="00524DDC">
        <w:t xml:space="preserve"> Ibid.</w:t>
      </w:r>
    </w:p>
  </w:footnote>
  <w:footnote w:id="20">
    <w:p w14:paraId="07A30F1E" w14:textId="74862015" w:rsidR="00A8722E" w:rsidRDefault="00A8722E">
      <w:pPr>
        <w:pStyle w:val="FootnoteText"/>
      </w:pPr>
      <w:r>
        <w:rPr>
          <w:rStyle w:val="FootnoteReference"/>
        </w:rPr>
        <w:footnoteRef/>
      </w:r>
      <w:r>
        <w:t xml:space="preserve"> Young (n </w:t>
      </w:r>
      <w:r w:rsidR="00E2783F">
        <w:t>4</w:t>
      </w:r>
      <w:r>
        <w:t>) 282.</w:t>
      </w:r>
    </w:p>
  </w:footnote>
  <w:footnote w:id="21">
    <w:p w14:paraId="75310D3F" w14:textId="75D62A89" w:rsidR="00026A7E" w:rsidRPr="00524DDC" w:rsidRDefault="00026A7E" w:rsidP="00524DDC">
      <w:pPr>
        <w:rPr>
          <w:sz w:val="20"/>
          <w:szCs w:val="20"/>
        </w:rPr>
      </w:pPr>
      <w:r w:rsidRPr="00524DDC">
        <w:rPr>
          <w:rStyle w:val="FootnoteReference"/>
          <w:sz w:val="20"/>
          <w:szCs w:val="20"/>
        </w:rPr>
        <w:footnoteRef/>
      </w:r>
      <w:r w:rsidRPr="00524DDC">
        <w:rPr>
          <w:sz w:val="20"/>
          <w:szCs w:val="20"/>
        </w:rPr>
        <w:t xml:space="preserve"> [2016] HKCA 396; [2016] 5 HKLRD 1; [2016] 5 HKC 231; CACC 418/2014 (2 September 2016).</w:t>
      </w:r>
    </w:p>
    <w:p w14:paraId="22AD77A5" w14:textId="1C552700" w:rsidR="00026A7E" w:rsidRDefault="00026A7E">
      <w:pPr>
        <w:pStyle w:val="FootnoteText"/>
      </w:pPr>
    </w:p>
  </w:footnote>
  <w:footnote w:id="22">
    <w:p w14:paraId="0CB74A32" w14:textId="5827A67A" w:rsidR="00026A7E" w:rsidRPr="00306150" w:rsidRDefault="00026A7E" w:rsidP="00694D74">
      <w:pPr>
        <w:rPr>
          <w:i/>
          <w:sz w:val="20"/>
          <w:szCs w:val="20"/>
        </w:rPr>
      </w:pPr>
      <w:r w:rsidRPr="00306150">
        <w:rPr>
          <w:rStyle w:val="FootnoteReference"/>
          <w:sz w:val="20"/>
          <w:szCs w:val="20"/>
        </w:rPr>
        <w:footnoteRef/>
      </w:r>
      <w:r w:rsidRPr="00306150">
        <w:rPr>
          <w:sz w:val="20"/>
          <w:szCs w:val="20"/>
        </w:rPr>
        <w:t xml:space="preserve"> [2010] HKCA 348; CACC 273/2010 (3 November 2010).</w:t>
      </w:r>
    </w:p>
  </w:footnote>
  <w:footnote w:id="23">
    <w:p w14:paraId="49C3C9B6" w14:textId="1BD6D369" w:rsidR="00026A7E" w:rsidRPr="00306150" w:rsidRDefault="00026A7E">
      <w:pPr>
        <w:pStyle w:val="FootnoteText"/>
      </w:pPr>
      <w:r w:rsidRPr="00306150">
        <w:rPr>
          <w:rStyle w:val="FootnoteReference"/>
        </w:rPr>
        <w:footnoteRef/>
      </w:r>
      <w:r w:rsidRPr="00306150">
        <w:t xml:space="preserve"> Ibid.</w:t>
      </w:r>
    </w:p>
  </w:footnote>
  <w:footnote w:id="24">
    <w:p w14:paraId="5A68C886" w14:textId="77777777" w:rsidR="00026A7E" w:rsidRDefault="00026A7E" w:rsidP="005F4B3D">
      <w:pPr>
        <w:pStyle w:val="FootnoteText"/>
      </w:pPr>
      <w:r>
        <w:rPr>
          <w:rStyle w:val="FootnoteReference"/>
        </w:rPr>
        <w:footnoteRef/>
      </w:r>
      <w:r>
        <w:t xml:space="preserve"> [2001] HKCA 64; CACC 166/2001 (17 October 2001).</w:t>
      </w:r>
    </w:p>
  </w:footnote>
  <w:footnote w:id="25">
    <w:p w14:paraId="2DC2330D" w14:textId="77777777" w:rsidR="00026A7E" w:rsidRPr="000F178B" w:rsidRDefault="00026A7E" w:rsidP="007E0304">
      <w:pPr>
        <w:pStyle w:val="FootnoteText"/>
        <w:snapToGrid w:val="0"/>
      </w:pPr>
      <w:r w:rsidRPr="000F178B">
        <w:rPr>
          <w:rStyle w:val="FootnoteReference"/>
        </w:rPr>
        <w:footnoteRef/>
      </w:r>
      <w:r w:rsidRPr="000F178B">
        <w:t xml:space="preserve"> Section 11(2) Juvenile Offenders Ordinance (Cap. 484).</w:t>
      </w:r>
    </w:p>
  </w:footnote>
  <w:footnote w:id="26">
    <w:p w14:paraId="0E2D494D" w14:textId="77777777" w:rsidR="00026A7E" w:rsidRPr="008D1ACC" w:rsidRDefault="00026A7E" w:rsidP="007E0304">
      <w:pPr>
        <w:pStyle w:val="FootnoteText"/>
        <w:snapToGrid w:val="0"/>
      </w:pPr>
      <w:r w:rsidRPr="008D1ACC">
        <w:rPr>
          <w:rStyle w:val="FootnoteReference"/>
        </w:rPr>
        <w:footnoteRef/>
      </w:r>
      <w:r w:rsidRPr="008D1ACC">
        <w:t xml:space="preserve"> [2006] 3 HKLRD 577, 584.</w:t>
      </w:r>
    </w:p>
  </w:footnote>
  <w:footnote w:id="27">
    <w:p w14:paraId="7A61BEB3" w14:textId="77777777" w:rsidR="00026A7E" w:rsidRPr="008D1ACC" w:rsidRDefault="00026A7E" w:rsidP="007E0304">
      <w:pPr>
        <w:pStyle w:val="FootnoteText"/>
        <w:snapToGrid w:val="0"/>
      </w:pPr>
      <w:r w:rsidRPr="008D1ACC">
        <w:rPr>
          <w:rStyle w:val="FootnoteReference"/>
        </w:rPr>
        <w:footnoteRef/>
      </w:r>
      <w:r w:rsidRPr="008D1ACC">
        <w:t xml:space="preserve"> </w:t>
      </w:r>
      <w:r w:rsidRPr="008D1ACC">
        <w:rPr>
          <w:bCs/>
        </w:rPr>
        <w:t>[1987]</w:t>
      </w:r>
      <w:r w:rsidRPr="008D1ACC">
        <w:rPr>
          <w:rStyle w:val="Hyperlink"/>
          <w:color w:val="auto"/>
          <w:u w:val="none"/>
          <w:lang w:val="en-HK"/>
        </w:rPr>
        <w:t xml:space="preserve"> </w:t>
      </w:r>
      <w:r w:rsidRPr="008D1ACC">
        <w:rPr>
          <w:rStyle w:val="st1"/>
          <w:lang w:val="en-HK"/>
        </w:rPr>
        <w:t>Cr App 409/87</w:t>
      </w:r>
      <w:r w:rsidRPr="008D1ACC">
        <w:rPr>
          <w:bCs/>
        </w:rPr>
        <w:t>.</w:t>
      </w:r>
    </w:p>
  </w:footnote>
  <w:footnote w:id="28">
    <w:p w14:paraId="7A452DF8" w14:textId="2B53D638" w:rsidR="00026A7E" w:rsidRDefault="00026A7E">
      <w:pPr>
        <w:pStyle w:val="FootnoteText"/>
      </w:pPr>
      <w:r w:rsidRPr="008D1ACC">
        <w:rPr>
          <w:rStyle w:val="FootnoteReference"/>
        </w:rPr>
        <w:footnoteRef/>
      </w:r>
      <w:r w:rsidRPr="008D1ACC">
        <w:t xml:space="preserve"> </w:t>
      </w:r>
      <w:r w:rsidRPr="00AE2811">
        <w:t>[2002] HKCA 116; [2002] 1 HKLRD 185; [2002] 1 HKC 401; CACC 287/2001 (29 January 2002)</w:t>
      </w:r>
      <w:r>
        <w:t>.</w:t>
      </w:r>
    </w:p>
  </w:footnote>
  <w:footnote w:id="29">
    <w:p w14:paraId="62D9A571" w14:textId="6F433EEB" w:rsidR="00026A7E" w:rsidRPr="0058426C" w:rsidRDefault="00026A7E">
      <w:pPr>
        <w:pStyle w:val="FootnoteText"/>
      </w:pPr>
      <w:r w:rsidRPr="0058426C">
        <w:rPr>
          <w:rStyle w:val="FootnoteReference"/>
        </w:rPr>
        <w:footnoteRef/>
      </w:r>
      <w:r w:rsidRPr="0058426C">
        <w:t xml:space="preserve"> [2008] 4 HKLRD.</w:t>
      </w:r>
    </w:p>
  </w:footnote>
  <w:footnote w:id="30">
    <w:p w14:paraId="7EE6A2C0" w14:textId="01D1BC61" w:rsidR="00026A7E" w:rsidRPr="005618D9" w:rsidRDefault="00026A7E">
      <w:pPr>
        <w:pStyle w:val="FootnoteText"/>
      </w:pPr>
      <w:r w:rsidRPr="005618D9">
        <w:rPr>
          <w:rStyle w:val="FootnoteReference"/>
        </w:rPr>
        <w:footnoteRef/>
      </w:r>
      <w:r w:rsidRPr="005618D9">
        <w:t xml:space="preserve"> </w:t>
      </w:r>
      <w:r w:rsidRPr="005618D9">
        <w:rPr>
          <w:rFonts w:eastAsiaTheme="minorEastAsia"/>
          <w:kern w:val="0"/>
          <w:lang w:eastAsia="zh-CN"/>
        </w:rPr>
        <w:t>[2008] 4 HKLRD.</w:t>
      </w:r>
    </w:p>
  </w:footnote>
  <w:footnote w:id="31">
    <w:p w14:paraId="08EF5176" w14:textId="66348437" w:rsidR="00026A7E" w:rsidRPr="005618D9" w:rsidRDefault="00026A7E">
      <w:pPr>
        <w:pStyle w:val="FootnoteText"/>
      </w:pPr>
      <w:r w:rsidRPr="005618D9">
        <w:rPr>
          <w:rStyle w:val="FootnoteReference"/>
        </w:rPr>
        <w:footnoteRef/>
      </w:r>
      <w:r w:rsidRPr="005618D9">
        <w:t xml:space="preserve"> [1996] 1 HKC</w:t>
      </w:r>
      <w:r w:rsidRPr="00AE2811">
        <w:t xml:space="preserve"> at 348[D]</w:t>
      </w:r>
      <w:r w:rsidRPr="005618D9">
        <w:t>.</w:t>
      </w:r>
    </w:p>
  </w:footnote>
  <w:footnote w:id="32">
    <w:p w14:paraId="00731F1A" w14:textId="7A0364E9" w:rsidR="00026A7E" w:rsidRPr="005618D9" w:rsidRDefault="00026A7E">
      <w:pPr>
        <w:pStyle w:val="FootnoteText"/>
      </w:pPr>
      <w:r w:rsidRPr="005618D9">
        <w:rPr>
          <w:rStyle w:val="FootnoteReference"/>
        </w:rPr>
        <w:footnoteRef/>
      </w:r>
      <w:r w:rsidRPr="005618D9">
        <w:t xml:space="preserve"> </w:t>
      </w:r>
      <w:r w:rsidRPr="00AE2811">
        <w:rPr>
          <w:rFonts w:eastAsiaTheme="minorEastAsia"/>
          <w:kern w:val="0"/>
          <w:lang w:eastAsia="zh-CN"/>
        </w:rPr>
        <w:t>[2008] 4 HKLRD.</w:t>
      </w:r>
    </w:p>
  </w:footnote>
  <w:footnote w:id="33">
    <w:p w14:paraId="55BA2958" w14:textId="2CCDA7F5" w:rsidR="00026A7E" w:rsidRPr="005618D9" w:rsidRDefault="00026A7E">
      <w:pPr>
        <w:pStyle w:val="FootnoteText"/>
      </w:pPr>
      <w:r w:rsidRPr="005618D9">
        <w:rPr>
          <w:rStyle w:val="FootnoteReference"/>
        </w:rPr>
        <w:footnoteRef/>
      </w:r>
      <w:r w:rsidRPr="005618D9">
        <w:t xml:space="preserve"> </w:t>
      </w:r>
      <w:r w:rsidRPr="00AE2811">
        <w:t>[2012] HKCA 384; [2013] 2 HKLRD 194; CACC 2/2012 (13 September 2012)</w:t>
      </w:r>
      <w:r>
        <w:t>.</w:t>
      </w:r>
    </w:p>
  </w:footnote>
  <w:footnote w:id="34">
    <w:p w14:paraId="12DDCDEB" w14:textId="77777777" w:rsidR="00026A7E" w:rsidRPr="00D47F73" w:rsidRDefault="00026A7E">
      <w:pPr>
        <w:pStyle w:val="FootnoteText"/>
      </w:pPr>
      <w:r w:rsidRPr="005618D9">
        <w:rPr>
          <w:rStyle w:val="FootnoteReference"/>
        </w:rPr>
        <w:footnoteRef/>
      </w:r>
      <w:r w:rsidRPr="005618D9">
        <w:t xml:space="preserve"> [2003] HKCA 31.</w:t>
      </w:r>
    </w:p>
  </w:footnote>
  <w:footnote w:id="35">
    <w:p w14:paraId="623171A2" w14:textId="77777777" w:rsidR="00026A7E" w:rsidRDefault="00026A7E">
      <w:pPr>
        <w:pStyle w:val="FootnoteText"/>
      </w:pPr>
      <w:r w:rsidRPr="00D47F73">
        <w:rPr>
          <w:rStyle w:val="FootnoteReference"/>
        </w:rPr>
        <w:footnoteRef/>
      </w:r>
      <w:r w:rsidRPr="00D47F73">
        <w:t xml:space="preserve"> [2014] HKCA 72.</w:t>
      </w:r>
    </w:p>
  </w:footnote>
  <w:footnote w:id="36">
    <w:p w14:paraId="1DE135B6" w14:textId="77777777" w:rsidR="00026A7E" w:rsidRDefault="00026A7E">
      <w:pPr>
        <w:pStyle w:val="FootnoteText"/>
      </w:pPr>
      <w:r>
        <w:rPr>
          <w:rStyle w:val="FootnoteReference"/>
        </w:rPr>
        <w:footnoteRef/>
      </w:r>
      <w:r>
        <w:t xml:space="preserve"> [2008] HKCA 167.</w:t>
      </w:r>
    </w:p>
  </w:footnote>
  <w:footnote w:id="37">
    <w:p w14:paraId="63D64322" w14:textId="77777777" w:rsidR="00026A7E" w:rsidRDefault="00026A7E">
      <w:pPr>
        <w:pStyle w:val="FootnoteText"/>
      </w:pPr>
      <w:r>
        <w:rPr>
          <w:rStyle w:val="FootnoteReference"/>
        </w:rPr>
        <w:footnoteRef/>
      </w:r>
      <w:r>
        <w:t xml:space="preserve"> [2013] 2 HKLRD 194.</w:t>
      </w:r>
    </w:p>
  </w:footnote>
  <w:footnote w:id="38">
    <w:p w14:paraId="04B6E895" w14:textId="69C7FCD8" w:rsidR="00026A7E" w:rsidRPr="00592A33" w:rsidRDefault="00026A7E">
      <w:pPr>
        <w:pStyle w:val="FootnoteText"/>
      </w:pPr>
      <w:r w:rsidRPr="00592A33">
        <w:rPr>
          <w:rStyle w:val="FootnoteReference"/>
        </w:rPr>
        <w:footnoteRef/>
      </w:r>
      <w:r w:rsidRPr="00592A33">
        <w:t xml:space="preserve"> (crim App. 335/91 unreported).</w:t>
      </w:r>
    </w:p>
  </w:footnote>
  <w:footnote w:id="39">
    <w:p w14:paraId="2DDA5C26" w14:textId="77777777" w:rsidR="00026A7E" w:rsidRPr="00592A33" w:rsidRDefault="00026A7E" w:rsidP="007E0304">
      <w:pPr>
        <w:pStyle w:val="FootnoteText"/>
        <w:snapToGrid w:val="0"/>
      </w:pPr>
      <w:r w:rsidRPr="00592A33">
        <w:rPr>
          <w:rStyle w:val="FootnoteReference"/>
        </w:rPr>
        <w:footnoteRef/>
      </w:r>
      <w:r w:rsidRPr="00592A33">
        <w:t xml:space="preserve"> Sections 109B-109G CPO.</w:t>
      </w:r>
    </w:p>
  </w:footnote>
  <w:footnote w:id="40">
    <w:p w14:paraId="2D0DEDC1" w14:textId="77777777" w:rsidR="00026A7E" w:rsidRPr="00631296" w:rsidRDefault="00026A7E" w:rsidP="007E0304">
      <w:pPr>
        <w:snapToGrid w:val="0"/>
        <w:rPr>
          <w:sz w:val="20"/>
          <w:szCs w:val="20"/>
        </w:rPr>
      </w:pPr>
      <w:r w:rsidRPr="00592A33">
        <w:rPr>
          <w:rStyle w:val="FootnoteReference"/>
          <w:sz w:val="20"/>
          <w:szCs w:val="20"/>
        </w:rPr>
        <w:footnoteRef/>
      </w:r>
      <w:r w:rsidRPr="00592A33">
        <w:rPr>
          <w:sz w:val="20"/>
          <w:szCs w:val="20"/>
        </w:rPr>
        <w:t xml:space="preserve"> Community Service Orders Ordinance (Cap. 378).</w:t>
      </w:r>
    </w:p>
  </w:footnote>
  <w:footnote w:id="41">
    <w:p w14:paraId="62E63753" w14:textId="78C2618C" w:rsidR="00E450BF" w:rsidRDefault="00E450BF">
      <w:pPr>
        <w:pStyle w:val="FootnoteText"/>
      </w:pPr>
      <w:r>
        <w:rPr>
          <w:rStyle w:val="FootnoteReference"/>
        </w:rPr>
        <w:footnoteRef/>
      </w:r>
      <w:r>
        <w:t xml:space="preserve"> The Law Reform Commission of Hong Kong, </w:t>
      </w:r>
      <w:r w:rsidRPr="002643C3">
        <w:rPr>
          <w:i/>
        </w:rPr>
        <w:t>Report. Community Service Orders</w:t>
      </w:r>
      <w:r>
        <w:rPr>
          <w:i/>
        </w:rPr>
        <w:t>.</w:t>
      </w:r>
      <w:r w:rsidR="003570D9">
        <w:rPr>
          <w:i/>
        </w:rPr>
        <w:t xml:space="preserve"> Topic 7</w:t>
      </w:r>
      <w:r>
        <w:rPr>
          <w:i/>
        </w:rPr>
        <w:t xml:space="preserve"> </w:t>
      </w:r>
      <w:r w:rsidRPr="002643C3">
        <w:t>(1983)</w:t>
      </w:r>
      <w:r>
        <w:t xml:space="preserve"> paras 16</w:t>
      </w:r>
      <w:r w:rsidR="003523FF">
        <w:t>.</w:t>
      </w:r>
      <w:r>
        <w:t>1</w:t>
      </w:r>
      <w:r w:rsidR="00E2783F">
        <w:t>-16.</w:t>
      </w:r>
      <w:r>
        <w:t>11</w:t>
      </w:r>
      <w:r w:rsidR="008449DA">
        <w:t>, available</w:t>
      </w:r>
      <w:r>
        <w:t xml:space="preserve"> at </w:t>
      </w:r>
      <w:r w:rsidRPr="004D0569">
        <w:rPr>
          <w:rStyle w:val="HTMLCite"/>
          <w:i w:val="0"/>
          <w:lang w:val="en-HK"/>
        </w:rPr>
        <w:t>https://www.hkreform.gov.hk/en/docs/rcommunity-e.pdf</w:t>
      </w:r>
      <w:r>
        <w:rPr>
          <w:rStyle w:val="HTMLCite"/>
          <w:i w:val="0"/>
          <w:lang w:val="en-HK"/>
        </w:rPr>
        <w:t>.</w:t>
      </w:r>
    </w:p>
  </w:footnote>
  <w:footnote w:id="42">
    <w:p w14:paraId="0A66D7B0" w14:textId="0749E8FF" w:rsidR="00026A7E" w:rsidRPr="00631296" w:rsidRDefault="00026A7E" w:rsidP="007E0304">
      <w:pPr>
        <w:pStyle w:val="FootnoteText"/>
        <w:snapToGrid w:val="0"/>
      </w:pPr>
      <w:r w:rsidRPr="00631296">
        <w:rPr>
          <w:rStyle w:val="FootnoteReference"/>
        </w:rPr>
        <w:footnoteRef/>
      </w:r>
      <w:r>
        <w:t xml:space="preserve"> Section </w:t>
      </w:r>
      <w:r w:rsidRPr="00631296">
        <w:t>36</w:t>
      </w:r>
      <w:r>
        <w:t xml:space="preserve">(1)(a) </w:t>
      </w:r>
      <w:r w:rsidRPr="00631296">
        <w:t>Magistrates Ordinance (Cap. 227).</w:t>
      </w:r>
    </w:p>
  </w:footnote>
  <w:footnote w:id="43">
    <w:p w14:paraId="573A0CF1" w14:textId="37CBE970" w:rsidR="00026A7E" w:rsidRDefault="00026A7E">
      <w:pPr>
        <w:pStyle w:val="FootnoteText"/>
      </w:pPr>
      <w:r>
        <w:rPr>
          <w:rStyle w:val="FootnoteReference"/>
        </w:rPr>
        <w:footnoteRef/>
      </w:r>
      <w:r>
        <w:t xml:space="preserve"> Section 36(1)(b) Magistrates Ordinance (Cap. 227)</w:t>
      </w:r>
      <w:r w:rsidR="003570D9">
        <w:t>.</w:t>
      </w:r>
    </w:p>
  </w:footnote>
  <w:footnote w:id="44">
    <w:p w14:paraId="266D34DC" w14:textId="77777777" w:rsidR="00026A7E" w:rsidRDefault="00026A7E" w:rsidP="007E0304">
      <w:pPr>
        <w:pStyle w:val="FootnoteText"/>
        <w:snapToGrid w:val="0"/>
      </w:pPr>
      <w:r w:rsidRPr="00631296">
        <w:rPr>
          <w:rStyle w:val="FootnoteReference"/>
        </w:rPr>
        <w:footnoteRef/>
      </w:r>
      <w:r w:rsidRPr="00631296">
        <w:t xml:space="preserve"> Probation</w:t>
      </w:r>
      <w:r>
        <w:t xml:space="preserve"> of</w:t>
      </w:r>
      <w:r w:rsidRPr="00631296">
        <w:t xml:space="preserve"> Offenders Ordinance (Cap. 298).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1B631" w14:textId="77777777" w:rsidR="009547A3" w:rsidRDefault="009547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0ECAF" w14:textId="77777777" w:rsidR="009547A3" w:rsidRDefault="009547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D945C" w14:textId="77777777" w:rsidR="009547A3" w:rsidRDefault="009547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D3B38"/>
    <w:multiLevelType w:val="hybridMultilevel"/>
    <w:tmpl w:val="3992F9DA"/>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1" w15:restartNumberingAfterBreak="0">
    <w:nsid w:val="0B950841"/>
    <w:multiLevelType w:val="hybridMultilevel"/>
    <w:tmpl w:val="58F053BC"/>
    <w:lvl w:ilvl="0" w:tplc="04090001">
      <w:start w:val="1"/>
      <w:numFmt w:val="bullet"/>
      <w:lvlText w:val=""/>
      <w:lvlJc w:val="left"/>
      <w:pPr>
        <w:tabs>
          <w:tab w:val="num" w:pos="960"/>
        </w:tabs>
        <w:ind w:left="960" w:hanging="480"/>
      </w:pPr>
      <w:rPr>
        <w:rFonts w:ascii="Symbol" w:hAnsi="Symbol" w:hint="default"/>
      </w:rPr>
    </w:lvl>
    <w:lvl w:ilvl="1" w:tplc="39C24C06">
      <w:start w:val="1"/>
      <w:numFmt w:val="decimal"/>
      <w:lvlText w:val="(%2)"/>
      <w:lvlJc w:val="left"/>
      <w:pPr>
        <w:tabs>
          <w:tab w:val="num" w:pos="1440"/>
        </w:tabs>
        <w:ind w:left="1440" w:hanging="480"/>
      </w:pPr>
      <w:rPr>
        <w:rFonts w:ascii="Times New Roman" w:eastAsia="Times New Roman" w:hAnsi="Times New Roman" w:cs="Times New Roman"/>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rPr>
    </w:lvl>
    <w:lvl w:ilvl="4" w:tplc="04090003">
      <w:start w:val="1"/>
      <w:numFmt w:val="bullet"/>
      <w:lvlText w:val=""/>
      <w:lvlJc w:val="left"/>
      <w:pPr>
        <w:tabs>
          <w:tab w:val="num" w:pos="2880"/>
        </w:tabs>
        <w:ind w:left="2880" w:hanging="480"/>
      </w:pPr>
      <w:rPr>
        <w:rFonts w:ascii="Wingdings" w:hAnsi="Wingdings" w:hint="default"/>
      </w:rPr>
    </w:lvl>
    <w:lvl w:ilvl="5" w:tplc="04090005">
      <w:start w:val="1"/>
      <w:numFmt w:val="bullet"/>
      <w:lvlText w:val=""/>
      <w:lvlJc w:val="left"/>
      <w:pPr>
        <w:tabs>
          <w:tab w:val="num" w:pos="3360"/>
        </w:tabs>
        <w:ind w:left="3360" w:hanging="480"/>
      </w:pPr>
      <w:rPr>
        <w:rFonts w:ascii="Wingdings" w:hAnsi="Wingdings" w:hint="default"/>
      </w:rPr>
    </w:lvl>
    <w:lvl w:ilvl="6" w:tplc="04090001">
      <w:start w:val="1"/>
      <w:numFmt w:val="bullet"/>
      <w:lvlText w:val=""/>
      <w:lvlJc w:val="left"/>
      <w:pPr>
        <w:tabs>
          <w:tab w:val="num" w:pos="3840"/>
        </w:tabs>
        <w:ind w:left="3840" w:hanging="480"/>
      </w:pPr>
      <w:rPr>
        <w:rFonts w:ascii="Wingdings" w:hAnsi="Wingdings" w:hint="default"/>
      </w:rPr>
    </w:lvl>
    <w:lvl w:ilvl="7" w:tplc="04090003">
      <w:start w:val="1"/>
      <w:numFmt w:val="bullet"/>
      <w:lvlText w:val=""/>
      <w:lvlJc w:val="left"/>
      <w:pPr>
        <w:tabs>
          <w:tab w:val="num" w:pos="4320"/>
        </w:tabs>
        <w:ind w:left="4320" w:hanging="480"/>
      </w:pPr>
      <w:rPr>
        <w:rFonts w:ascii="Wingdings" w:hAnsi="Wingdings" w:hint="default"/>
      </w:rPr>
    </w:lvl>
    <w:lvl w:ilvl="8" w:tplc="04090005">
      <w:start w:val="1"/>
      <w:numFmt w:val="bullet"/>
      <w:lvlText w:val=""/>
      <w:lvlJc w:val="left"/>
      <w:pPr>
        <w:tabs>
          <w:tab w:val="num" w:pos="4800"/>
        </w:tabs>
        <w:ind w:left="4800" w:hanging="480"/>
      </w:pPr>
      <w:rPr>
        <w:rFonts w:ascii="Wingdings" w:hAnsi="Wingdings" w:hint="default"/>
      </w:rPr>
    </w:lvl>
  </w:abstractNum>
  <w:abstractNum w:abstractNumId="2" w15:restartNumberingAfterBreak="0">
    <w:nsid w:val="10B36881"/>
    <w:multiLevelType w:val="hybridMultilevel"/>
    <w:tmpl w:val="FCB2EA06"/>
    <w:lvl w:ilvl="0" w:tplc="D110ED02">
      <w:start w:val="10"/>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 w15:restartNumberingAfterBreak="0">
    <w:nsid w:val="129752CE"/>
    <w:multiLevelType w:val="hybridMultilevel"/>
    <w:tmpl w:val="A588FD7E"/>
    <w:lvl w:ilvl="0" w:tplc="6A884DD6">
      <w:start w:val="1"/>
      <w:numFmt w:val="decimal"/>
      <w:lvlText w:val="(%1)"/>
      <w:lvlJc w:val="left"/>
      <w:pPr>
        <w:ind w:left="1440" w:hanging="360"/>
      </w:pPr>
      <w:rPr>
        <w:rFonts w:ascii="Times New Roman" w:eastAsia="SimSun" w:hAnsi="Times New Roman" w:cs="Times New Roman"/>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39C0C03"/>
    <w:multiLevelType w:val="hybridMultilevel"/>
    <w:tmpl w:val="0428C694"/>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1BE97124"/>
    <w:multiLevelType w:val="hybridMultilevel"/>
    <w:tmpl w:val="9162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C4D3F"/>
    <w:multiLevelType w:val="hybridMultilevel"/>
    <w:tmpl w:val="EF566F0E"/>
    <w:lvl w:ilvl="0" w:tplc="04090001">
      <w:start w:val="1"/>
      <w:numFmt w:val="bullet"/>
      <w:lvlText w:val=""/>
      <w:lvlJc w:val="left"/>
      <w:pPr>
        <w:tabs>
          <w:tab w:val="num" w:pos="480"/>
        </w:tabs>
        <w:ind w:left="480" w:hanging="480"/>
      </w:pPr>
      <w:rPr>
        <w:rFonts w:ascii="Wingdings" w:hAnsi="Wingdings" w:hint="default"/>
      </w:rPr>
    </w:lvl>
    <w:lvl w:ilvl="1" w:tplc="0409000B">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1C6D3BB4"/>
    <w:multiLevelType w:val="hybridMultilevel"/>
    <w:tmpl w:val="2E84C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CEB1258"/>
    <w:multiLevelType w:val="hybridMultilevel"/>
    <w:tmpl w:val="D3FAB160"/>
    <w:lvl w:ilvl="0" w:tplc="6212E974">
      <w:start w:val="1"/>
      <w:numFmt w:val="bullet"/>
      <w:lvlText w:val=""/>
      <w:lvlJc w:val="left"/>
      <w:pPr>
        <w:tabs>
          <w:tab w:val="num" w:pos="720"/>
        </w:tabs>
        <w:ind w:left="720" w:hanging="360"/>
      </w:pPr>
      <w:rPr>
        <w:rFonts w:ascii="Wingdings" w:hAnsi="Wingdings" w:hint="default"/>
      </w:rPr>
    </w:lvl>
    <w:lvl w:ilvl="1" w:tplc="B73E66A4">
      <w:start w:val="1"/>
      <w:numFmt w:val="bullet"/>
      <w:lvlText w:val=""/>
      <w:lvlJc w:val="left"/>
      <w:pPr>
        <w:tabs>
          <w:tab w:val="num" w:pos="1440"/>
        </w:tabs>
        <w:ind w:left="1440" w:hanging="360"/>
      </w:pPr>
      <w:rPr>
        <w:rFonts w:ascii="Wingdings" w:hAnsi="Wingdings" w:hint="default"/>
      </w:rPr>
    </w:lvl>
    <w:lvl w:ilvl="2" w:tplc="160AEF46">
      <w:start w:val="1"/>
      <w:numFmt w:val="bullet"/>
      <w:lvlText w:val=""/>
      <w:lvlJc w:val="left"/>
      <w:pPr>
        <w:tabs>
          <w:tab w:val="num" w:pos="2160"/>
        </w:tabs>
        <w:ind w:left="2160" w:hanging="360"/>
      </w:pPr>
      <w:rPr>
        <w:rFonts w:ascii="Wingdings" w:hAnsi="Wingdings" w:hint="default"/>
      </w:rPr>
    </w:lvl>
    <w:lvl w:ilvl="3" w:tplc="E6B687F2">
      <w:start w:val="1"/>
      <w:numFmt w:val="bullet"/>
      <w:lvlText w:val=""/>
      <w:lvlJc w:val="left"/>
      <w:pPr>
        <w:tabs>
          <w:tab w:val="num" w:pos="2880"/>
        </w:tabs>
        <w:ind w:left="2880" w:hanging="360"/>
      </w:pPr>
      <w:rPr>
        <w:rFonts w:ascii="Wingdings" w:hAnsi="Wingdings" w:hint="default"/>
      </w:rPr>
    </w:lvl>
    <w:lvl w:ilvl="4" w:tplc="B94621AE">
      <w:start w:val="1"/>
      <w:numFmt w:val="bullet"/>
      <w:lvlText w:val=""/>
      <w:lvlJc w:val="left"/>
      <w:pPr>
        <w:tabs>
          <w:tab w:val="num" w:pos="3600"/>
        </w:tabs>
        <w:ind w:left="3600" w:hanging="360"/>
      </w:pPr>
      <w:rPr>
        <w:rFonts w:ascii="Wingdings" w:hAnsi="Wingdings" w:hint="default"/>
      </w:rPr>
    </w:lvl>
    <w:lvl w:ilvl="5" w:tplc="64941030">
      <w:start w:val="1"/>
      <w:numFmt w:val="bullet"/>
      <w:lvlText w:val=""/>
      <w:lvlJc w:val="left"/>
      <w:pPr>
        <w:tabs>
          <w:tab w:val="num" w:pos="4320"/>
        </w:tabs>
        <w:ind w:left="4320" w:hanging="360"/>
      </w:pPr>
      <w:rPr>
        <w:rFonts w:ascii="Wingdings" w:hAnsi="Wingdings" w:hint="default"/>
      </w:rPr>
    </w:lvl>
    <w:lvl w:ilvl="6" w:tplc="40C2BAB2">
      <w:start w:val="1"/>
      <w:numFmt w:val="bullet"/>
      <w:lvlText w:val=""/>
      <w:lvlJc w:val="left"/>
      <w:pPr>
        <w:tabs>
          <w:tab w:val="num" w:pos="5040"/>
        </w:tabs>
        <w:ind w:left="5040" w:hanging="360"/>
      </w:pPr>
      <w:rPr>
        <w:rFonts w:ascii="Wingdings" w:hAnsi="Wingdings" w:hint="default"/>
      </w:rPr>
    </w:lvl>
    <w:lvl w:ilvl="7" w:tplc="EC82BCAA">
      <w:start w:val="1"/>
      <w:numFmt w:val="bullet"/>
      <w:lvlText w:val=""/>
      <w:lvlJc w:val="left"/>
      <w:pPr>
        <w:tabs>
          <w:tab w:val="num" w:pos="5760"/>
        </w:tabs>
        <w:ind w:left="5760" w:hanging="360"/>
      </w:pPr>
      <w:rPr>
        <w:rFonts w:ascii="Wingdings" w:hAnsi="Wingdings" w:hint="default"/>
      </w:rPr>
    </w:lvl>
    <w:lvl w:ilvl="8" w:tplc="486A6984">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773081"/>
    <w:multiLevelType w:val="hybridMultilevel"/>
    <w:tmpl w:val="0F20BF0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10" w15:restartNumberingAfterBreak="0">
    <w:nsid w:val="25B55403"/>
    <w:multiLevelType w:val="multilevel"/>
    <w:tmpl w:val="8FBCB744"/>
    <w:lvl w:ilvl="0">
      <w:start w:val="8"/>
      <w:numFmt w:val="decimal"/>
      <w:lvlText w:val="%1"/>
      <w:lvlJc w:val="left"/>
      <w:pPr>
        <w:ind w:left="960" w:hanging="960"/>
      </w:pPr>
      <w:rPr>
        <w:rFonts w:hint="default"/>
      </w:rPr>
    </w:lvl>
    <w:lvl w:ilvl="1">
      <w:start w:val="10"/>
      <w:numFmt w:val="decimal"/>
      <w:lvlText w:val="%1.%2"/>
      <w:lvlJc w:val="left"/>
      <w:pPr>
        <w:ind w:left="960" w:hanging="960"/>
      </w:pPr>
      <w:rPr>
        <w:rFonts w:hint="default"/>
      </w:rPr>
    </w:lvl>
    <w:lvl w:ilvl="2">
      <w:start w:val="2"/>
      <w:numFmt w:val="decimal"/>
      <w:lvlText w:val="%1.%2.%3"/>
      <w:lvlJc w:val="left"/>
      <w:pPr>
        <w:ind w:left="960" w:hanging="9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6BB186A"/>
    <w:multiLevelType w:val="multilevel"/>
    <w:tmpl w:val="B7FCE5FA"/>
    <w:lvl w:ilvl="0">
      <w:start w:val="9"/>
      <w:numFmt w:val="decimal"/>
      <w:lvlText w:val="%1"/>
      <w:lvlJc w:val="left"/>
      <w:pPr>
        <w:ind w:left="375" w:hanging="375"/>
      </w:pPr>
      <w:rPr>
        <w:rFonts w:hint="default"/>
      </w:rPr>
    </w:lvl>
    <w:lvl w:ilvl="1">
      <w:start w:val="8"/>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B4C3733"/>
    <w:multiLevelType w:val="hybridMultilevel"/>
    <w:tmpl w:val="DAA4707A"/>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Times New Roman" w:hint="default"/>
      </w:rPr>
    </w:lvl>
    <w:lvl w:ilvl="2" w:tplc="04090005">
      <w:start w:val="1"/>
      <w:numFmt w:val="bullet"/>
      <w:lvlText w:val=""/>
      <w:lvlJc w:val="left"/>
      <w:pPr>
        <w:ind w:left="2640" w:hanging="360"/>
      </w:pPr>
      <w:rPr>
        <w:rFonts w:ascii="Wingdings" w:hAnsi="Wingdings" w:hint="default"/>
      </w:rPr>
    </w:lvl>
    <w:lvl w:ilvl="3" w:tplc="04090001">
      <w:start w:val="1"/>
      <w:numFmt w:val="bullet"/>
      <w:lvlText w:val=""/>
      <w:lvlJc w:val="left"/>
      <w:pPr>
        <w:ind w:left="3360" w:hanging="360"/>
      </w:pPr>
      <w:rPr>
        <w:rFonts w:ascii="Symbol" w:hAnsi="Symbol" w:hint="default"/>
      </w:rPr>
    </w:lvl>
    <w:lvl w:ilvl="4" w:tplc="04090003">
      <w:start w:val="1"/>
      <w:numFmt w:val="bullet"/>
      <w:lvlText w:val="o"/>
      <w:lvlJc w:val="left"/>
      <w:pPr>
        <w:ind w:left="4080" w:hanging="360"/>
      </w:pPr>
      <w:rPr>
        <w:rFonts w:ascii="Courier New" w:hAnsi="Courier New" w:cs="Times New Roman" w:hint="default"/>
      </w:rPr>
    </w:lvl>
    <w:lvl w:ilvl="5" w:tplc="04090005">
      <w:start w:val="1"/>
      <w:numFmt w:val="bullet"/>
      <w:lvlText w:val=""/>
      <w:lvlJc w:val="left"/>
      <w:pPr>
        <w:ind w:left="4800" w:hanging="360"/>
      </w:pPr>
      <w:rPr>
        <w:rFonts w:ascii="Wingdings" w:hAnsi="Wingdings" w:hint="default"/>
      </w:rPr>
    </w:lvl>
    <w:lvl w:ilvl="6" w:tplc="04090001">
      <w:start w:val="1"/>
      <w:numFmt w:val="bullet"/>
      <w:lvlText w:val=""/>
      <w:lvlJc w:val="left"/>
      <w:pPr>
        <w:ind w:left="5520" w:hanging="360"/>
      </w:pPr>
      <w:rPr>
        <w:rFonts w:ascii="Symbol" w:hAnsi="Symbol" w:hint="default"/>
      </w:rPr>
    </w:lvl>
    <w:lvl w:ilvl="7" w:tplc="04090003">
      <w:start w:val="1"/>
      <w:numFmt w:val="bullet"/>
      <w:lvlText w:val="o"/>
      <w:lvlJc w:val="left"/>
      <w:pPr>
        <w:ind w:left="6240" w:hanging="360"/>
      </w:pPr>
      <w:rPr>
        <w:rFonts w:ascii="Courier New" w:hAnsi="Courier New" w:cs="Times New Roman" w:hint="default"/>
      </w:rPr>
    </w:lvl>
    <w:lvl w:ilvl="8" w:tplc="04090005">
      <w:start w:val="1"/>
      <w:numFmt w:val="bullet"/>
      <w:lvlText w:val=""/>
      <w:lvlJc w:val="left"/>
      <w:pPr>
        <w:ind w:left="6960" w:hanging="360"/>
      </w:pPr>
      <w:rPr>
        <w:rFonts w:ascii="Wingdings" w:hAnsi="Wingdings" w:hint="default"/>
      </w:rPr>
    </w:lvl>
  </w:abstractNum>
  <w:abstractNum w:abstractNumId="13" w15:restartNumberingAfterBreak="0">
    <w:nsid w:val="347406D7"/>
    <w:multiLevelType w:val="multilevel"/>
    <w:tmpl w:val="2354CE94"/>
    <w:lvl w:ilvl="0">
      <w:start w:val="9"/>
      <w:numFmt w:val="decimal"/>
      <w:lvlText w:val="%1"/>
      <w:lvlJc w:val="left"/>
      <w:pPr>
        <w:ind w:left="960" w:hanging="960"/>
      </w:pPr>
      <w:rPr>
        <w:rFonts w:hint="default"/>
      </w:rPr>
    </w:lvl>
    <w:lvl w:ilvl="1">
      <w:start w:val="10"/>
      <w:numFmt w:val="decimal"/>
      <w:lvlText w:val="%1.%2"/>
      <w:lvlJc w:val="left"/>
      <w:pPr>
        <w:ind w:left="960" w:hanging="960"/>
      </w:pPr>
      <w:rPr>
        <w:rFonts w:hint="default"/>
      </w:rPr>
    </w:lvl>
    <w:lvl w:ilvl="2">
      <w:start w:val="2"/>
      <w:numFmt w:val="decimal"/>
      <w:lvlText w:val="%1.%2.%3"/>
      <w:lvlJc w:val="left"/>
      <w:pPr>
        <w:ind w:left="960" w:hanging="9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34336B"/>
    <w:multiLevelType w:val="hybridMultilevel"/>
    <w:tmpl w:val="B3E28E4C"/>
    <w:lvl w:ilvl="0" w:tplc="0409000B">
      <w:start w:val="1"/>
      <w:numFmt w:val="bullet"/>
      <w:lvlText w:val=""/>
      <w:lvlJc w:val="left"/>
      <w:pPr>
        <w:ind w:left="1200" w:hanging="360"/>
      </w:pPr>
      <w:rPr>
        <w:rFonts w:ascii="Wingdings" w:hAnsi="Wingdings" w:hint="default"/>
      </w:rPr>
    </w:lvl>
    <w:lvl w:ilvl="1" w:tplc="04090003">
      <w:start w:val="1"/>
      <w:numFmt w:val="bullet"/>
      <w:lvlText w:val="o"/>
      <w:lvlJc w:val="left"/>
      <w:pPr>
        <w:ind w:left="1920" w:hanging="360"/>
      </w:pPr>
      <w:rPr>
        <w:rFonts w:ascii="Courier New" w:hAnsi="Courier New" w:cs="Times New Roman" w:hint="default"/>
      </w:rPr>
    </w:lvl>
    <w:lvl w:ilvl="2" w:tplc="04090005">
      <w:start w:val="1"/>
      <w:numFmt w:val="bullet"/>
      <w:lvlText w:val=""/>
      <w:lvlJc w:val="left"/>
      <w:pPr>
        <w:ind w:left="2640" w:hanging="360"/>
      </w:pPr>
      <w:rPr>
        <w:rFonts w:ascii="Wingdings" w:hAnsi="Wingdings" w:hint="default"/>
      </w:rPr>
    </w:lvl>
    <w:lvl w:ilvl="3" w:tplc="04090001">
      <w:start w:val="1"/>
      <w:numFmt w:val="bullet"/>
      <w:lvlText w:val=""/>
      <w:lvlJc w:val="left"/>
      <w:pPr>
        <w:ind w:left="3360" w:hanging="360"/>
      </w:pPr>
      <w:rPr>
        <w:rFonts w:ascii="Symbol" w:hAnsi="Symbol" w:hint="default"/>
      </w:rPr>
    </w:lvl>
    <w:lvl w:ilvl="4" w:tplc="04090003">
      <w:start w:val="1"/>
      <w:numFmt w:val="bullet"/>
      <w:lvlText w:val="o"/>
      <w:lvlJc w:val="left"/>
      <w:pPr>
        <w:ind w:left="4080" w:hanging="360"/>
      </w:pPr>
      <w:rPr>
        <w:rFonts w:ascii="Courier New" w:hAnsi="Courier New" w:cs="Times New Roman" w:hint="default"/>
      </w:rPr>
    </w:lvl>
    <w:lvl w:ilvl="5" w:tplc="04090005">
      <w:start w:val="1"/>
      <w:numFmt w:val="bullet"/>
      <w:lvlText w:val=""/>
      <w:lvlJc w:val="left"/>
      <w:pPr>
        <w:ind w:left="4800" w:hanging="360"/>
      </w:pPr>
      <w:rPr>
        <w:rFonts w:ascii="Wingdings" w:hAnsi="Wingdings" w:hint="default"/>
      </w:rPr>
    </w:lvl>
    <w:lvl w:ilvl="6" w:tplc="04090001">
      <w:start w:val="1"/>
      <w:numFmt w:val="bullet"/>
      <w:lvlText w:val=""/>
      <w:lvlJc w:val="left"/>
      <w:pPr>
        <w:ind w:left="5520" w:hanging="360"/>
      </w:pPr>
      <w:rPr>
        <w:rFonts w:ascii="Symbol" w:hAnsi="Symbol" w:hint="default"/>
      </w:rPr>
    </w:lvl>
    <w:lvl w:ilvl="7" w:tplc="04090003">
      <w:start w:val="1"/>
      <w:numFmt w:val="bullet"/>
      <w:lvlText w:val="o"/>
      <w:lvlJc w:val="left"/>
      <w:pPr>
        <w:ind w:left="6240" w:hanging="360"/>
      </w:pPr>
      <w:rPr>
        <w:rFonts w:ascii="Courier New" w:hAnsi="Courier New" w:cs="Times New Roman" w:hint="default"/>
      </w:rPr>
    </w:lvl>
    <w:lvl w:ilvl="8" w:tplc="04090005">
      <w:start w:val="1"/>
      <w:numFmt w:val="bullet"/>
      <w:lvlText w:val=""/>
      <w:lvlJc w:val="left"/>
      <w:pPr>
        <w:ind w:left="6960" w:hanging="360"/>
      </w:pPr>
      <w:rPr>
        <w:rFonts w:ascii="Wingdings" w:hAnsi="Wingdings" w:hint="default"/>
      </w:rPr>
    </w:lvl>
  </w:abstractNum>
  <w:abstractNum w:abstractNumId="15" w15:restartNumberingAfterBreak="0">
    <w:nsid w:val="3CB371D2"/>
    <w:multiLevelType w:val="hybridMultilevel"/>
    <w:tmpl w:val="34A62DA6"/>
    <w:lvl w:ilvl="0" w:tplc="BE788A2E">
      <w:start w:val="1"/>
      <w:numFmt w:val="lowerLetter"/>
      <w:lvlText w:val="(%1)"/>
      <w:lvlJc w:val="left"/>
      <w:pPr>
        <w:tabs>
          <w:tab w:val="num" w:pos="1440"/>
        </w:tabs>
        <w:ind w:left="1440" w:hanging="360"/>
      </w:pPr>
      <w:rPr>
        <w:rFonts w:cs="Times New Roman"/>
      </w:rPr>
    </w:lvl>
    <w:lvl w:ilvl="1" w:tplc="C89EEF6E">
      <w:start w:val="1"/>
      <w:numFmt w:val="decimal"/>
      <w:lvlText w:val="(%2)"/>
      <w:lvlJc w:val="left"/>
      <w:pPr>
        <w:tabs>
          <w:tab w:val="num" w:pos="1920"/>
        </w:tabs>
        <w:ind w:left="1920" w:hanging="360"/>
      </w:pPr>
      <w:rPr>
        <w:rFonts w:ascii="Times New Roman" w:eastAsia="Times New Roman" w:hAnsi="Times New Roman" w:cs="Times New Roman"/>
      </w:rPr>
    </w:lvl>
    <w:lvl w:ilvl="2" w:tplc="0409001B">
      <w:start w:val="1"/>
      <w:numFmt w:val="lowerRoman"/>
      <w:lvlText w:val="%3."/>
      <w:lvlJc w:val="right"/>
      <w:pPr>
        <w:tabs>
          <w:tab w:val="num" w:pos="2520"/>
        </w:tabs>
        <w:ind w:left="2520" w:hanging="480"/>
      </w:pPr>
      <w:rPr>
        <w:rFonts w:cs="Times New Roman"/>
      </w:rPr>
    </w:lvl>
    <w:lvl w:ilvl="3" w:tplc="0409000F">
      <w:start w:val="1"/>
      <w:numFmt w:val="decimal"/>
      <w:lvlText w:val="%4."/>
      <w:lvlJc w:val="left"/>
      <w:pPr>
        <w:tabs>
          <w:tab w:val="num" w:pos="3000"/>
        </w:tabs>
        <w:ind w:left="3000" w:hanging="480"/>
      </w:pPr>
      <w:rPr>
        <w:rFonts w:cs="Times New Roman"/>
      </w:rPr>
    </w:lvl>
    <w:lvl w:ilvl="4" w:tplc="04090019">
      <w:start w:val="1"/>
      <w:numFmt w:val="ideographTraditional"/>
      <w:lvlText w:val="%5、"/>
      <w:lvlJc w:val="left"/>
      <w:pPr>
        <w:tabs>
          <w:tab w:val="num" w:pos="3480"/>
        </w:tabs>
        <w:ind w:left="3480" w:hanging="480"/>
      </w:pPr>
      <w:rPr>
        <w:rFonts w:cs="Times New Roman"/>
      </w:rPr>
    </w:lvl>
    <w:lvl w:ilvl="5" w:tplc="0409001B">
      <w:start w:val="1"/>
      <w:numFmt w:val="lowerRoman"/>
      <w:lvlText w:val="%6."/>
      <w:lvlJc w:val="right"/>
      <w:pPr>
        <w:tabs>
          <w:tab w:val="num" w:pos="3960"/>
        </w:tabs>
        <w:ind w:left="3960" w:hanging="480"/>
      </w:pPr>
      <w:rPr>
        <w:rFonts w:cs="Times New Roman"/>
      </w:rPr>
    </w:lvl>
    <w:lvl w:ilvl="6" w:tplc="0409000F">
      <w:start w:val="1"/>
      <w:numFmt w:val="decimal"/>
      <w:lvlText w:val="%7."/>
      <w:lvlJc w:val="left"/>
      <w:pPr>
        <w:tabs>
          <w:tab w:val="num" w:pos="4440"/>
        </w:tabs>
        <w:ind w:left="4440" w:hanging="480"/>
      </w:pPr>
      <w:rPr>
        <w:rFonts w:cs="Times New Roman"/>
      </w:rPr>
    </w:lvl>
    <w:lvl w:ilvl="7" w:tplc="04090019">
      <w:start w:val="1"/>
      <w:numFmt w:val="ideographTraditional"/>
      <w:lvlText w:val="%8、"/>
      <w:lvlJc w:val="left"/>
      <w:pPr>
        <w:tabs>
          <w:tab w:val="num" w:pos="4920"/>
        </w:tabs>
        <w:ind w:left="4920" w:hanging="480"/>
      </w:pPr>
      <w:rPr>
        <w:rFonts w:cs="Times New Roman"/>
      </w:rPr>
    </w:lvl>
    <w:lvl w:ilvl="8" w:tplc="0409001B">
      <w:start w:val="1"/>
      <w:numFmt w:val="lowerRoman"/>
      <w:lvlText w:val="%9."/>
      <w:lvlJc w:val="right"/>
      <w:pPr>
        <w:tabs>
          <w:tab w:val="num" w:pos="5400"/>
        </w:tabs>
        <w:ind w:left="5400" w:hanging="480"/>
      </w:pPr>
      <w:rPr>
        <w:rFonts w:cs="Times New Roman"/>
      </w:rPr>
    </w:lvl>
  </w:abstractNum>
  <w:abstractNum w:abstractNumId="16" w15:restartNumberingAfterBreak="0">
    <w:nsid w:val="3D3009A5"/>
    <w:multiLevelType w:val="hybridMultilevel"/>
    <w:tmpl w:val="690A2A04"/>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D714831"/>
    <w:multiLevelType w:val="hybridMultilevel"/>
    <w:tmpl w:val="9702B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4E5572D"/>
    <w:multiLevelType w:val="multilevel"/>
    <w:tmpl w:val="BE74144C"/>
    <w:lvl w:ilvl="0">
      <w:start w:val="8"/>
      <w:numFmt w:val="decimal"/>
      <w:lvlText w:val="%1."/>
      <w:lvlJc w:val="left"/>
      <w:pPr>
        <w:ind w:left="720" w:hanging="360"/>
      </w:pPr>
    </w:lvl>
    <w:lvl w:ilvl="1">
      <w:start w:val="8"/>
      <w:numFmt w:val="decimal"/>
      <w:isLgl/>
      <w:lvlText w:val="%1.%2"/>
      <w:lvlJc w:val="left"/>
      <w:pPr>
        <w:ind w:left="735" w:hanging="37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9" w15:restartNumberingAfterBreak="0">
    <w:nsid w:val="47747791"/>
    <w:multiLevelType w:val="hybridMultilevel"/>
    <w:tmpl w:val="8FD0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7FB3814"/>
    <w:multiLevelType w:val="hybridMultilevel"/>
    <w:tmpl w:val="20583FFC"/>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21" w15:restartNumberingAfterBreak="0">
    <w:nsid w:val="53B87E25"/>
    <w:multiLevelType w:val="multilevel"/>
    <w:tmpl w:val="2954F82E"/>
    <w:lvl w:ilvl="0">
      <w:start w:val="9"/>
      <w:numFmt w:val="decimal"/>
      <w:lvlText w:val="%1"/>
      <w:lvlJc w:val="left"/>
      <w:pPr>
        <w:ind w:left="375" w:hanging="375"/>
      </w:pPr>
      <w:rPr>
        <w:rFonts w:hint="default"/>
      </w:rPr>
    </w:lvl>
    <w:lvl w:ilvl="1">
      <w:start w:val="8"/>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BF327D"/>
    <w:multiLevelType w:val="hybridMultilevel"/>
    <w:tmpl w:val="0592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008D0"/>
    <w:multiLevelType w:val="hybridMultilevel"/>
    <w:tmpl w:val="8E7CB16A"/>
    <w:lvl w:ilvl="0" w:tplc="04090001">
      <w:start w:val="1"/>
      <w:numFmt w:val="bullet"/>
      <w:lvlText w:val=""/>
      <w:lvlJc w:val="left"/>
      <w:pPr>
        <w:tabs>
          <w:tab w:val="num" w:pos="960"/>
        </w:tabs>
        <w:ind w:left="960" w:hanging="480"/>
      </w:pPr>
      <w:rPr>
        <w:rFonts w:ascii="Wingdings" w:hAnsi="Wingdings" w:hint="default"/>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rPr>
    </w:lvl>
    <w:lvl w:ilvl="4" w:tplc="04090003">
      <w:start w:val="1"/>
      <w:numFmt w:val="bullet"/>
      <w:lvlText w:val=""/>
      <w:lvlJc w:val="left"/>
      <w:pPr>
        <w:tabs>
          <w:tab w:val="num" w:pos="2880"/>
        </w:tabs>
        <w:ind w:left="2880" w:hanging="480"/>
      </w:pPr>
      <w:rPr>
        <w:rFonts w:ascii="Wingdings" w:hAnsi="Wingdings" w:hint="default"/>
      </w:rPr>
    </w:lvl>
    <w:lvl w:ilvl="5" w:tplc="04090005">
      <w:start w:val="1"/>
      <w:numFmt w:val="bullet"/>
      <w:lvlText w:val=""/>
      <w:lvlJc w:val="left"/>
      <w:pPr>
        <w:tabs>
          <w:tab w:val="num" w:pos="3360"/>
        </w:tabs>
        <w:ind w:left="3360" w:hanging="480"/>
      </w:pPr>
      <w:rPr>
        <w:rFonts w:ascii="Wingdings" w:hAnsi="Wingdings" w:hint="default"/>
      </w:rPr>
    </w:lvl>
    <w:lvl w:ilvl="6" w:tplc="04090001">
      <w:start w:val="1"/>
      <w:numFmt w:val="bullet"/>
      <w:lvlText w:val=""/>
      <w:lvlJc w:val="left"/>
      <w:pPr>
        <w:tabs>
          <w:tab w:val="num" w:pos="3840"/>
        </w:tabs>
        <w:ind w:left="3840" w:hanging="480"/>
      </w:pPr>
      <w:rPr>
        <w:rFonts w:ascii="Wingdings" w:hAnsi="Wingdings" w:hint="default"/>
      </w:rPr>
    </w:lvl>
    <w:lvl w:ilvl="7" w:tplc="04090003">
      <w:start w:val="1"/>
      <w:numFmt w:val="bullet"/>
      <w:lvlText w:val=""/>
      <w:lvlJc w:val="left"/>
      <w:pPr>
        <w:tabs>
          <w:tab w:val="num" w:pos="4320"/>
        </w:tabs>
        <w:ind w:left="4320" w:hanging="480"/>
      </w:pPr>
      <w:rPr>
        <w:rFonts w:ascii="Wingdings" w:hAnsi="Wingdings" w:hint="default"/>
      </w:rPr>
    </w:lvl>
    <w:lvl w:ilvl="8" w:tplc="04090005">
      <w:start w:val="1"/>
      <w:numFmt w:val="bullet"/>
      <w:lvlText w:val=""/>
      <w:lvlJc w:val="left"/>
      <w:pPr>
        <w:tabs>
          <w:tab w:val="num" w:pos="4800"/>
        </w:tabs>
        <w:ind w:left="4800" w:hanging="480"/>
      </w:pPr>
      <w:rPr>
        <w:rFonts w:ascii="Wingdings" w:hAnsi="Wingdings" w:hint="default"/>
      </w:rPr>
    </w:lvl>
  </w:abstractNum>
  <w:abstractNum w:abstractNumId="24" w15:restartNumberingAfterBreak="0">
    <w:nsid w:val="5C9801A8"/>
    <w:multiLevelType w:val="hybridMultilevel"/>
    <w:tmpl w:val="11949CF0"/>
    <w:lvl w:ilvl="0" w:tplc="04090001">
      <w:start w:val="1"/>
      <w:numFmt w:val="bullet"/>
      <w:lvlText w:val=""/>
      <w:lvlJc w:val="left"/>
      <w:pPr>
        <w:tabs>
          <w:tab w:val="num" w:pos="480"/>
        </w:tabs>
        <w:ind w:left="480" w:hanging="480"/>
      </w:pPr>
      <w:rPr>
        <w:rFonts w:ascii="Wingdings" w:hAnsi="Wingdings" w:hint="default"/>
      </w:rPr>
    </w:lvl>
    <w:lvl w:ilvl="1" w:tplc="25881A88">
      <w:start w:val="1"/>
      <w:numFmt w:val="decimal"/>
      <w:lvlText w:val="(%2)"/>
      <w:lvlJc w:val="left"/>
      <w:pPr>
        <w:tabs>
          <w:tab w:val="num" w:pos="960"/>
        </w:tabs>
        <w:ind w:left="960" w:hanging="480"/>
      </w:pPr>
      <w:rPr>
        <w:rFonts w:ascii="Times New Roman" w:eastAsia="Times New Roman" w:hAnsi="Times New Roman" w:cs="Times New Roman"/>
      </w:rPr>
    </w:lvl>
    <w:lvl w:ilvl="2" w:tplc="0409000D">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25" w15:restartNumberingAfterBreak="0">
    <w:nsid w:val="5CAB65B6"/>
    <w:multiLevelType w:val="multilevel"/>
    <w:tmpl w:val="93A0FAE6"/>
    <w:lvl w:ilvl="0">
      <w:start w:val="8"/>
      <w:numFmt w:val="decimal"/>
      <w:lvlText w:val="%1"/>
      <w:lvlJc w:val="left"/>
      <w:pPr>
        <w:ind w:left="600" w:hanging="600"/>
      </w:pPr>
      <w:rPr>
        <w:rFonts w:hint="default"/>
      </w:rPr>
    </w:lvl>
    <w:lvl w:ilvl="1">
      <w:start w:val="8"/>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333B29"/>
    <w:multiLevelType w:val="hybridMultilevel"/>
    <w:tmpl w:val="B164BDD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Times New Roman"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Times New Roman"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Times New Roman" w:hint="default"/>
      </w:rPr>
    </w:lvl>
    <w:lvl w:ilvl="8" w:tplc="04090005">
      <w:start w:val="1"/>
      <w:numFmt w:val="bullet"/>
      <w:lvlText w:val=""/>
      <w:lvlJc w:val="left"/>
      <w:pPr>
        <w:ind w:left="6540" w:hanging="360"/>
      </w:pPr>
      <w:rPr>
        <w:rFonts w:ascii="Wingdings" w:hAnsi="Wingdings" w:hint="default"/>
      </w:rPr>
    </w:lvl>
  </w:abstractNum>
  <w:abstractNum w:abstractNumId="27" w15:restartNumberingAfterBreak="0">
    <w:nsid w:val="674D4217"/>
    <w:multiLevelType w:val="hybridMultilevel"/>
    <w:tmpl w:val="5E14A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78053F4"/>
    <w:multiLevelType w:val="hybridMultilevel"/>
    <w:tmpl w:val="AB86BBDA"/>
    <w:lvl w:ilvl="0" w:tplc="04090001">
      <w:start w:val="1"/>
      <w:numFmt w:val="bullet"/>
      <w:lvlText w:val=""/>
      <w:lvlJc w:val="left"/>
      <w:pPr>
        <w:tabs>
          <w:tab w:val="num" w:pos="480"/>
        </w:tabs>
        <w:ind w:left="480" w:hanging="480"/>
      </w:pPr>
      <w:rPr>
        <w:rFonts w:ascii="Wingdings" w:hAnsi="Wingdings" w:hint="default"/>
      </w:rPr>
    </w:lvl>
    <w:lvl w:ilvl="1" w:tplc="0409000B">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69EB391A"/>
    <w:multiLevelType w:val="hybridMultilevel"/>
    <w:tmpl w:val="AC4C63A2"/>
    <w:lvl w:ilvl="0" w:tplc="00F646E2">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CC6682"/>
    <w:multiLevelType w:val="hybridMultilevel"/>
    <w:tmpl w:val="D1509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0C017A"/>
    <w:multiLevelType w:val="hybridMultilevel"/>
    <w:tmpl w:val="83FCF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F770233"/>
    <w:multiLevelType w:val="multilevel"/>
    <w:tmpl w:val="B39AA022"/>
    <w:lvl w:ilvl="0">
      <w:start w:val="4"/>
      <w:numFmt w:val="decimal"/>
      <w:lvlText w:val="%1."/>
      <w:lvlJc w:val="left"/>
      <w:pPr>
        <w:ind w:left="720" w:hanging="360"/>
      </w:pPr>
    </w:lvl>
    <w:lvl w:ilvl="1">
      <w:start w:val="8"/>
      <w:numFmt w:val="decimal"/>
      <w:isLgl/>
      <w:lvlText w:val="%1.%2"/>
      <w:lvlJc w:val="left"/>
      <w:pPr>
        <w:ind w:left="960" w:hanging="600"/>
      </w:pPr>
    </w:lvl>
    <w:lvl w:ilvl="2">
      <w:start w:val="2"/>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3" w15:restartNumberingAfterBreak="0">
    <w:nsid w:val="74A075C6"/>
    <w:multiLevelType w:val="hybridMultilevel"/>
    <w:tmpl w:val="3370D78E"/>
    <w:lvl w:ilvl="0" w:tplc="04090001">
      <w:start w:val="1"/>
      <w:numFmt w:val="bullet"/>
      <w:lvlText w:val=""/>
      <w:lvlJc w:val="left"/>
      <w:pPr>
        <w:tabs>
          <w:tab w:val="num" w:pos="1440"/>
        </w:tabs>
        <w:ind w:left="1440" w:hanging="480"/>
      </w:pPr>
      <w:rPr>
        <w:rFonts w:ascii="Symbol" w:hAnsi="Symbol" w:hint="default"/>
      </w:rPr>
    </w:lvl>
    <w:lvl w:ilvl="1" w:tplc="0409000B">
      <w:start w:val="1"/>
      <w:numFmt w:val="bullet"/>
      <w:lvlText w:val=""/>
      <w:lvlJc w:val="left"/>
      <w:pPr>
        <w:tabs>
          <w:tab w:val="num" w:pos="1920"/>
        </w:tabs>
        <w:ind w:left="1920" w:hanging="480"/>
      </w:pPr>
      <w:rPr>
        <w:rFonts w:ascii="Wingdings" w:hAnsi="Wingdings" w:hint="default"/>
      </w:rPr>
    </w:lvl>
    <w:lvl w:ilvl="2" w:tplc="04090001">
      <w:start w:val="1"/>
      <w:numFmt w:val="bullet"/>
      <w:lvlText w:val=""/>
      <w:lvlJc w:val="left"/>
      <w:pPr>
        <w:tabs>
          <w:tab w:val="num" w:pos="2400"/>
        </w:tabs>
        <w:ind w:left="2400" w:hanging="480"/>
      </w:pPr>
      <w:rPr>
        <w:rFonts w:ascii="Wingdings" w:hAnsi="Wingdings" w:hint="default"/>
      </w:rPr>
    </w:lvl>
    <w:lvl w:ilvl="3" w:tplc="04090001">
      <w:start w:val="1"/>
      <w:numFmt w:val="bullet"/>
      <w:lvlText w:val=""/>
      <w:lvlJc w:val="left"/>
      <w:pPr>
        <w:tabs>
          <w:tab w:val="num" w:pos="2880"/>
        </w:tabs>
        <w:ind w:left="2880" w:hanging="480"/>
      </w:pPr>
      <w:rPr>
        <w:rFonts w:ascii="Wingdings" w:hAnsi="Wingdings" w:hint="default"/>
      </w:rPr>
    </w:lvl>
    <w:lvl w:ilvl="4" w:tplc="04090003">
      <w:start w:val="1"/>
      <w:numFmt w:val="bullet"/>
      <w:lvlText w:val=""/>
      <w:lvlJc w:val="left"/>
      <w:pPr>
        <w:tabs>
          <w:tab w:val="num" w:pos="3360"/>
        </w:tabs>
        <w:ind w:left="3360" w:hanging="480"/>
      </w:pPr>
      <w:rPr>
        <w:rFonts w:ascii="Wingdings" w:hAnsi="Wingdings" w:hint="default"/>
      </w:rPr>
    </w:lvl>
    <w:lvl w:ilvl="5" w:tplc="04090005">
      <w:start w:val="1"/>
      <w:numFmt w:val="bullet"/>
      <w:lvlText w:val=""/>
      <w:lvlJc w:val="left"/>
      <w:pPr>
        <w:tabs>
          <w:tab w:val="num" w:pos="3840"/>
        </w:tabs>
        <w:ind w:left="3840" w:hanging="480"/>
      </w:pPr>
      <w:rPr>
        <w:rFonts w:ascii="Wingdings" w:hAnsi="Wingdings" w:hint="default"/>
      </w:rPr>
    </w:lvl>
    <w:lvl w:ilvl="6" w:tplc="04090001">
      <w:start w:val="1"/>
      <w:numFmt w:val="bullet"/>
      <w:lvlText w:val=""/>
      <w:lvlJc w:val="left"/>
      <w:pPr>
        <w:tabs>
          <w:tab w:val="num" w:pos="4320"/>
        </w:tabs>
        <w:ind w:left="4320" w:hanging="480"/>
      </w:pPr>
      <w:rPr>
        <w:rFonts w:ascii="Wingdings" w:hAnsi="Wingdings" w:hint="default"/>
      </w:rPr>
    </w:lvl>
    <w:lvl w:ilvl="7" w:tplc="04090003">
      <w:start w:val="1"/>
      <w:numFmt w:val="bullet"/>
      <w:lvlText w:val=""/>
      <w:lvlJc w:val="left"/>
      <w:pPr>
        <w:tabs>
          <w:tab w:val="num" w:pos="4800"/>
        </w:tabs>
        <w:ind w:left="4800" w:hanging="480"/>
      </w:pPr>
      <w:rPr>
        <w:rFonts w:ascii="Wingdings" w:hAnsi="Wingdings" w:hint="default"/>
      </w:rPr>
    </w:lvl>
    <w:lvl w:ilvl="8" w:tplc="04090005">
      <w:start w:val="1"/>
      <w:numFmt w:val="bullet"/>
      <w:lvlText w:val=""/>
      <w:lvlJc w:val="left"/>
      <w:pPr>
        <w:tabs>
          <w:tab w:val="num" w:pos="5280"/>
        </w:tabs>
        <w:ind w:left="5280" w:hanging="480"/>
      </w:pPr>
      <w:rPr>
        <w:rFonts w:ascii="Wingdings" w:hAnsi="Wingdings" w:hint="default"/>
      </w:rPr>
    </w:lvl>
  </w:abstractNum>
  <w:abstractNum w:abstractNumId="34" w15:restartNumberingAfterBreak="0">
    <w:nsid w:val="77FD77CF"/>
    <w:multiLevelType w:val="hybridMultilevel"/>
    <w:tmpl w:val="0292EBBE"/>
    <w:lvl w:ilvl="0" w:tplc="04090005">
      <w:start w:val="1"/>
      <w:numFmt w:val="bullet"/>
      <w:lvlText w:val=""/>
      <w:lvlJc w:val="left"/>
      <w:pPr>
        <w:ind w:left="1276" w:hanging="360"/>
      </w:pPr>
      <w:rPr>
        <w:rFonts w:ascii="Wingdings" w:hAnsi="Wingdings" w:hint="default"/>
      </w:rPr>
    </w:lvl>
    <w:lvl w:ilvl="1" w:tplc="04090003">
      <w:start w:val="1"/>
      <w:numFmt w:val="bullet"/>
      <w:lvlText w:val="o"/>
      <w:lvlJc w:val="left"/>
      <w:pPr>
        <w:ind w:left="1996" w:hanging="360"/>
      </w:pPr>
      <w:rPr>
        <w:rFonts w:ascii="Courier New" w:hAnsi="Courier New" w:cs="Courier New" w:hint="default"/>
      </w:rPr>
    </w:lvl>
    <w:lvl w:ilvl="2" w:tplc="04090005">
      <w:start w:val="1"/>
      <w:numFmt w:val="bullet"/>
      <w:lvlText w:val=""/>
      <w:lvlJc w:val="left"/>
      <w:pPr>
        <w:ind w:left="2716" w:hanging="360"/>
      </w:pPr>
      <w:rPr>
        <w:rFonts w:ascii="Wingdings" w:hAnsi="Wingdings" w:hint="default"/>
      </w:rPr>
    </w:lvl>
    <w:lvl w:ilvl="3" w:tplc="04090001">
      <w:start w:val="1"/>
      <w:numFmt w:val="bullet"/>
      <w:lvlText w:val=""/>
      <w:lvlJc w:val="left"/>
      <w:pPr>
        <w:ind w:left="3436" w:hanging="360"/>
      </w:pPr>
      <w:rPr>
        <w:rFonts w:ascii="Symbol" w:hAnsi="Symbol" w:hint="default"/>
      </w:rPr>
    </w:lvl>
    <w:lvl w:ilvl="4" w:tplc="04090003">
      <w:start w:val="1"/>
      <w:numFmt w:val="bullet"/>
      <w:lvlText w:val="o"/>
      <w:lvlJc w:val="left"/>
      <w:pPr>
        <w:ind w:left="4156" w:hanging="360"/>
      </w:pPr>
      <w:rPr>
        <w:rFonts w:ascii="Courier New" w:hAnsi="Courier New" w:cs="Courier New" w:hint="default"/>
      </w:rPr>
    </w:lvl>
    <w:lvl w:ilvl="5" w:tplc="04090005">
      <w:start w:val="1"/>
      <w:numFmt w:val="bullet"/>
      <w:lvlText w:val=""/>
      <w:lvlJc w:val="left"/>
      <w:pPr>
        <w:ind w:left="4876" w:hanging="360"/>
      </w:pPr>
      <w:rPr>
        <w:rFonts w:ascii="Wingdings" w:hAnsi="Wingdings" w:hint="default"/>
      </w:rPr>
    </w:lvl>
    <w:lvl w:ilvl="6" w:tplc="04090001">
      <w:start w:val="1"/>
      <w:numFmt w:val="bullet"/>
      <w:lvlText w:val=""/>
      <w:lvlJc w:val="left"/>
      <w:pPr>
        <w:ind w:left="5596" w:hanging="360"/>
      </w:pPr>
      <w:rPr>
        <w:rFonts w:ascii="Symbol" w:hAnsi="Symbol" w:hint="default"/>
      </w:rPr>
    </w:lvl>
    <w:lvl w:ilvl="7" w:tplc="04090003">
      <w:start w:val="1"/>
      <w:numFmt w:val="bullet"/>
      <w:lvlText w:val="o"/>
      <w:lvlJc w:val="left"/>
      <w:pPr>
        <w:ind w:left="6316" w:hanging="360"/>
      </w:pPr>
      <w:rPr>
        <w:rFonts w:ascii="Courier New" w:hAnsi="Courier New" w:cs="Courier New" w:hint="default"/>
      </w:rPr>
    </w:lvl>
    <w:lvl w:ilvl="8" w:tplc="04090005">
      <w:start w:val="1"/>
      <w:numFmt w:val="bullet"/>
      <w:lvlText w:val=""/>
      <w:lvlJc w:val="left"/>
      <w:pPr>
        <w:ind w:left="7036" w:hanging="360"/>
      </w:pPr>
      <w:rPr>
        <w:rFonts w:ascii="Wingdings" w:hAnsi="Wingdings" w:hint="default"/>
      </w:rPr>
    </w:lvl>
  </w:abstractNum>
  <w:abstractNum w:abstractNumId="35" w15:restartNumberingAfterBreak="0">
    <w:nsid w:val="79225D1B"/>
    <w:multiLevelType w:val="hybridMultilevel"/>
    <w:tmpl w:val="5F76D058"/>
    <w:lvl w:ilvl="0" w:tplc="7D80255A">
      <w:start w:val="1"/>
      <w:numFmt w:val="bullet"/>
      <w:lvlText w:val=""/>
      <w:lvlJc w:val="left"/>
      <w:pPr>
        <w:tabs>
          <w:tab w:val="num" w:pos="720"/>
        </w:tabs>
        <w:ind w:left="720" w:hanging="360"/>
      </w:pPr>
      <w:rPr>
        <w:rFonts w:ascii="Wingdings" w:hAnsi="Wingdings" w:hint="default"/>
      </w:rPr>
    </w:lvl>
    <w:lvl w:ilvl="1" w:tplc="4AECC0E2" w:tentative="1">
      <w:start w:val="1"/>
      <w:numFmt w:val="bullet"/>
      <w:lvlText w:val=""/>
      <w:lvlJc w:val="left"/>
      <w:pPr>
        <w:tabs>
          <w:tab w:val="num" w:pos="1440"/>
        </w:tabs>
        <w:ind w:left="1440" w:hanging="360"/>
      </w:pPr>
      <w:rPr>
        <w:rFonts w:ascii="Wingdings" w:hAnsi="Wingdings" w:hint="default"/>
      </w:rPr>
    </w:lvl>
    <w:lvl w:ilvl="2" w:tplc="187CACA2" w:tentative="1">
      <w:start w:val="1"/>
      <w:numFmt w:val="bullet"/>
      <w:lvlText w:val=""/>
      <w:lvlJc w:val="left"/>
      <w:pPr>
        <w:tabs>
          <w:tab w:val="num" w:pos="2160"/>
        </w:tabs>
        <w:ind w:left="2160" w:hanging="360"/>
      </w:pPr>
      <w:rPr>
        <w:rFonts w:ascii="Wingdings" w:hAnsi="Wingdings" w:hint="default"/>
      </w:rPr>
    </w:lvl>
    <w:lvl w:ilvl="3" w:tplc="442CCF9C" w:tentative="1">
      <w:start w:val="1"/>
      <w:numFmt w:val="bullet"/>
      <w:lvlText w:val=""/>
      <w:lvlJc w:val="left"/>
      <w:pPr>
        <w:tabs>
          <w:tab w:val="num" w:pos="2880"/>
        </w:tabs>
        <w:ind w:left="2880" w:hanging="360"/>
      </w:pPr>
      <w:rPr>
        <w:rFonts w:ascii="Wingdings" w:hAnsi="Wingdings" w:hint="default"/>
      </w:rPr>
    </w:lvl>
    <w:lvl w:ilvl="4" w:tplc="28989C96" w:tentative="1">
      <w:start w:val="1"/>
      <w:numFmt w:val="bullet"/>
      <w:lvlText w:val=""/>
      <w:lvlJc w:val="left"/>
      <w:pPr>
        <w:tabs>
          <w:tab w:val="num" w:pos="3600"/>
        </w:tabs>
        <w:ind w:left="3600" w:hanging="360"/>
      </w:pPr>
      <w:rPr>
        <w:rFonts w:ascii="Wingdings" w:hAnsi="Wingdings" w:hint="default"/>
      </w:rPr>
    </w:lvl>
    <w:lvl w:ilvl="5" w:tplc="91167F1A" w:tentative="1">
      <w:start w:val="1"/>
      <w:numFmt w:val="bullet"/>
      <w:lvlText w:val=""/>
      <w:lvlJc w:val="left"/>
      <w:pPr>
        <w:tabs>
          <w:tab w:val="num" w:pos="4320"/>
        </w:tabs>
        <w:ind w:left="4320" w:hanging="360"/>
      </w:pPr>
      <w:rPr>
        <w:rFonts w:ascii="Wingdings" w:hAnsi="Wingdings" w:hint="default"/>
      </w:rPr>
    </w:lvl>
    <w:lvl w:ilvl="6" w:tplc="6C9C2210" w:tentative="1">
      <w:start w:val="1"/>
      <w:numFmt w:val="bullet"/>
      <w:lvlText w:val=""/>
      <w:lvlJc w:val="left"/>
      <w:pPr>
        <w:tabs>
          <w:tab w:val="num" w:pos="5040"/>
        </w:tabs>
        <w:ind w:left="5040" w:hanging="360"/>
      </w:pPr>
      <w:rPr>
        <w:rFonts w:ascii="Wingdings" w:hAnsi="Wingdings" w:hint="default"/>
      </w:rPr>
    </w:lvl>
    <w:lvl w:ilvl="7" w:tplc="37F2CB64" w:tentative="1">
      <w:start w:val="1"/>
      <w:numFmt w:val="bullet"/>
      <w:lvlText w:val=""/>
      <w:lvlJc w:val="left"/>
      <w:pPr>
        <w:tabs>
          <w:tab w:val="num" w:pos="5760"/>
        </w:tabs>
        <w:ind w:left="5760" w:hanging="360"/>
      </w:pPr>
      <w:rPr>
        <w:rFonts w:ascii="Wingdings" w:hAnsi="Wingdings" w:hint="default"/>
      </w:rPr>
    </w:lvl>
    <w:lvl w:ilvl="8" w:tplc="2F5E84D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880C59"/>
    <w:multiLevelType w:val="hybridMultilevel"/>
    <w:tmpl w:val="A96AED18"/>
    <w:lvl w:ilvl="0" w:tplc="0409000B">
      <w:start w:val="1"/>
      <w:numFmt w:val="bullet"/>
      <w:lvlText w:val=""/>
      <w:lvlJc w:val="left"/>
      <w:pPr>
        <w:ind w:left="1200" w:hanging="360"/>
      </w:pPr>
      <w:rPr>
        <w:rFonts w:ascii="Wingdings" w:hAnsi="Wingdings" w:hint="default"/>
      </w:rPr>
    </w:lvl>
    <w:lvl w:ilvl="1" w:tplc="04090003">
      <w:start w:val="1"/>
      <w:numFmt w:val="bullet"/>
      <w:lvlText w:val="o"/>
      <w:lvlJc w:val="left"/>
      <w:pPr>
        <w:ind w:left="1920" w:hanging="360"/>
      </w:pPr>
      <w:rPr>
        <w:rFonts w:ascii="Courier New" w:hAnsi="Courier New" w:cs="Times New Roman" w:hint="default"/>
      </w:rPr>
    </w:lvl>
    <w:lvl w:ilvl="2" w:tplc="04090005">
      <w:start w:val="1"/>
      <w:numFmt w:val="bullet"/>
      <w:lvlText w:val=""/>
      <w:lvlJc w:val="left"/>
      <w:pPr>
        <w:ind w:left="2640" w:hanging="360"/>
      </w:pPr>
      <w:rPr>
        <w:rFonts w:ascii="Wingdings" w:hAnsi="Wingdings" w:hint="default"/>
      </w:rPr>
    </w:lvl>
    <w:lvl w:ilvl="3" w:tplc="04090001">
      <w:start w:val="1"/>
      <w:numFmt w:val="bullet"/>
      <w:lvlText w:val=""/>
      <w:lvlJc w:val="left"/>
      <w:pPr>
        <w:ind w:left="3360" w:hanging="360"/>
      </w:pPr>
      <w:rPr>
        <w:rFonts w:ascii="Symbol" w:hAnsi="Symbol" w:hint="default"/>
      </w:rPr>
    </w:lvl>
    <w:lvl w:ilvl="4" w:tplc="04090003">
      <w:start w:val="1"/>
      <w:numFmt w:val="bullet"/>
      <w:lvlText w:val="o"/>
      <w:lvlJc w:val="left"/>
      <w:pPr>
        <w:ind w:left="4080" w:hanging="360"/>
      </w:pPr>
      <w:rPr>
        <w:rFonts w:ascii="Courier New" w:hAnsi="Courier New" w:cs="Times New Roman" w:hint="default"/>
      </w:rPr>
    </w:lvl>
    <w:lvl w:ilvl="5" w:tplc="04090005">
      <w:start w:val="1"/>
      <w:numFmt w:val="bullet"/>
      <w:lvlText w:val=""/>
      <w:lvlJc w:val="left"/>
      <w:pPr>
        <w:ind w:left="4800" w:hanging="360"/>
      </w:pPr>
      <w:rPr>
        <w:rFonts w:ascii="Wingdings" w:hAnsi="Wingdings" w:hint="default"/>
      </w:rPr>
    </w:lvl>
    <w:lvl w:ilvl="6" w:tplc="04090001">
      <w:start w:val="1"/>
      <w:numFmt w:val="bullet"/>
      <w:lvlText w:val=""/>
      <w:lvlJc w:val="left"/>
      <w:pPr>
        <w:ind w:left="5520" w:hanging="360"/>
      </w:pPr>
      <w:rPr>
        <w:rFonts w:ascii="Symbol" w:hAnsi="Symbol" w:hint="default"/>
      </w:rPr>
    </w:lvl>
    <w:lvl w:ilvl="7" w:tplc="04090003">
      <w:start w:val="1"/>
      <w:numFmt w:val="bullet"/>
      <w:lvlText w:val="o"/>
      <w:lvlJc w:val="left"/>
      <w:pPr>
        <w:ind w:left="6240" w:hanging="360"/>
      </w:pPr>
      <w:rPr>
        <w:rFonts w:ascii="Courier New" w:hAnsi="Courier New" w:cs="Times New Roman" w:hint="default"/>
      </w:rPr>
    </w:lvl>
    <w:lvl w:ilvl="8" w:tplc="04090005">
      <w:start w:val="1"/>
      <w:numFmt w:val="bullet"/>
      <w:lvlText w:val=""/>
      <w:lvlJc w:val="left"/>
      <w:pPr>
        <w:ind w:left="6960" w:hanging="360"/>
      </w:pPr>
      <w:rPr>
        <w:rFonts w:ascii="Wingdings" w:hAnsi="Wingdings" w:hint="default"/>
      </w:rPr>
    </w:lvl>
  </w:abstractNum>
  <w:num w:numId="1">
    <w:abstractNumId w:val="4"/>
  </w:num>
  <w:num w:numId="2">
    <w:abstractNumId w:val="36"/>
  </w:num>
  <w:num w:numId="3">
    <w:abstractNumId w:val="28"/>
  </w:num>
  <w:num w:numId="4">
    <w:abstractNumId w:val="12"/>
  </w:num>
  <w:num w:numId="5">
    <w:abstractNumId w:val="6"/>
  </w:num>
  <w:num w:numId="6">
    <w:abstractNumId w:val="14"/>
  </w:num>
  <w:num w:numId="7">
    <w:abstractNumId w:val="20"/>
  </w:num>
  <w:num w:numId="8">
    <w:abstractNumId w:val="23"/>
  </w:num>
  <w:num w:numId="9">
    <w:abstractNumId w:val="1"/>
    <w:lvlOverride w:ilvl="0"/>
    <w:lvlOverride w:ilvl="1">
      <w:startOverride w:val="1"/>
    </w:lvlOverride>
    <w:lvlOverride w:ilvl="2"/>
    <w:lvlOverride w:ilvl="3"/>
    <w:lvlOverride w:ilvl="4"/>
    <w:lvlOverride w:ilvl="5"/>
    <w:lvlOverride w:ilvl="6"/>
    <w:lvlOverride w:ilvl="7"/>
    <w:lvlOverride w:ilvl="8"/>
  </w:num>
  <w:num w:numId="10">
    <w:abstractNumId w:val="18"/>
    <w:lvlOverride w:ilvl="0">
      <w:startOverride w:val="8"/>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lvlOverride w:ilvl="2"/>
    <w:lvlOverride w:ilvl="3"/>
    <w:lvlOverride w:ilvl="4"/>
    <w:lvlOverride w:ilvl="5"/>
    <w:lvlOverride w:ilvl="6"/>
    <w:lvlOverride w:ilvl="7"/>
    <w:lvlOverride w:ilvl="8"/>
  </w:num>
  <w:num w:numId="12">
    <w:abstractNumId w:val="32"/>
    <w:lvlOverride w:ilvl="0">
      <w:startOverride w:val="4"/>
    </w:lvlOverride>
    <w:lvlOverride w:ilvl="1">
      <w:startOverride w:val="8"/>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num>
  <w:num w:numId="14">
    <w:abstractNumId w:val="8"/>
  </w:num>
  <w:num w:numId="15">
    <w:abstractNumId w:val="31"/>
  </w:num>
  <w:num w:numId="16">
    <w:abstractNumId w:val="19"/>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26"/>
  </w:num>
  <w:num w:numId="20">
    <w:abstractNumId w:val="7"/>
  </w:num>
  <w:num w:numId="21">
    <w:abstractNumId w:val="16"/>
  </w:num>
  <w:num w:numId="22">
    <w:abstractNumId w:val="0"/>
  </w:num>
  <w:num w:numId="23">
    <w:abstractNumId w:val="24"/>
    <w:lvlOverride w:ilvl="0"/>
    <w:lvlOverride w:ilvl="1">
      <w:startOverride w:val="1"/>
    </w:lvlOverride>
    <w:lvlOverride w:ilvl="2"/>
    <w:lvlOverride w:ilvl="3"/>
    <w:lvlOverride w:ilvl="4"/>
    <w:lvlOverride w:ilvl="5"/>
    <w:lvlOverride w:ilvl="6"/>
    <w:lvlOverride w:ilvl="7"/>
    <w:lvlOverride w:ilvl="8"/>
  </w:num>
  <w:num w:numId="24">
    <w:abstractNumId w:val="17"/>
  </w:num>
  <w:num w:numId="25">
    <w:abstractNumId w:val="34"/>
  </w:num>
  <w:num w:numId="26">
    <w:abstractNumId w:val="25"/>
  </w:num>
  <w:num w:numId="27">
    <w:abstractNumId w:val="22"/>
  </w:num>
  <w:num w:numId="28">
    <w:abstractNumId w:val="24"/>
  </w:num>
  <w:num w:numId="29">
    <w:abstractNumId w:val="15"/>
  </w:num>
  <w:num w:numId="30">
    <w:abstractNumId w:val="5"/>
  </w:num>
  <w:num w:numId="31">
    <w:abstractNumId w:val="27"/>
  </w:num>
  <w:num w:numId="32">
    <w:abstractNumId w:val="29"/>
  </w:num>
  <w:num w:numId="33">
    <w:abstractNumId w:val="10"/>
  </w:num>
  <w:num w:numId="34">
    <w:abstractNumId w:val="30"/>
  </w:num>
  <w:num w:numId="35">
    <w:abstractNumId w:val="35"/>
  </w:num>
  <w:num w:numId="36">
    <w:abstractNumId w:val="2"/>
  </w:num>
  <w:num w:numId="37">
    <w:abstractNumId w:val="11"/>
  </w:num>
  <w:num w:numId="38">
    <w:abstractNumId w:val="21"/>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304"/>
    <w:rsid w:val="00012B98"/>
    <w:rsid w:val="000234C9"/>
    <w:rsid w:val="00026A7E"/>
    <w:rsid w:val="0004522D"/>
    <w:rsid w:val="000514A4"/>
    <w:rsid w:val="00052418"/>
    <w:rsid w:val="00056A55"/>
    <w:rsid w:val="000620C3"/>
    <w:rsid w:val="00064B08"/>
    <w:rsid w:val="000904A5"/>
    <w:rsid w:val="00094E6F"/>
    <w:rsid w:val="0009545A"/>
    <w:rsid w:val="000A29BF"/>
    <w:rsid w:val="000A3455"/>
    <w:rsid w:val="000B25D7"/>
    <w:rsid w:val="000C4D42"/>
    <w:rsid w:val="000C7856"/>
    <w:rsid w:val="000D5AAD"/>
    <w:rsid w:val="000D760F"/>
    <w:rsid w:val="000E01C0"/>
    <w:rsid w:val="000E0D7F"/>
    <w:rsid w:val="000E0E2D"/>
    <w:rsid w:val="000E43B4"/>
    <w:rsid w:val="000F178B"/>
    <w:rsid w:val="0010207E"/>
    <w:rsid w:val="001101B3"/>
    <w:rsid w:val="00115CE6"/>
    <w:rsid w:val="001466FB"/>
    <w:rsid w:val="001640C6"/>
    <w:rsid w:val="00176DE4"/>
    <w:rsid w:val="0018106E"/>
    <w:rsid w:val="00187460"/>
    <w:rsid w:val="001C7DA1"/>
    <w:rsid w:val="002234E0"/>
    <w:rsid w:val="00227B70"/>
    <w:rsid w:val="00234CC1"/>
    <w:rsid w:val="002476D6"/>
    <w:rsid w:val="002643C3"/>
    <w:rsid w:val="002705C7"/>
    <w:rsid w:val="0027104A"/>
    <w:rsid w:val="0027349E"/>
    <w:rsid w:val="002903B1"/>
    <w:rsid w:val="00292D8C"/>
    <w:rsid w:val="0029354A"/>
    <w:rsid w:val="00296AE9"/>
    <w:rsid w:val="002A3617"/>
    <w:rsid w:val="002B099A"/>
    <w:rsid w:val="002B28BC"/>
    <w:rsid w:val="002B6D96"/>
    <w:rsid w:val="002C099E"/>
    <w:rsid w:val="002C2786"/>
    <w:rsid w:val="002D6B1F"/>
    <w:rsid w:val="002E1C69"/>
    <w:rsid w:val="002E3E4D"/>
    <w:rsid w:val="002F791D"/>
    <w:rsid w:val="00306150"/>
    <w:rsid w:val="003209EE"/>
    <w:rsid w:val="003218F5"/>
    <w:rsid w:val="0032292B"/>
    <w:rsid w:val="003523B5"/>
    <w:rsid w:val="003523FF"/>
    <w:rsid w:val="003546F4"/>
    <w:rsid w:val="003570D9"/>
    <w:rsid w:val="0036079A"/>
    <w:rsid w:val="00366D8D"/>
    <w:rsid w:val="00367CC4"/>
    <w:rsid w:val="003877E3"/>
    <w:rsid w:val="003942C8"/>
    <w:rsid w:val="003A44CF"/>
    <w:rsid w:val="003B42C1"/>
    <w:rsid w:val="003B7A0B"/>
    <w:rsid w:val="003C2CDA"/>
    <w:rsid w:val="003C372C"/>
    <w:rsid w:val="003C6ED8"/>
    <w:rsid w:val="003D3C5D"/>
    <w:rsid w:val="003E0DC0"/>
    <w:rsid w:val="003F631F"/>
    <w:rsid w:val="00403DF0"/>
    <w:rsid w:val="004235A6"/>
    <w:rsid w:val="0043020D"/>
    <w:rsid w:val="00444678"/>
    <w:rsid w:val="00450112"/>
    <w:rsid w:val="00453C4E"/>
    <w:rsid w:val="004574C3"/>
    <w:rsid w:val="00463828"/>
    <w:rsid w:val="004705E3"/>
    <w:rsid w:val="00474F7F"/>
    <w:rsid w:val="00487633"/>
    <w:rsid w:val="0049794D"/>
    <w:rsid w:val="004B2D04"/>
    <w:rsid w:val="004D65DC"/>
    <w:rsid w:val="004F1DEC"/>
    <w:rsid w:val="00524DDC"/>
    <w:rsid w:val="0054696B"/>
    <w:rsid w:val="005471F4"/>
    <w:rsid w:val="00552FBD"/>
    <w:rsid w:val="005618D9"/>
    <w:rsid w:val="005720BA"/>
    <w:rsid w:val="0058426C"/>
    <w:rsid w:val="00592A33"/>
    <w:rsid w:val="005B055E"/>
    <w:rsid w:val="005B6D45"/>
    <w:rsid w:val="005D2553"/>
    <w:rsid w:val="005E1455"/>
    <w:rsid w:val="005E6151"/>
    <w:rsid w:val="005E7545"/>
    <w:rsid w:val="005F4B3D"/>
    <w:rsid w:val="00606BB9"/>
    <w:rsid w:val="0062734B"/>
    <w:rsid w:val="00630D6F"/>
    <w:rsid w:val="00630F40"/>
    <w:rsid w:val="00631296"/>
    <w:rsid w:val="0063301D"/>
    <w:rsid w:val="00633C1B"/>
    <w:rsid w:val="00655D72"/>
    <w:rsid w:val="00656314"/>
    <w:rsid w:val="00684CD2"/>
    <w:rsid w:val="006939FA"/>
    <w:rsid w:val="006949EC"/>
    <w:rsid w:val="00694D74"/>
    <w:rsid w:val="006C4CFC"/>
    <w:rsid w:val="006D308E"/>
    <w:rsid w:val="006D6956"/>
    <w:rsid w:val="006E1482"/>
    <w:rsid w:val="006F7FA2"/>
    <w:rsid w:val="00702C8D"/>
    <w:rsid w:val="00706EA0"/>
    <w:rsid w:val="00720125"/>
    <w:rsid w:val="00725832"/>
    <w:rsid w:val="00736506"/>
    <w:rsid w:val="00745E08"/>
    <w:rsid w:val="007525D0"/>
    <w:rsid w:val="00754B1E"/>
    <w:rsid w:val="00754CF8"/>
    <w:rsid w:val="00754DF3"/>
    <w:rsid w:val="007A1826"/>
    <w:rsid w:val="007A32C9"/>
    <w:rsid w:val="007A7384"/>
    <w:rsid w:val="007A76D6"/>
    <w:rsid w:val="007B4661"/>
    <w:rsid w:val="007B5AF1"/>
    <w:rsid w:val="007D12DC"/>
    <w:rsid w:val="007E0304"/>
    <w:rsid w:val="007E656A"/>
    <w:rsid w:val="008133CF"/>
    <w:rsid w:val="00816C09"/>
    <w:rsid w:val="00816EB7"/>
    <w:rsid w:val="0082121E"/>
    <w:rsid w:val="00831FE5"/>
    <w:rsid w:val="008449DA"/>
    <w:rsid w:val="008726B4"/>
    <w:rsid w:val="00875476"/>
    <w:rsid w:val="008A7585"/>
    <w:rsid w:val="008B16EE"/>
    <w:rsid w:val="008B7AFE"/>
    <w:rsid w:val="008C3C1A"/>
    <w:rsid w:val="008D1ACC"/>
    <w:rsid w:val="008D3B01"/>
    <w:rsid w:val="008D79A6"/>
    <w:rsid w:val="008F17D6"/>
    <w:rsid w:val="008F5548"/>
    <w:rsid w:val="00901E59"/>
    <w:rsid w:val="0091056E"/>
    <w:rsid w:val="0091439D"/>
    <w:rsid w:val="00931B48"/>
    <w:rsid w:val="00947102"/>
    <w:rsid w:val="009547A3"/>
    <w:rsid w:val="009723FC"/>
    <w:rsid w:val="00974789"/>
    <w:rsid w:val="00987F7E"/>
    <w:rsid w:val="009A1CA6"/>
    <w:rsid w:val="009A5C73"/>
    <w:rsid w:val="009B0C59"/>
    <w:rsid w:val="009B2BBE"/>
    <w:rsid w:val="009C5C4C"/>
    <w:rsid w:val="009D3DAA"/>
    <w:rsid w:val="009E57D7"/>
    <w:rsid w:val="009E7112"/>
    <w:rsid w:val="00A00D09"/>
    <w:rsid w:val="00A06782"/>
    <w:rsid w:val="00A4065C"/>
    <w:rsid w:val="00A40793"/>
    <w:rsid w:val="00A40F22"/>
    <w:rsid w:val="00A466AF"/>
    <w:rsid w:val="00A67DE2"/>
    <w:rsid w:val="00A8722E"/>
    <w:rsid w:val="00A9451A"/>
    <w:rsid w:val="00AA08B1"/>
    <w:rsid w:val="00AA200A"/>
    <w:rsid w:val="00AA6E34"/>
    <w:rsid w:val="00AB36C5"/>
    <w:rsid w:val="00AB3799"/>
    <w:rsid w:val="00AE2811"/>
    <w:rsid w:val="00AF312B"/>
    <w:rsid w:val="00B05A59"/>
    <w:rsid w:val="00B13B63"/>
    <w:rsid w:val="00B25CC2"/>
    <w:rsid w:val="00B26B53"/>
    <w:rsid w:val="00B32F29"/>
    <w:rsid w:val="00B351C6"/>
    <w:rsid w:val="00B45035"/>
    <w:rsid w:val="00B45181"/>
    <w:rsid w:val="00B57D59"/>
    <w:rsid w:val="00B7229F"/>
    <w:rsid w:val="00B80E00"/>
    <w:rsid w:val="00B81673"/>
    <w:rsid w:val="00B82463"/>
    <w:rsid w:val="00BB23F4"/>
    <w:rsid w:val="00BB5183"/>
    <w:rsid w:val="00BB6302"/>
    <w:rsid w:val="00BB6CB2"/>
    <w:rsid w:val="00BB78A0"/>
    <w:rsid w:val="00BC4780"/>
    <w:rsid w:val="00C111B8"/>
    <w:rsid w:val="00C13F17"/>
    <w:rsid w:val="00C16B26"/>
    <w:rsid w:val="00C341FF"/>
    <w:rsid w:val="00C538CF"/>
    <w:rsid w:val="00C63383"/>
    <w:rsid w:val="00C73002"/>
    <w:rsid w:val="00C77186"/>
    <w:rsid w:val="00C90A04"/>
    <w:rsid w:val="00C92F22"/>
    <w:rsid w:val="00C935ED"/>
    <w:rsid w:val="00CA29BA"/>
    <w:rsid w:val="00CA52B4"/>
    <w:rsid w:val="00CD18FE"/>
    <w:rsid w:val="00CD360F"/>
    <w:rsid w:val="00CD444A"/>
    <w:rsid w:val="00CD48A0"/>
    <w:rsid w:val="00CD7C45"/>
    <w:rsid w:val="00CE179A"/>
    <w:rsid w:val="00D119A6"/>
    <w:rsid w:val="00D21FC2"/>
    <w:rsid w:val="00D37963"/>
    <w:rsid w:val="00D44D52"/>
    <w:rsid w:val="00D47F73"/>
    <w:rsid w:val="00D54B81"/>
    <w:rsid w:val="00D7201C"/>
    <w:rsid w:val="00D764C2"/>
    <w:rsid w:val="00D87993"/>
    <w:rsid w:val="00D93FE9"/>
    <w:rsid w:val="00DA2E83"/>
    <w:rsid w:val="00DA486F"/>
    <w:rsid w:val="00DD4F8D"/>
    <w:rsid w:val="00DF334B"/>
    <w:rsid w:val="00DF56BB"/>
    <w:rsid w:val="00E22241"/>
    <w:rsid w:val="00E24033"/>
    <w:rsid w:val="00E24426"/>
    <w:rsid w:val="00E2730F"/>
    <w:rsid w:val="00E2783F"/>
    <w:rsid w:val="00E33EED"/>
    <w:rsid w:val="00E450BF"/>
    <w:rsid w:val="00E45A86"/>
    <w:rsid w:val="00E53ADB"/>
    <w:rsid w:val="00E659FF"/>
    <w:rsid w:val="00E73EC9"/>
    <w:rsid w:val="00E83DA7"/>
    <w:rsid w:val="00E8486A"/>
    <w:rsid w:val="00E8487A"/>
    <w:rsid w:val="00E84E5C"/>
    <w:rsid w:val="00E95B0D"/>
    <w:rsid w:val="00EA1A7A"/>
    <w:rsid w:val="00EC52EC"/>
    <w:rsid w:val="00ED0931"/>
    <w:rsid w:val="00ED4F0F"/>
    <w:rsid w:val="00F00F64"/>
    <w:rsid w:val="00F05BF0"/>
    <w:rsid w:val="00F073C0"/>
    <w:rsid w:val="00F16087"/>
    <w:rsid w:val="00F30A1E"/>
    <w:rsid w:val="00F45DBC"/>
    <w:rsid w:val="00F545A1"/>
    <w:rsid w:val="00F55B28"/>
    <w:rsid w:val="00F56431"/>
    <w:rsid w:val="00F9122A"/>
    <w:rsid w:val="00FB4A16"/>
    <w:rsid w:val="00FD1096"/>
    <w:rsid w:val="00FD1E2E"/>
    <w:rsid w:val="00FD2AD6"/>
    <w:rsid w:val="00FD3653"/>
    <w:rsid w:val="00FE0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1026268"/>
  <w15:docId w15:val="{7F2384A7-40A7-4E10-B97A-905FA50B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304"/>
    <w:pPr>
      <w:widowControl w:val="0"/>
      <w:spacing w:after="0" w:line="240" w:lineRule="auto"/>
    </w:pPr>
    <w:rPr>
      <w:rFonts w:ascii="Times New Roman" w:eastAsia="Times New Roman" w:hAnsi="Times New Roman" w:cs="Times New Roman"/>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7E0304"/>
    <w:rPr>
      <w:rFonts w:ascii="Times New Roman" w:hAnsi="Times New Roman" w:cs="Times New Roman" w:hint="default"/>
      <w:color w:val="0000FF"/>
      <w:u w:val="single"/>
    </w:rPr>
  </w:style>
  <w:style w:type="paragraph" w:styleId="HTMLPreformatted">
    <w:name w:val="HTML Preformatted"/>
    <w:basedOn w:val="Normal"/>
    <w:link w:val="HTMLPreformattedChar"/>
    <w:uiPriority w:val="99"/>
    <w:semiHidden/>
    <w:unhideWhenUsed/>
    <w:rsid w:val="007E03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hAnsi="MingLiU" w:cs="MingLiU"/>
      <w:kern w:val="0"/>
    </w:rPr>
  </w:style>
  <w:style w:type="character" w:customStyle="1" w:styleId="HTMLPreformattedChar">
    <w:name w:val="HTML Preformatted Char"/>
    <w:basedOn w:val="DefaultParagraphFont"/>
    <w:link w:val="HTMLPreformatted"/>
    <w:uiPriority w:val="99"/>
    <w:semiHidden/>
    <w:rsid w:val="007E0304"/>
    <w:rPr>
      <w:rFonts w:ascii="MingLiU" w:eastAsia="Times New Roman" w:hAnsi="MingLiU" w:cs="MingLiU"/>
      <w:sz w:val="24"/>
      <w:szCs w:val="24"/>
      <w:lang w:eastAsia="zh-TW"/>
    </w:rPr>
  </w:style>
  <w:style w:type="paragraph" w:styleId="FootnoteText">
    <w:name w:val="footnote text"/>
    <w:basedOn w:val="Normal"/>
    <w:link w:val="FootnoteTextChar1"/>
    <w:uiPriority w:val="99"/>
    <w:unhideWhenUsed/>
    <w:rsid w:val="007E0304"/>
    <w:rPr>
      <w:sz w:val="20"/>
      <w:szCs w:val="20"/>
    </w:rPr>
  </w:style>
  <w:style w:type="character" w:customStyle="1" w:styleId="FootnoteTextChar">
    <w:name w:val="Footnote Text Char"/>
    <w:basedOn w:val="DefaultParagraphFont"/>
    <w:uiPriority w:val="99"/>
    <w:semiHidden/>
    <w:rsid w:val="007E0304"/>
    <w:rPr>
      <w:rFonts w:ascii="Times New Roman" w:eastAsia="Times New Roman" w:hAnsi="Times New Roman" w:cs="Times New Roman"/>
      <w:kern w:val="2"/>
      <w:sz w:val="20"/>
      <w:szCs w:val="20"/>
      <w:lang w:eastAsia="zh-TW"/>
    </w:rPr>
  </w:style>
  <w:style w:type="paragraph" w:styleId="ListParagraph">
    <w:name w:val="List Paragraph"/>
    <w:basedOn w:val="Normal"/>
    <w:uiPriority w:val="34"/>
    <w:qFormat/>
    <w:rsid w:val="007E0304"/>
    <w:pPr>
      <w:ind w:left="720"/>
      <w:contextualSpacing/>
    </w:pPr>
  </w:style>
  <w:style w:type="character" w:styleId="FootnoteReference">
    <w:name w:val="footnote reference"/>
    <w:uiPriority w:val="99"/>
    <w:unhideWhenUsed/>
    <w:rsid w:val="007E0304"/>
    <w:rPr>
      <w:rFonts w:ascii="Times New Roman" w:hAnsi="Times New Roman" w:cs="Times New Roman" w:hint="default"/>
      <w:vertAlign w:val="superscript"/>
    </w:rPr>
  </w:style>
  <w:style w:type="character" w:customStyle="1" w:styleId="FootnoteTextChar1">
    <w:name w:val="Footnote Text Char1"/>
    <w:link w:val="FootnoteText"/>
    <w:uiPriority w:val="99"/>
    <w:locked/>
    <w:rsid w:val="007E0304"/>
    <w:rPr>
      <w:rFonts w:ascii="Times New Roman" w:eastAsia="Times New Roman" w:hAnsi="Times New Roman" w:cs="Times New Roman"/>
      <w:kern w:val="2"/>
      <w:sz w:val="20"/>
      <w:szCs w:val="20"/>
      <w:lang w:eastAsia="zh-TW"/>
    </w:rPr>
  </w:style>
  <w:style w:type="paragraph" w:styleId="Header">
    <w:name w:val="header"/>
    <w:basedOn w:val="Normal"/>
    <w:link w:val="HeaderChar"/>
    <w:uiPriority w:val="99"/>
    <w:unhideWhenUsed/>
    <w:rsid w:val="00A00D09"/>
    <w:pPr>
      <w:tabs>
        <w:tab w:val="center" w:pos="4680"/>
        <w:tab w:val="right" w:pos="9360"/>
      </w:tabs>
    </w:pPr>
  </w:style>
  <w:style w:type="character" w:customStyle="1" w:styleId="HeaderChar">
    <w:name w:val="Header Char"/>
    <w:basedOn w:val="DefaultParagraphFont"/>
    <w:link w:val="Header"/>
    <w:uiPriority w:val="99"/>
    <w:rsid w:val="00A00D09"/>
    <w:rPr>
      <w:rFonts w:ascii="Times New Roman" w:eastAsia="Times New Roman" w:hAnsi="Times New Roman" w:cs="Times New Roman"/>
      <w:kern w:val="2"/>
      <w:sz w:val="24"/>
      <w:szCs w:val="24"/>
      <w:lang w:eastAsia="zh-TW"/>
    </w:rPr>
  </w:style>
  <w:style w:type="paragraph" w:styleId="Footer">
    <w:name w:val="footer"/>
    <w:basedOn w:val="Normal"/>
    <w:link w:val="FooterChar"/>
    <w:uiPriority w:val="99"/>
    <w:unhideWhenUsed/>
    <w:rsid w:val="00A00D09"/>
    <w:pPr>
      <w:tabs>
        <w:tab w:val="center" w:pos="4680"/>
        <w:tab w:val="right" w:pos="9360"/>
      </w:tabs>
    </w:pPr>
  </w:style>
  <w:style w:type="character" w:customStyle="1" w:styleId="FooterChar">
    <w:name w:val="Footer Char"/>
    <w:basedOn w:val="DefaultParagraphFont"/>
    <w:link w:val="Footer"/>
    <w:uiPriority w:val="99"/>
    <w:rsid w:val="00A00D09"/>
    <w:rPr>
      <w:rFonts w:ascii="Times New Roman" w:eastAsia="Times New Roman" w:hAnsi="Times New Roman" w:cs="Times New Roman"/>
      <w:kern w:val="2"/>
      <w:sz w:val="24"/>
      <w:szCs w:val="24"/>
      <w:lang w:eastAsia="zh-TW"/>
    </w:rPr>
  </w:style>
  <w:style w:type="paragraph" w:styleId="BalloonText">
    <w:name w:val="Balloon Text"/>
    <w:basedOn w:val="Normal"/>
    <w:link w:val="BalloonTextChar"/>
    <w:uiPriority w:val="99"/>
    <w:semiHidden/>
    <w:unhideWhenUsed/>
    <w:rsid w:val="0054696B"/>
    <w:rPr>
      <w:rFonts w:ascii="Tahoma" w:hAnsi="Tahoma" w:cs="Tahoma"/>
      <w:sz w:val="16"/>
      <w:szCs w:val="16"/>
    </w:rPr>
  </w:style>
  <w:style w:type="character" w:customStyle="1" w:styleId="BalloonTextChar">
    <w:name w:val="Balloon Text Char"/>
    <w:basedOn w:val="DefaultParagraphFont"/>
    <w:link w:val="BalloonText"/>
    <w:uiPriority w:val="99"/>
    <w:semiHidden/>
    <w:rsid w:val="0054696B"/>
    <w:rPr>
      <w:rFonts w:ascii="Tahoma" w:eastAsia="Times New Roman" w:hAnsi="Tahoma" w:cs="Tahoma"/>
      <w:kern w:val="2"/>
      <w:sz w:val="16"/>
      <w:szCs w:val="16"/>
      <w:lang w:eastAsia="zh-TW"/>
    </w:rPr>
  </w:style>
  <w:style w:type="paragraph" w:styleId="NormalWeb">
    <w:name w:val="Normal (Web)"/>
    <w:basedOn w:val="Normal"/>
    <w:uiPriority w:val="99"/>
    <w:unhideWhenUsed/>
    <w:rsid w:val="00AB36C5"/>
    <w:pPr>
      <w:widowControl/>
      <w:spacing w:before="100" w:beforeAutospacing="1" w:after="100" w:afterAutospacing="1"/>
    </w:pPr>
    <w:rPr>
      <w:kern w:val="0"/>
      <w:lang w:eastAsia="zh-CN"/>
    </w:rPr>
  </w:style>
  <w:style w:type="character" w:styleId="Strong">
    <w:name w:val="Strong"/>
    <w:basedOn w:val="DefaultParagraphFont"/>
    <w:uiPriority w:val="22"/>
    <w:qFormat/>
    <w:rsid w:val="00AB36C5"/>
    <w:rPr>
      <w:b/>
      <w:bCs/>
    </w:rPr>
  </w:style>
  <w:style w:type="character" w:styleId="HTMLCite">
    <w:name w:val="HTML Cite"/>
    <w:basedOn w:val="DefaultParagraphFont"/>
    <w:uiPriority w:val="99"/>
    <w:semiHidden/>
    <w:unhideWhenUsed/>
    <w:rsid w:val="00AB36C5"/>
    <w:rPr>
      <w:i/>
      <w:iCs/>
    </w:rPr>
  </w:style>
  <w:style w:type="paragraph" w:customStyle="1" w:styleId="Quote1">
    <w:name w:val="Quote1"/>
    <w:basedOn w:val="Normal"/>
    <w:rsid w:val="00C13F17"/>
    <w:pPr>
      <w:widowControl/>
      <w:spacing w:before="100" w:beforeAutospacing="1" w:after="100" w:afterAutospacing="1"/>
    </w:pPr>
    <w:rPr>
      <w:color w:val="000000"/>
      <w:kern w:val="0"/>
      <w:lang w:eastAsia="zh-CN"/>
    </w:rPr>
  </w:style>
  <w:style w:type="character" w:customStyle="1" w:styleId="st1">
    <w:name w:val="st1"/>
    <w:basedOn w:val="DefaultParagraphFont"/>
    <w:rsid w:val="005D2553"/>
  </w:style>
  <w:style w:type="paragraph" w:styleId="Date">
    <w:name w:val="Date"/>
    <w:basedOn w:val="Normal"/>
    <w:next w:val="Normal"/>
    <w:link w:val="DateChar"/>
    <w:uiPriority w:val="99"/>
    <w:semiHidden/>
    <w:unhideWhenUsed/>
    <w:rsid w:val="002C2786"/>
  </w:style>
  <w:style w:type="character" w:customStyle="1" w:styleId="DateChar">
    <w:name w:val="Date Char"/>
    <w:basedOn w:val="DefaultParagraphFont"/>
    <w:link w:val="Date"/>
    <w:uiPriority w:val="99"/>
    <w:semiHidden/>
    <w:rsid w:val="002C2786"/>
    <w:rPr>
      <w:rFonts w:ascii="Times New Roman" w:eastAsia="Times New Roman" w:hAnsi="Times New Roman" w:cs="Times New Roman"/>
      <w:kern w:val="2"/>
      <w:sz w:val="24"/>
      <w:szCs w:val="24"/>
      <w:lang w:eastAsia="zh-TW"/>
    </w:rPr>
  </w:style>
  <w:style w:type="character" w:styleId="Emphasis">
    <w:name w:val="Emphasis"/>
    <w:basedOn w:val="DefaultParagraphFont"/>
    <w:uiPriority w:val="20"/>
    <w:qFormat/>
    <w:rsid w:val="008D1ACC"/>
    <w:rPr>
      <w:i/>
      <w:iCs/>
    </w:rPr>
  </w:style>
  <w:style w:type="paragraph" w:styleId="BodyTextIndent2">
    <w:name w:val="Body Text Indent 2"/>
    <w:basedOn w:val="Normal"/>
    <w:link w:val="BodyTextIndent2Char"/>
    <w:semiHidden/>
    <w:rsid w:val="00AA08B1"/>
    <w:pPr>
      <w:spacing w:line="360" w:lineRule="auto"/>
      <w:ind w:firstLine="851"/>
    </w:pPr>
    <w:rPr>
      <w:snapToGrid w:val="0"/>
      <w:kern w:val="0"/>
      <w:szCs w:val="20"/>
      <w:lang w:eastAsia="en-US"/>
    </w:rPr>
  </w:style>
  <w:style w:type="character" w:customStyle="1" w:styleId="BodyTextIndent2Char">
    <w:name w:val="Body Text Indent 2 Char"/>
    <w:basedOn w:val="DefaultParagraphFont"/>
    <w:link w:val="BodyTextIndent2"/>
    <w:semiHidden/>
    <w:rsid w:val="00AA08B1"/>
    <w:rPr>
      <w:rFonts w:ascii="Times New Roman" w:eastAsia="Times New Roman" w:hAnsi="Times New Roman" w:cs="Times New Roman"/>
      <w:snapToGrid w:val="0"/>
      <w:sz w:val="24"/>
      <w:szCs w:val="20"/>
      <w:lang w:eastAsia="en-US"/>
    </w:rPr>
  </w:style>
  <w:style w:type="paragraph" w:customStyle="1" w:styleId="Quote2">
    <w:name w:val="Quote2"/>
    <w:basedOn w:val="Normal"/>
    <w:rsid w:val="00524DDC"/>
    <w:pPr>
      <w:widowControl/>
      <w:spacing w:before="100" w:beforeAutospacing="1" w:after="100" w:afterAutospacing="1"/>
    </w:pPr>
    <w:rPr>
      <w:color w:val="000000"/>
      <w:kern w:val="0"/>
      <w:lang w:eastAsia="zh-CN"/>
    </w:rPr>
  </w:style>
  <w:style w:type="paragraph" w:customStyle="1" w:styleId="Quote3">
    <w:name w:val="Quote3"/>
    <w:basedOn w:val="Normal"/>
    <w:uiPriority w:val="99"/>
    <w:semiHidden/>
    <w:rsid w:val="005F4B3D"/>
    <w:pPr>
      <w:widowControl/>
      <w:spacing w:before="100" w:beforeAutospacing="1" w:after="100" w:afterAutospacing="1"/>
    </w:pPr>
    <w:rPr>
      <w:color w:val="000000"/>
      <w:kern w:val="0"/>
      <w:lang w:eastAsia="zh-CN"/>
    </w:rPr>
  </w:style>
  <w:style w:type="character" w:styleId="FollowedHyperlink">
    <w:name w:val="FollowedHyperlink"/>
    <w:basedOn w:val="DefaultParagraphFont"/>
    <w:uiPriority w:val="99"/>
    <w:semiHidden/>
    <w:unhideWhenUsed/>
    <w:rsid w:val="00754CF8"/>
    <w:rPr>
      <w:color w:val="800080" w:themeColor="followedHyperlink"/>
      <w:u w:val="single"/>
    </w:rPr>
  </w:style>
  <w:style w:type="character" w:styleId="CommentReference">
    <w:name w:val="annotation reference"/>
    <w:basedOn w:val="DefaultParagraphFont"/>
    <w:uiPriority w:val="99"/>
    <w:semiHidden/>
    <w:unhideWhenUsed/>
    <w:rsid w:val="009E7112"/>
    <w:rPr>
      <w:sz w:val="16"/>
      <w:szCs w:val="16"/>
    </w:rPr>
  </w:style>
  <w:style w:type="paragraph" w:styleId="CommentText">
    <w:name w:val="annotation text"/>
    <w:basedOn w:val="Normal"/>
    <w:link w:val="CommentTextChar"/>
    <w:uiPriority w:val="99"/>
    <w:semiHidden/>
    <w:unhideWhenUsed/>
    <w:rsid w:val="009E7112"/>
    <w:rPr>
      <w:sz w:val="20"/>
      <w:szCs w:val="20"/>
    </w:rPr>
  </w:style>
  <w:style w:type="character" w:customStyle="1" w:styleId="CommentTextChar">
    <w:name w:val="Comment Text Char"/>
    <w:basedOn w:val="DefaultParagraphFont"/>
    <w:link w:val="CommentText"/>
    <w:uiPriority w:val="99"/>
    <w:semiHidden/>
    <w:rsid w:val="009E7112"/>
    <w:rPr>
      <w:rFonts w:ascii="Times New Roman" w:eastAsia="Times New Roman" w:hAnsi="Times New Roman" w:cs="Times New Roman"/>
      <w:kern w:val="2"/>
      <w:sz w:val="20"/>
      <w:szCs w:val="20"/>
      <w:lang w:eastAsia="zh-TW"/>
    </w:rPr>
  </w:style>
  <w:style w:type="paragraph" w:styleId="CommentSubject">
    <w:name w:val="annotation subject"/>
    <w:basedOn w:val="CommentText"/>
    <w:next w:val="CommentText"/>
    <w:link w:val="CommentSubjectChar"/>
    <w:uiPriority w:val="99"/>
    <w:semiHidden/>
    <w:unhideWhenUsed/>
    <w:rsid w:val="009E7112"/>
    <w:rPr>
      <w:b/>
      <w:bCs/>
    </w:rPr>
  </w:style>
  <w:style w:type="character" w:customStyle="1" w:styleId="CommentSubjectChar">
    <w:name w:val="Comment Subject Char"/>
    <w:basedOn w:val="CommentTextChar"/>
    <w:link w:val="CommentSubject"/>
    <w:uiPriority w:val="99"/>
    <w:semiHidden/>
    <w:rsid w:val="009E7112"/>
    <w:rPr>
      <w:rFonts w:ascii="Times New Roman" w:eastAsia="Times New Roman" w:hAnsi="Times New Roman" w:cs="Times New Roman"/>
      <w:b/>
      <w:bCs/>
      <w:kern w:val="2"/>
      <w:sz w:val="20"/>
      <w:szCs w:val="20"/>
      <w:lang w:eastAsia="zh-TW"/>
    </w:rPr>
  </w:style>
  <w:style w:type="paragraph" w:customStyle="1" w:styleId="Quote4">
    <w:name w:val="Quote4"/>
    <w:basedOn w:val="Normal"/>
    <w:rsid w:val="00702C8D"/>
    <w:pPr>
      <w:widowControl/>
      <w:spacing w:before="100" w:beforeAutospacing="1" w:after="100" w:afterAutospacing="1"/>
    </w:pPr>
    <w:rPr>
      <w:color w:val="000000"/>
      <w:kern w:val="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9909">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208107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6482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15252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6539">
      <w:bodyDiv w:val="1"/>
      <w:marLeft w:val="0"/>
      <w:marRight w:val="0"/>
      <w:marTop w:val="0"/>
      <w:marBottom w:val="0"/>
      <w:divBdr>
        <w:top w:val="none" w:sz="0" w:space="0" w:color="auto"/>
        <w:left w:val="none" w:sz="0" w:space="0" w:color="auto"/>
        <w:bottom w:val="none" w:sz="0" w:space="0" w:color="auto"/>
        <w:right w:val="none" w:sz="0" w:space="0" w:color="auto"/>
      </w:divBdr>
      <w:divsChild>
        <w:div w:id="1265848576">
          <w:marLeft w:val="648"/>
          <w:marRight w:val="0"/>
          <w:marTop w:val="140"/>
          <w:marBottom w:val="0"/>
          <w:divBdr>
            <w:top w:val="none" w:sz="0" w:space="0" w:color="auto"/>
            <w:left w:val="none" w:sz="0" w:space="0" w:color="auto"/>
            <w:bottom w:val="none" w:sz="0" w:space="0" w:color="auto"/>
            <w:right w:val="none" w:sz="0" w:space="0" w:color="auto"/>
          </w:divBdr>
        </w:div>
        <w:div w:id="1785996551">
          <w:marLeft w:val="648"/>
          <w:marRight w:val="0"/>
          <w:marTop w:val="140"/>
          <w:marBottom w:val="0"/>
          <w:divBdr>
            <w:top w:val="none" w:sz="0" w:space="0" w:color="auto"/>
            <w:left w:val="none" w:sz="0" w:space="0" w:color="auto"/>
            <w:bottom w:val="none" w:sz="0" w:space="0" w:color="auto"/>
            <w:right w:val="none" w:sz="0" w:space="0" w:color="auto"/>
          </w:divBdr>
        </w:div>
        <w:div w:id="1667397621">
          <w:marLeft w:val="648"/>
          <w:marRight w:val="0"/>
          <w:marTop w:val="140"/>
          <w:marBottom w:val="0"/>
          <w:divBdr>
            <w:top w:val="none" w:sz="0" w:space="0" w:color="auto"/>
            <w:left w:val="none" w:sz="0" w:space="0" w:color="auto"/>
            <w:bottom w:val="none" w:sz="0" w:space="0" w:color="auto"/>
            <w:right w:val="none" w:sz="0" w:space="0" w:color="auto"/>
          </w:divBdr>
        </w:div>
        <w:div w:id="119686239">
          <w:marLeft w:val="648"/>
          <w:marRight w:val="0"/>
          <w:marTop w:val="140"/>
          <w:marBottom w:val="0"/>
          <w:divBdr>
            <w:top w:val="none" w:sz="0" w:space="0" w:color="auto"/>
            <w:left w:val="none" w:sz="0" w:space="0" w:color="auto"/>
            <w:bottom w:val="none" w:sz="0" w:space="0" w:color="auto"/>
            <w:right w:val="none" w:sz="0" w:space="0" w:color="auto"/>
          </w:divBdr>
        </w:div>
        <w:div w:id="520362198">
          <w:marLeft w:val="648"/>
          <w:marRight w:val="0"/>
          <w:marTop w:val="140"/>
          <w:marBottom w:val="0"/>
          <w:divBdr>
            <w:top w:val="none" w:sz="0" w:space="0" w:color="auto"/>
            <w:left w:val="none" w:sz="0" w:space="0" w:color="auto"/>
            <w:bottom w:val="none" w:sz="0" w:space="0" w:color="auto"/>
            <w:right w:val="none" w:sz="0" w:space="0" w:color="auto"/>
          </w:divBdr>
        </w:div>
        <w:div w:id="1323504588">
          <w:marLeft w:val="648"/>
          <w:marRight w:val="0"/>
          <w:marTop w:val="140"/>
          <w:marBottom w:val="0"/>
          <w:divBdr>
            <w:top w:val="none" w:sz="0" w:space="0" w:color="auto"/>
            <w:left w:val="none" w:sz="0" w:space="0" w:color="auto"/>
            <w:bottom w:val="none" w:sz="0" w:space="0" w:color="auto"/>
            <w:right w:val="none" w:sz="0" w:space="0" w:color="auto"/>
          </w:divBdr>
        </w:div>
      </w:divsChild>
    </w:div>
    <w:div w:id="53079956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017346926">
          <w:marLeft w:val="0"/>
          <w:marRight w:val="0"/>
          <w:marTop w:val="0"/>
          <w:marBottom w:val="0"/>
          <w:divBdr>
            <w:top w:val="none" w:sz="0" w:space="0" w:color="auto"/>
            <w:left w:val="none" w:sz="0" w:space="0" w:color="auto"/>
            <w:bottom w:val="none" w:sz="0" w:space="0" w:color="auto"/>
            <w:right w:val="none" w:sz="0" w:space="0" w:color="auto"/>
          </w:divBdr>
          <w:divsChild>
            <w:div w:id="1217938727">
              <w:marLeft w:val="0"/>
              <w:marRight w:val="0"/>
              <w:marTop w:val="0"/>
              <w:marBottom w:val="0"/>
              <w:divBdr>
                <w:top w:val="none" w:sz="0" w:space="0" w:color="auto"/>
                <w:left w:val="none" w:sz="0" w:space="0" w:color="auto"/>
                <w:bottom w:val="none" w:sz="0" w:space="0" w:color="auto"/>
                <w:right w:val="none" w:sz="0" w:space="0" w:color="auto"/>
              </w:divBdr>
              <w:divsChild>
                <w:div w:id="384110415">
                  <w:marLeft w:val="0"/>
                  <w:marRight w:val="0"/>
                  <w:marTop w:val="0"/>
                  <w:marBottom w:val="0"/>
                  <w:divBdr>
                    <w:top w:val="none" w:sz="0" w:space="0" w:color="auto"/>
                    <w:left w:val="none" w:sz="0" w:space="0" w:color="auto"/>
                    <w:bottom w:val="none" w:sz="0" w:space="0" w:color="auto"/>
                    <w:right w:val="none" w:sz="0" w:space="0" w:color="auto"/>
                  </w:divBdr>
                  <w:divsChild>
                    <w:div w:id="2067952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89600026">
      <w:bodyDiv w:val="1"/>
      <w:marLeft w:val="0"/>
      <w:marRight w:val="0"/>
      <w:marTop w:val="0"/>
      <w:marBottom w:val="0"/>
      <w:divBdr>
        <w:top w:val="none" w:sz="0" w:space="0" w:color="auto"/>
        <w:left w:val="none" w:sz="0" w:space="0" w:color="auto"/>
        <w:bottom w:val="none" w:sz="0" w:space="0" w:color="auto"/>
        <w:right w:val="none" w:sz="0" w:space="0" w:color="auto"/>
      </w:divBdr>
    </w:div>
    <w:div w:id="797262981">
      <w:bodyDiv w:val="1"/>
      <w:marLeft w:val="0"/>
      <w:marRight w:val="0"/>
      <w:marTop w:val="0"/>
      <w:marBottom w:val="0"/>
      <w:divBdr>
        <w:top w:val="none" w:sz="0" w:space="0" w:color="auto"/>
        <w:left w:val="none" w:sz="0" w:space="0" w:color="auto"/>
        <w:bottom w:val="none" w:sz="0" w:space="0" w:color="auto"/>
        <w:right w:val="none" w:sz="0" w:space="0" w:color="auto"/>
      </w:divBdr>
    </w:div>
    <w:div w:id="883098564">
      <w:bodyDiv w:val="1"/>
      <w:marLeft w:val="0"/>
      <w:marRight w:val="0"/>
      <w:marTop w:val="0"/>
      <w:marBottom w:val="0"/>
      <w:divBdr>
        <w:top w:val="none" w:sz="0" w:space="0" w:color="auto"/>
        <w:left w:val="none" w:sz="0" w:space="0" w:color="auto"/>
        <w:bottom w:val="none" w:sz="0" w:space="0" w:color="auto"/>
        <w:right w:val="none" w:sz="0" w:space="0" w:color="auto"/>
      </w:divBdr>
      <w:divsChild>
        <w:div w:id="1768035477">
          <w:marLeft w:val="0"/>
          <w:marRight w:val="0"/>
          <w:marTop w:val="0"/>
          <w:marBottom w:val="0"/>
          <w:divBdr>
            <w:top w:val="none" w:sz="0" w:space="0" w:color="auto"/>
            <w:left w:val="none" w:sz="0" w:space="0" w:color="auto"/>
            <w:bottom w:val="none" w:sz="0" w:space="0" w:color="auto"/>
            <w:right w:val="none" w:sz="0" w:space="0" w:color="auto"/>
          </w:divBdr>
          <w:divsChild>
            <w:div w:id="744188564">
              <w:marLeft w:val="0"/>
              <w:marRight w:val="0"/>
              <w:marTop w:val="0"/>
              <w:marBottom w:val="0"/>
              <w:divBdr>
                <w:top w:val="none" w:sz="0" w:space="0" w:color="auto"/>
                <w:left w:val="none" w:sz="0" w:space="0" w:color="auto"/>
                <w:bottom w:val="none" w:sz="0" w:space="0" w:color="auto"/>
                <w:right w:val="none" w:sz="0" w:space="0" w:color="auto"/>
              </w:divBdr>
              <w:divsChild>
                <w:div w:id="1572034994">
                  <w:marLeft w:val="0"/>
                  <w:marRight w:val="0"/>
                  <w:marTop w:val="0"/>
                  <w:marBottom w:val="0"/>
                  <w:divBdr>
                    <w:top w:val="none" w:sz="0" w:space="0" w:color="auto"/>
                    <w:left w:val="none" w:sz="0" w:space="0" w:color="auto"/>
                    <w:bottom w:val="none" w:sz="0" w:space="0" w:color="auto"/>
                    <w:right w:val="none" w:sz="0" w:space="0" w:color="auto"/>
                  </w:divBdr>
                  <w:divsChild>
                    <w:div w:id="1679306694">
                      <w:marLeft w:val="0"/>
                      <w:marRight w:val="0"/>
                      <w:marTop w:val="0"/>
                      <w:marBottom w:val="0"/>
                      <w:divBdr>
                        <w:top w:val="none" w:sz="0" w:space="0" w:color="auto"/>
                        <w:left w:val="none" w:sz="0" w:space="0" w:color="auto"/>
                        <w:bottom w:val="none" w:sz="0" w:space="0" w:color="auto"/>
                        <w:right w:val="none" w:sz="0" w:space="0" w:color="auto"/>
                      </w:divBdr>
                      <w:divsChild>
                        <w:div w:id="957490034">
                          <w:marLeft w:val="0"/>
                          <w:marRight w:val="0"/>
                          <w:marTop w:val="45"/>
                          <w:marBottom w:val="0"/>
                          <w:divBdr>
                            <w:top w:val="none" w:sz="0" w:space="0" w:color="auto"/>
                            <w:left w:val="none" w:sz="0" w:space="0" w:color="auto"/>
                            <w:bottom w:val="none" w:sz="0" w:space="0" w:color="auto"/>
                            <w:right w:val="none" w:sz="0" w:space="0" w:color="auto"/>
                          </w:divBdr>
                          <w:divsChild>
                            <w:div w:id="95179723">
                              <w:marLeft w:val="0"/>
                              <w:marRight w:val="0"/>
                              <w:marTop w:val="0"/>
                              <w:marBottom w:val="0"/>
                              <w:divBdr>
                                <w:top w:val="none" w:sz="0" w:space="0" w:color="auto"/>
                                <w:left w:val="none" w:sz="0" w:space="0" w:color="auto"/>
                                <w:bottom w:val="none" w:sz="0" w:space="0" w:color="auto"/>
                                <w:right w:val="none" w:sz="0" w:space="0" w:color="auto"/>
                              </w:divBdr>
                              <w:divsChild>
                                <w:div w:id="1815223078">
                                  <w:marLeft w:val="2070"/>
                                  <w:marRight w:val="3960"/>
                                  <w:marTop w:val="0"/>
                                  <w:marBottom w:val="0"/>
                                  <w:divBdr>
                                    <w:top w:val="none" w:sz="0" w:space="0" w:color="auto"/>
                                    <w:left w:val="none" w:sz="0" w:space="0" w:color="auto"/>
                                    <w:bottom w:val="none" w:sz="0" w:space="0" w:color="auto"/>
                                    <w:right w:val="none" w:sz="0" w:space="0" w:color="auto"/>
                                  </w:divBdr>
                                  <w:divsChild>
                                    <w:div w:id="918057971">
                                      <w:marLeft w:val="0"/>
                                      <w:marRight w:val="0"/>
                                      <w:marTop w:val="0"/>
                                      <w:marBottom w:val="0"/>
                                      <w:divBdr>
                                        <w:top w:val="none" w:sz="0" w:space="0" w:color="auto"/>
                                        <w:left w:val="none" w:sz="0" w:space="0" w:color="auto"/>
                                        <w:bottom w:val="none" w:sz="0" w:space="0" w:color="auto"/>
                                        <w:right w:val="none" w:sz="0" w:space="0" w:color="auto"/>
                                      </w:divBdr>
                                      <w:divsChild>
                                        <w:div w:id="368844567">
                                          <w:marLeft w:val="0"/>
                                          <w:marRight w:val="0"/>
                                          <w:marTop w:val="0"/>
                                          <w:marBottom w:val="0"/>
                                          <w:divBdr>
                                            <w:top w:val="none" w:sz="0" w:space="0" w:color="auto"/>
                                            <w:left w:val="none" w:sz="0" w:space="0" w:color="auto"/>
                                            <w:bottom w:val="none" w:sz="0" w:space="0" w:color="auto"/>
                                            <w:right w:val="none" w:sz="0" w:space="0" w:color="auto"/>
                                          </w:divBdr>
                                          <w:divsChild>
                                            <w:div w:id="480386097">
                                              <w:marLeft w:val="0"/>
                                              <w:marRight w:val="0"/>
                                              <w:marTop w:val="0"/>
                                              <w:marBottom w:val="0"/>
                                              <w:divBdr>
                                                <w:top w:val="none" w:sz="0" w:space="0" w:color="auto"/>
                                                <w:left w:val="none" w:sz="0" w:space="0" w:color="auto"/>
                                                <w:bottom w:val="none" w:sz="0" w:space="0" w:color="auto"/>
                                                <w:right w:val="none" w:sz="0" w:space="0" w:color="auto"/>
                                              </w:divBdr>
                                              <w:divsChild>
                                                <w:div w:id="1688631585">
                                                  <w:marLeft w:val="0"/>
                                                  <w:marRight w:val="0"/>
                                                  <w:marTop w:val="0"/>
                                                  <w:marBottom w:val="0"/>
                                                  <w:divBdr>
                                                    <w:top w:val="none" w:sz="0" w:space="0" w:color="auto"/>
                                                    <w:left w:val="none" w:sz="0" w:space="0" w:color="auto"/>
                                                    <w:bottom w:val="none" w:sz="0" w:space="0" w:color="auto"/>
                                                    <w:right w:val="none" w:sz="0" w:space="0" w:color="auto"/>
                                                  </w:divBdr>
                                                  <w:divsChild>
                                                    <w:div w:id="1165780241">
                                                      <w:marLeft w:val="0"/>
                                                      <w:marRight w:val="0"/>
                                                      <w:marTop w:val="0"/>
                                                      <w:marBottom w:val="0"/>
                                                      <w:divBdr>
                                                        <w:top w:val="none" w:sz="0" w:space="0" w:color="auto"/>
                                                        <w:left w:val="none" w:sz="0" w:space="0" w:color="auto"/>
                                                        <w:bottom w:val="none" w:sz="0" w:space="0" w:color="auto"/>
                                                        <w:right w:val="none" w:sz="0" w:space="0" w:color="auto"/>
                                                      </w:divBdr>
                                                      <w:divsChild>
                                                        <w:div w:id="594634200">
                                                          <w:marLeft w:val="0"/>
                                                          <w:marRight w:val="0"/>
                                                          <w:marTop w:val="0"/>
                                                          <w:marBottom w:val="0"/>
                                                          <w:divBdr>
                                                            <w:top w:val="none" w:sz="0" w:space="0" w:color="auto"/>
                                                            <w:left w:val="none" w:sz="0" w:space="0" w:color="auto"/>
                                                            <w:bottom w:val="none" w:sz="0" w:space="0" w:color="auto"/>
                                                            <w:right w:val="none" w:sz="0" w:space="0" w:color="auto"/>
                                                          </w:divBdr>
                                                          <w:divsChild>
                                                            <w:div w:id="239408924">
                                                              <w:marLeft w:val="0"/>
                                                              <w:marRight w:val="0"/>
                                                              <w:marTop w:val="0"/>
                                                              <w:marBottom w:val="345"/>
                                                              <w:divBdr>
                                                                <w:top w:val="none" w:sz="0" w:space="0" w:color="auto"/>
                                                                <w:left w:val="none" w:sz="0" w:space="0" w:color="auto"/>
                                                                <w:bottom w:val="none" w:sz="0" w:space="0" w:color="auto"/>
                                                                <w:right w:val="none" w:sz="0" w:space="0" w:color="auto"/>
                                                              </w:divBdr>
                                                              <w:divsChild>
                                                                <w:div w:id="1595631577">
                                                                  <w:marLeft w:val="0"/>
                                                                  <w:marRight w:val="0"/>
                                                                  <w:marTop w:val="0"/>
                                                                  <w:marBottom w:val="0"/>
                                                                  <w:divBdr>
                                                                    <w:top w:val="none" w:sz="0" w:space="0" w:color="auto"/>
                                                                    <w:left w:val="none" w:sz="0" w:space="0" w:color="auto"/>
                                                                    <w:bottom w:val="none" w:sz="0" w:space="0" w:color="auto"/>
                                                                    <w:right w:val="none" w:sz="0" w:space="0" w:color="auto"/>
                                                                  </w:divBdr>
                                                                  <w:divsChild>
                                                                    <w:div w:id="1444835949">
                                                                      <w:marLeft w:val="0"/>
                                                                      <w:marRight w:val="0"/>
                                                                      <w:marTop w:val="0"/>
                                                                      <w:marBottom w:val="0"/>
                                                                      <w:divBdr>
                                                                        <w:top w:val="none" w:sz="0" w:space="0" w:color="auto"/>
                                                                        <w:left w:val="none" w:sz="0" w:space="0" w:color="auto"/>
                                                                        <w:bottom w:val="none" w:sz="0" w:space="0" w:color="auto"/>
                                                                        <w:right w:val="none" w:sz="0" w:space="0" w:color="auto"/>
                                                                      </w:divBdr>
                                                                      <w:divsChild>
                                                                        <w:div w:id="1430002922">
                                                                          <w:marLeft w:val="0"/>
                                                                          <w:marRight w:val="0"/>
                                                                          <w:marTop w:val="0"/>
                                                                          <w:marBottom w:val="0"/>
                                                                          <w:divBdr>
                                                                            <w:top w:val="none" w:sz="0" w:space="0" w:color="auto"/>
                                                                            <w:left w:val="none" w:sz="0" w:space="0" w:color="auto"/>
                                                                            <w:bottom w:val="none" w:sz="0" w:space="0" w:color="auto"/>
                                                                            <w:right w:val="none" w:sz="0" w:space="0" w:color="auto"/>
                                                                          </w:divBdr>
                                                                          <w:divsChild>
                                                                            <w:div w:id="2727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900503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344549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338804">
      <w:bodyDiv w:val="1"/>
      <w:marLeft w:val="0"/>
      <w:marRight w:val="0"/>
      <w:marTop w:val="0"/>
      <w:marBottom w:val="0"/>
      <w:divBdr>
        <w:top w:val="none" w:sz="0" w:space="0" w:color="auto"/>
        <w:left w:val="none" w:sz="0" w:space="0" w:color="auto"/>
        <w:bottom w:val="none" w:sz="0" w:space="0" w:color="auto"/>
        <w:right w:val="none" w:sz="0" w:space="0" w:color="auto"/>
      </w:divBdr>
    </w:div>
    <w:div w:id="163833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klii.hk/eng/hk/legis/ord/212/s29.html" TargetMode="External"/><Relationship Id="rId13" Type="http://schemas.openxmlformats.org/officeDocument/2006/relationships/hyperlink" Target="http://www.austlii.edu.au/cgi-bin/LawCite?cit=%282002%29%205%20HKCFAR%20415"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hklii.org/chi/hk/cases/hkcfa/2002/46.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klii.hk/eng/hk/legis/ord/212/s17.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austlii.edu.au/cgi-bin/LawCite?cit=%281994%29%20126%20ALR%20423"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austlii.edu.au/au/cases/cth/FCA/1993/624.html" TargetMode="External"/><Relationship Id="rId14" Type="http://schemas.openxmlformats.org/officeDocument/2006/relationships/hyperlink" Target="http://www.hklii.hk/eng/hk/legis/ord/212/s17.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0998B-95F2-41F1-BFBE-DFEF955BE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5662</Words>
  <Characters>32277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37864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John A.S. BURKE</dc:creator>
  <cp:lastModifiedBy>Mr. John A.S. BURKE</cp:lastModifiedBy>
  <cp:revision>2</cp:revision>
  <cp:lastPrinted>2022-03-05T02:21:00Z</cp:lastPrinted>
  <dcterms:created xsi:type="dcterms:W3CDTF">2022-03-05T03:26:00Z</dcterms:created>
  <dcterms:modified xsi:type="dcterms:W3CDTF">2022-03-05T03:26:00Z</dcterms:modified>
</cp:coreProperties>
</file>