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The American Health Ownership Plan (AHOP)</w:t>
      </w:r>
    </w:p>
    <w:p>
      <w:pPr>
        <w:pBdr>
          <w:bottom w:val="single" w:color="1F3864" w:sz="6"/>
        </w:pBd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Universal coverage, no medical bankruptcy, no job lock — built to survive a divided Congress</w:t>
      </w:r>
    </w:p>
    <w:p>
      <w:pPr>
        <w:spacing w:after="74" w:line="238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premise.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Health care is the largest source of financial ruin in American life, and coverage is chained to a job you can lose tomorrow. AHOP delivers universal coverage with guaranteed issue — nobody uninsurable, nobody bankrupted, nobody trapped in a bad job for the insurance. It reaches those goals through a private-insurer architecture rather than a public payer, which is precisely why it can pass: it is designed to win the votes that single-payer proposals cannot, without surrendering the outcomes that make them worth wanting.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architecture.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330"/>
      </w:tblGrid>
      <w:tr>
        <w:tc>
          <w:tcPr>
            <w:tcW w:type="dxa" w:w="1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LAYER 1</w:t>
            </w:r>
          </w:p>
          <w:p>
            <w:pPr>
              <w:spacing w:after="0" w:before="2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Coverage for everyone</w:t>
            </w:r>
          </w:p>
        </w:tc>
        <w:tc>
          <w:tcPr>
            <w:tcW w:type="dxa" w:w="8330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Universal coverage — every resident insured, with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guaranteed issue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community-style rating, and a risk-adjustment formula written into statute so insurers cannot cherry-pick the healthy. Deductibles and out-of-pocket exposure scale with income and are capped: no family is bankrupted by illness. A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smart deductible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puts high-value care outside cost sharing entirely — preventive screenings, prenatal care, mental-health maintenance, insulin, inhalers, and blood-pressure medication are covered from the first dollar.</w:t>
            </w:r>
          </w:p>
        </w:tc>
      </w:tr>
      <w:tr>
        <w:tc>
          <w:tcPr>
            <w:tcW w:type="dxa" w:w="175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LAYER 2</w:t>
            </w:r>
          </w:p>
          <w:p>
            <w:pPr>
              <w:spacing w:after="0" w:before="2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Accounts working families own</w:t>
            </w:r>
          </w:p>
        </w:tc>
        <w:tc>
          <w:tcPr>
            <w:tcW w:type="dxa" w:w="8330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Health savings accounts for routine care, seeded with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 public deposits for lower-income households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— progressive transfers replacing today's opaque subsidy machinery. The account is the family's property forever. Comparison tools and binding quotes are required by design: the burden falls on software, not on sick people. No one is ever asked to shop for cancer or emergency care — that sits above the deductible, where insurers negotiate on the patient's behalf.</w:t>
            </w:r>
          </w:p>
        </w:tc>
      </w:tr>
      <w:tr>
        <w:tc>
          <w:tcPr>
            <w:tcW w:type="dxa" w:w="1750"/>
            <w:shd w:fill="C9A22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LAYER 3</w:t>
            </w:r>
          </w:p>
          <w:p>
            <w:pPr>
              <w:spacing w:after="0" w:before="2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A safety net that cannot be starved</w:t>
            </w:r>
          </w:p>
        </w:tc>
        <w:tc>
          <w:tcPr>
            <w:tcW w:type="dxa" w:w="8330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guaranteed backstop for the poor and chronically ill, in a dedicated trust with dedicated revenue and a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statutory adequacy floor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that automatically adjusts revenue if funding would fall short. Unlike an appropriation, it cannot be quietly squeezed in a budget fight — it can only be cut by a recorded vote against the sick and the poor. Funded in part by a Solidarity Share on high earners' above-cap contributions.</w:t>
            </w:r>
          </w:p>
        </w:tc>
      </w:tr>
      <w:tr>
        <w:tc>
          <w:tcPr>
            <w:tcW w:type="dxa" w:w="1750"/>
            <w:shd w:fill="55555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  <w:p>
            <w:pPr>
              <w:spacing w:after="0" w:before="20"/>
            </w:pPr>
            <w:r>
              <w:rPr>
                <w:rFonts w:ascii="Times New Roman" w:cs="Times New Roman" w:eastAsia="Times New Roman" w:hAnsi="Times New Roman"/>
                <w:color w:val="FFFFFF"/>
                <w:sz w:val="15"/>
                <w:szCs w:val="15"/>
              </w:rPr>
              <w:t xml:space="preserve">Breaking up the hospital cartel</w:t>
            </w:r>
          </w:p>
        </w:tc>
        <w:tc>
          <w:tcPr>
            <w:tcW w:type="dxa" w:w="8330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Confronts consolidated provider markets directly: repeal of anti-competitive entry barriers, expanded clinician supply, binding price transparency,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site-neutral payments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that end the hospital-ownership billing premium, and faster generics and biosimilars. Backed by a hard guarantee: where markets are concentrated and prices fail to fall,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reference pricing capped at a multiple of Medicare rates activates automatically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— and providers must accept it to keep federal program participation.</w:t>
            </w:r>
          </w:p>
        </w:tc>
      </w:tr>
    </w:tbl>
    <w:p>
      <w:pPr>
        <w:spacing w:after="70"/>
      </w:pPr>
    </w:p>
    <w:p>
      <w:pPr>
        <w:spacing w:after="74" w:line="238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What it does for people.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Lose your job and nothing lapses — the policy and the account are yours, and because subsidies scale with income, a layoff automatically means a lower deductible and larger support. COBRA becomes obsolete, and job lock ends. Chronic-disease care — insulin, inhalers, mental-health maintenance — is free at the point of use, because a skipped $40 refill becomes a $20,000 emergency the system pays for anyway.</w:t>
      </w:r>
    </w:p>
    <w:p>
      <w:pPr>
        <w:spacing w:after="74" w:line="238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Who pays.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Not working families. Financing comes from ending the regressive employer tax exclusion — a $330B/yr break that disproportionately benefits high earners with gold-plated plans — with a statutory paycheck conversion legally requiring employers to hand those dollars back as wages. Existing Medicaid, CHIP, and ACA streams migrate in; high earners contribute through the Solidarity Share. The median household is provably no worse off.</w:t>
      </w:r>
    </w:p>
    <w:p>
      <w:pPr>
        <w:spacing w:after="74" w:line="238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numbers (14-year model, 12-run sensitivity grid).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Universal coverage at a peak cost of roughly $92B/yr — a fraction of one year of Medicare — and the ledger flips to savings by 2034. Every sensitivity variation stays favorable: the parameters move the price and timing, not the sign. And the system-wide prize is contingent on confronting provider consolidation, which is exactly where the left has been right all along.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1145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4"/>
                <w:szCs w:val="14"/>
              </w:rPr>
              <w:t xml:space="preserve">Taking on provider consolidation is where the savings live.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114550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4"/>
                <w:szCs w:val="14"/>
              </w:rPr>
              <w:t xml:space="preserve">Universal coverage for ≈ $92B/yr at peak — then it pays for itself.</w:t>
            </w:r>
          </w:p>
        </w:tc>
      </w:tr>
    </w:tbl>
    <w:p>
      <w:pPr>
        <w:spacing w:after="60"/>
      </w:pPr>
    </w:p>
    <w:p>
      <w:pPr>
        <w:spacing w:after="74" w:line="238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Why this one can pass.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Every repeal-era bill scored as millions losing coverage; this one scores as a coverage gain — the weapon that killed 2017 does not exist here. It is severable by design: hospital-consolidation and price-transparency reform can move now, and covering every child in America (Title II) revives the CHIP precedent, the most passable bill in health policy. The rest is trigger-gated for the Medicare trust-fund window of the early 2030s. It is not a bill to introduce — it is the architecture to have ready when the window opens.</w:t>
      </w:r>
    </w:p>
    <w:p>
      <w:pPr>
        <w:pBdr>
          <w:top w:val="single" w:color="1F3864" w:sz="6"/>
        </w:pBdr>
        <w:spacing w:after="0" w:before="60"/>
        <w:jc w:val="center"/>
      </w:pPr>
      <w:r>
        <w:rPr>
          <w:rFonts w:ascii="Times New Roman" w:cs="Times New Roman" w:eastAsia="Times New Roman" w:hAnsi="Times New Roman"/>
          <w:color w:val="555555"/>
          <w:sz w:val="17"/>
          <w:szCs w:val="17"/>
        </w:rPr>
        <w:t xml:space="preserve">Eric Schultz — Independent Researcher — ORCID 0009-0006-6283-1696 — Full framework (15 pp.) and fiscal model available</w:t>
      </w:r>
    </w:p>
    <w:sectPr>
      <w:pgSz w:w="12240" w:h="15840" w:orient="portrait"/>
      <w:pgMar w:top="650" w:right="920" w:bottom="62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b87760a917eaa303621c5638e3219531ebf9b8.png"/><Relationship Id="rId8" Type="http://schemas.openxmlformats.org/officeDocument/2006/relationships/image" Target="media/9f8ba4f838e7b75eb66c71f0c446cfc7332a32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2026-07-13T00:08:31.142Z</dcterms:created>
  <dcterms:modified xsi:type="dcterms:W3CDTF">2026-07-13T00:08:31.142Z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