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corporate governance</w:t>
      </w:r>
    </w:p>
    <w:p>
      <w:r>
        <w:t>Course review:</w:t>
        <w:br/>
        <w:t>a)International Comparative Corporate Governance (LAW 3222)</w:t>
        <w:br/>
        <w:t>b)"This course provided a deep dive into the different corporate governance structures across the world. I was particularly impressed with the case studies that spanned various continents and regulatory environments. The lectures were detailed and thought-provoking, highlighting the pros and cons of different governance models. However, I would have appreciated more guest lectures from international experts in the field to get firsthand insights."</w:t>
        <w:br/>
        <w:t>c)Course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