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Year of study: Junior</w:t>
      </w:r>
    </w:p>
    <w:p>
      <w:r>
        <w:t>Semesters offered: summer</w:t>
      </w:r>
    </w:p>
    <w:p>
      <w:r>
        <w:t>Course aliases: corporate governance</w:t>
      </w:r>
    </w:p>
    <w:p>
      <w:r>
        <w:t>Course review:</w:t>
        <w:br/>
        <w:t>a)International Comparative Corporate Governance (LAW 3222)</w:t>
        <w:br/>
        <w:t>b)"Taking this course has been an eye-opener on how significantly corporate governance can differ from one country to another and the implications of these differences on global business operations. The professor was knowledgeable and always ready to answer questions. However, the course could benefit from more interactive discussions and less reliance on lecture-based teaching to engage students more actively."</w:t>
        <w:br/>
        <w:t>c)Course difficulty was 3</w:t>
      </w:r>
    </w:p>
    <w:p>
      <w:r>
        <w:t>GPA: 3.30-3.60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