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</w:t>
      </w:r>
    </w:p>
    <w:p>
      <w:r>
        <w:t>Course aliases: corporate governance</w:t>
      </w:r>
    </w:p>
    <w:p>
      <w:r>
        <w:t>Course review:</w:t>
        <w:br/>
        <w:t>a)International Comparative Corporate Governance (LAW 3222)</w:t>
        <w:br/>
        <w:t>b)"As an MBA student with a focus on international business, this course was a perfect fit for my interests. The comparative analysis of governance systems in the US, Europe, Asia, and emerging markets was incredibly insightful. The course structure was well-organized, and the online forums were great for discussing ideas with classmates. Nonetheless, the course could improve by integrating more current events into the curriculum to make the discussions more relevant."</w:t>
        <w:br/>
        <w:t>c)Course difficulty was 5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