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680"/>
        <w:gridCol w:w="4680"/>
      </w:tblGrid>
      <w:tr>
        <w:tc>
          <w:tcPr>
            <w:tcW w:type="dxa" w:w="4680"/>
          </w:tcPr>
          <w:p>
            <w:pPr>
              <w:spacing w:line="240" w:lineRule="auto" w:after="20"/>
              <w:jc w:val="center"/>
            </w:pPr>
            <w:r>
              <w:rPr>
                <w:rFonts w:ascii="Times New Roman" w:hAnsi="Times New Roman" w:eastAsia="Times New Roman"/>
                <w:b w:val="0"/>
                <w:i w:val="0"/>
                <w:sz w:val="22"/>
              </w:rPr>
              <w:t>Ministère de l’Enseignement Supérieur et de la Recherche Scientifique</w:t>
            </w:r>
          </w:p>
          <w:p>
            <w:pPr>
              <w:spacing w:line="240" w:lineRule="auto" w:after="20"/>
              <w:jc w:val="center"/>
            </w:pPr>
            <w:r>
              <w:rPr>
                <w:rFonts w:ascii="Times New Roman" w:hAnsi="Times New Roman" w:eastAsia="Times New Roman"/>
                <w:b w:val="0"/>
                <w:i w:val="0"/>
                <w:sz w:val="20"/>
              </w:rPr>
              <w:t>*******************</w:t>
            </w:r>
          </w:p>
          <w:p>
            <w:pPr>
              <w:spacing w:line="240" w:lineRule="auto" w:after="20"/>
              <w:jc w:val="center"/>
            </w:pPr>
            <w:r>
              <w:rPr>
                <w:rFonts w:ascii="Times New Roman" w:hAnsi="Times New Roman" w:eastAsia="Times New Roman"/>
                <w:b w:val="0"/>
                <w:i w:val="0"/>
                <w:sz w:val="22"/>
              </w:rPr>
              <w:t>Direction Générale de l’Enseignement Supérieur et de la Recherche Scientifique</w:t>
            </w:r>
          </w:p>
          <w:p>
            <w:pPr>
              <w:spacing w:line="240" w:lineRule="auto" w:after="20"/>
              <w:jc w:val="center"/>
            </w:pPr>
            <w:r>
              <w:rPr>
                <w:rFonts w:ascii="Times New Roman" w:hAnsi="Times New Roman" w:eastAsia="Times New Roman"/>
                <w:b w:val="0"/>
                <w:i w:val="0"/>
                <w:sz w:val="20"/>
              </w:rPr>
              <w:t>*******************</w:t>
            </w:r>
          </w:p>
          <w:p>
            <w:pPr>
              <w:spacing w:line="240" w:lineRule="auto" w:after="20"/>
              <w:jc w:val="center"/>
            </w:pPr>
            <w:r>
              <w:rPr>
                <w:rFonts w:ascii="Times New Roman" w:hAnsi="Times New Roman" w:eastAsia="Times New Roman"/>
                <w:b/>
                <w:i w:val="0"/>
                <w:sz w:val="22"/>
              </w:rPr>
              <w:t>Institut Supérieur de Technologies Appliquées (TechnoLAB-ISTA)</w:t>
            </w:r>
          </w:p>
        </w:tc>
        <w:tc>
          <w:tcPr>
            <w:tcW w:type="dxa" w:w="4680"/>
          </w:tcPr>
          <w:p>
            <w:pPr>
              <w:spacing w:line="240" w:lineRule="auto" w:after="20"/>
              <w:jc w:val="center"/>
            </w:pPr>
            <w:r>
              <w:rPr>
                <w:rFonts w:ascii="Times New Roman" w:hAnsi="Times New Roman" w:eastAsia="Times New Roman"/>
                <w:b/>
                <w:i w:val="0"/>
                <w:sz w:val="22"/>
              </w:rPr>
              <w:t>République du Mali</w:t>
            </w:r>
          </w:p>
          <w:p>
            <w:pPr>
              <w:spacing w:line="240" w:lineRule="auto" w:after="20"/>
              <w:jc w:val="center"/>
            </w:pPr>
            <w:r>
              <w:rPr>
                <w:rFonts w:ascii="Times New Roman" w:hAnsi="Times New Roman" w:eastAsia="Times New Roman"/>
                <w:b w:val="0"/>
                <w:i w:val="0"/>
                <w:sz w:val="22"/>
              </w:rPr>
              <w:t>Un Peuple - Un But - Une Foi</w:t>
            </w:r>
          </w:p>
          <w:p>
            <w:pPr>
              <w:spacing w:line="240" w:lineRule="auto" w:after="20"/>
              <w:jc w:val="center"/>
            </w:pPr>
            <w:r>
              <w:rPr>
                <w:rFonts w:ascii="Times New Roman" w:hAnsi="Times New Roman" w:eastAsia="Times New Roman"/>
                <w:b w:val="0"/>
                <w:i w:val="0"/>
                <w:sz w:val="20"/>
              </w:rPr>
              <w:t>***************</w:t>
            </w:r>
          </w:p>
        </w:tc>
      </w:tr>
    </w:tbl>
    <w:p>
      <w:pPr>
        <w:spacing w:before="200" w:line="360" w:lineRule="auto"/>
        <w:jc w:val="center"/>
      </w:pPr>
      <w:r>
        <w:drawing>
          <wp:inline xmlns:a="http://schemas.openxmlformats.org/drawingml/2006/main" xmlns:pic="http://schemas.openxmlformats.org/drawingml/2006/picture">
            <wp:extent cx="1655999" cy="1542661"/>
            <wp:docPr id="1" name="Picture 1"/>
            <wp:cNvGraphicFramePr>
              <a:graphicFrameLocks noChangeAspect="1"/>
            </wp:cNvGraphicFramePr>
            <a:graphic>
              <a:graphicData uri="http://schemas.openxmlformats.org/drawingml/2006/picture">
                <pic:pic>
                  <pic:nvPicPr>
                    <pic:cNvPr id="0" name="logo-technolab.png"/>
                    <pic:cNvPicPr/>
                  </pic:nvPicPr>
                  <pic:blipFill>
                    <a:blip r:embed="rId10"/>
                    <a:stretch>
                      <a:fillRect/>
                    </a:stretch>
                  </pic:blipFill>
                  <pic:spPr>
                    <a:xfrm>
                      <a:off x="0" y="0"/>
                      <a:ext cx="1655999" cy="1542661"/>
                    </a:xfrm>
                    <a:prstGeom prst="rect"/>
                  </pic:spPr>
                </pic:pic>
              </a:graphicData>
            </a:graphic>
          </wp:inline>
        </w:drawing>
      </w:r>
    </w:p>
    <w:p>
      <w:pPr>
        <w:spacing w:before="200" w:line="240" w:lineRule="auto"/>
        <w:jc w:val="center"/>
      </w:pPr>
      <w:r>
        <w:rPr>
          <w:rFonts w:ascii="Times New Roman" w:hAnsi="Times New Roman" w:eastAsia="Times New Roman"/>
          <w:b/>
          <w:i w:val="0"/>
          <w:sz w:val="32"/>
        </w:rPr>
        <w:t>PROJET TUTORÉ DE FIN DE CYCLE</w:t>
      </w:r>
    </w:p>
    <w:p>
      <w:pPr>
        <w:spacing w:before="0" w:line="240" w:lineRule="auto"/>
        <w:jc w:val="center"/>
      </w:pPr>
      <w:r>
        <w:rPr>
          <w:rFonts w:ascii="Times New Roman" w:hAnsi="Times New Roman" w:eastAsia="Times New Roman"/>
          <w:b w:val="0"/>
          <w:i w:val="0"/>
          <w:sz w:val="24"/>
        </w:rPr>
        <w:t>EN VUE DE L’OBTENTION DU DIPLÔME DE</w:t>
      </w:r>
    </w:p>
    <w:p>
      <w:pPr>
        <w:spacing w:before="0" w:line="240" w:lineRule="auto"/>
        <w:jc w:val="center"/>
      </w:pPr>
      <w:r>
        <w:rPr>
          <w:rFonts w:ascii="Times New Roman" w:hAnsi="Times New Roman" w:eastAsia="Times New Roman"/>
          <w:b/>
          <w:i w:val="0"/>
          <w:sz w:val="26"/>
        </w:rPr>
        <w:t>LICENCE PROFESSIONNELLE EN SCIENCES ET TECHNOLOGIES</w:t>
      </w:r>
    </w:p>
    <w:p>
      <w:pPr>
        <w:spacing w:before="0" w:line="240" w:lineRule="auto"/>
        <w:jc w:val="center"/>
      </w:pPr>
      <w:r>
        <w:rPr>
          <w:rFonts w:ascii="Times New Roman" w:hAnsi="Times New Roman" w:eastAsia="Times New Roman"/>
          <w:b w:val="0"/>
          <w:i w:val="0"/>
          <w:sz w:val="24"/>
        </w:rPr>
        <w:t>Mention : A COMPLETER</w:t>
      </w:r>
    </w:p>
    <w:p>
      <w:pPr>
        <w:spacing w:before="0" w:line="240" w:lineRule="auto"/>
        <w:jc w:val="center"/>
      </w:pPr>
      <w:r>
        <w:rPr>
          <w:rFonts w:ascii="Times New Roman" w:hAnsi="Times New Roman" w:eastAsia="Times New Roman"/>
          <w:b w:val="0"/>
          <w:i w:val="0"/>
          <w:sz w:val="24"/>
        </w:rPr>
        <w:t>Spécialité : A COMPLETER</w:t>
      </w:r>
    </w:p>
    <w:tbl>
      <w:tblPr>
        <w:tblStyle w:val="TableGrid"/>
        <w:tblW w:type="auto" w:w="0"/>
        <w:tblLook w:firstColumn="1" w:firstRow="1" w:lastColumn="0" w:lastRow="0" w:noHBand="0" w:noVBand="1" w:val="04A0"/>
      </w:tblPr>
      <w:tblGrid>
        <w:gridCol w:w="9360"/>
      </w:tblGrid>
      <w:tr>
        <w:tc>
          <w:tcPr>
            <w:tcW w:type="dxa" w:w="9360"/>
          </w:tcPr>
          <w:p>
            <w:pPr>
              <w:spacing w:before="200" w:after="200" w:line="312" w:lineRule="auto"/>
              <w:jc w:val="center"/>
            </w:pPr>
            <w:r>
              <w:rPr>
                <w:rFonts w:ascii="Times New Roman" w:hAnsi="Times New Roman" w:eastAsia="Times New Roman"/>
                <w:b/>
                <w:i w:val="0"/>
                <w:sz w:val="26"/>
              </w:rPr>
              <w:t xml:space="preserve">Thème : </w:t>
            </w:r>
            <w:r>
              <w:rPr>
                <w:rFonts w:ascii="Times New Roman" w:hAnsi="Times New Roman" w:eastAsia="Times New Roman"/>
                <w:b/>
                <w:i w:val="0"/>
                <w:color w:val="2E4474"/>
                <w:sz w:val="28"/>
              </w:rPr>
              <w:t>Conception et réalisation d’une plateforme web de gestion scolaire pour un établissement d’enseignement supérieur : cas de TechnoLAB-ISTA</w:t>
            </w:r>
          </w:p>
        </w:tc>
      </w:tr>
    </w:tbl>
    <w:p>
      <w:pPr>
        <w:spacing w:before="120" w:line="240" w:lineRule="auto"/>
        <w:jc w:val="both"/>
      </w:pPr>
    </w:p>
    <w:tbl>
      <w:tblPr>
        <w:tblW w:type="auto" w:w="0"/>
        <w:tblLook w:firstColumn="1" w:firstRow="1" w:lastColumn="0" w:lastRow="0" w:noHBand="0" w:noVBand="1" w:val="04A0"/>
      </w:tblPr>
      <w:tblGrid>
        <w:gridCol w:w="4680"/>
        <w:gridCol w:w="4680"/>
      </w:tblGrid>
      <w:tr>
        <w:tc>
          <w:tcPr>
            <w:tcW w:type="dxa" w:w="4680"/>
          </w:tcPr>
          <w:p>
            <w:pPr>
              <w:spacing w:line="240" w:lineRule="auto"/>
              <w:jc w:val="left"/>
            </w:pPr>
            <w:r>
              <w:rPr>
                <w:rFonts w:ascii="Times New Roman" w:hAnsi="Times New Roman" w:eastAsia="Times New Roman"/>
                <w:b/>
                <w:i w:val="0"/>
                <w:sz w:val="24"/>
              </w:rPr>
              <w:t>Présenté par :</w:t>
            </w:r>
          </w:p>
          <w:p>
            <w:pPr>
              <w:spacing w:line="276" w:lineRule="auto" w:after="20"/>
              <w:jc w:val="left"/>
            </w:pPr>
            <w:r>
              <w:rPr>
                <w:rFonts w:ascii="Times New Roman" w:hAnsi="Times New Roman" w:eastAsia="Times New Roman"/>
                <w:b w:val="0"/>
                <w:i w:val="0"/>
                <w:color w:val="B91C1C"/>
                <w:sz w:val="24"/>
              </w:rPr>
              <w:t>A COMPLETER</w:t>
            </w:r>
          </w:p>
        </w:tc>
        <w:tc>
          <w:tcPr>
            <w:tcW w:type="dxa" w:w="4680"/>
          </w:tcPr>
          <w:p>
            <w:pPr>
              <w:spacing w:line="240" w:lineRule="auto" w:after="20"/>
              <w:jc w:val="left"/>
            </w:pPr>
            <w:r>
              <w:rPr>
                <w:rFonts w:ascii="Times New Roman" w:hAnsi="Times New Roman" w:eastAsia="Times New Roman"/>
                <w:b/>
                <w:i w:val="0"/>
                <w:sz w:val="24"/>
              </w:rPr>
              <w:t>Tuteur :</w:t>
            </w:r>
          </w:p>
          <w:p>
            <w:pPr>
              <w:spacing w:line="240" w:lineRule="auto" w:after="120"/>
              <w:jc w:val="left"/>
            </w:pPr>
            <w:r>
              <w:rPr>
                <w:rFonts w:ascii="Times New Roman" w:hAnsi="Times New Roman" w:eastAsia="Times New Roman"/>
                <w:b w:val="0"/>
                <w:i w:val="0"/>
                <w:color w:val="B91C1C"/>
                <w:sz w:val="24"/>
              </w:rPr>
              <w:t>A COMPLETER</w:t>
            </w:r>
          </w:p>
          <w:p>
            <w:pPr>
              <w:spacing w:line="240" w:lineRule="auto" w:after="20"/>
              <w:jc w:val="left"/>
            </w:pPr>
            <w:r>
              <w:rPr>
                <w:rFonts w:ascii="Times New Roman" w:hAnsi="Times New Roman" w:eastAsia="Times New Roman"/>
                <w:b/>
                <w:i w:val="0"/>
                <w:sz w:val="24"/>
              </w:rPr>
              <w:t>Examinateur :</w:t>
            </w:r>
          </w:p>
          <w:p>
            <w:pPr>
              <w:spacing w:line="240" w:lineRule="auto" w:after="120"/>
              <w:jc w:val="left"/>
            </w:pPr>
            <w:r>
              <w:rPr>
                <w:rFonts w:ascii="Times New Roman" w:hAnsi="Times New Roman" w:eastAsia="Times New Roman"/>
                <w:b w:val="0"/>
                <w:i w:val="0"/>
                <w:color w:val="B91C1C"/>
                <w:sz w:val="24"/>
              </w:rPr>
              <w:t>A COMPLETER</w:t>
            </w:r>
          </w:p>
        </w:tc>
      </w:tr>
    </w:tbl>
    <w:p>
      <w:pPr>
        <w:spacing w:before="200" w:line="240" w:lineRule="auto"/>
        <w:jc w:val="center"/>
      </w:pPr>
      <w:r>
        <w:rPr>
          <w:rFonts w:ascii="Times New Roman" w:hAnsi="Times New Roman" w:eastAsia="Times New Roman"/>
          <w:b/>
          <w:i w:val="0"/>
          <w:sz w:val="24"/>
        </w:rPr>
        <w:t>Promotion : A COMPLETER</w:t>
      </w:r>
    </w:p>
    <w:p>
      <w:pPr>
        <w:spacing w:before="0" w:line="240" w:lineRule="auto"/>
        <w:jc w:val="center"/>
      </w:pPr>
      <w:r>
        <w:rPr>
          <w:rFonts w:ascii="Times New Roman" w:hAnsi="Times New Roman" w:eastAsia="Times New Roman"/>
          <w:b w:val="0"/>
          <w:i w:val="0"/>
          <w:sz w:val="24"/>
        </w:rPr>
        <w:t>Année académique A COMPLETER</w:t>
      </w:r>
    </w:p>
    <w:p>
      <w:pPr>
        <w:spacing w:before="0" w:line="240" w:lineRule="auto"/>
        <w:jc w:val="center"/>
      </w:pPr>
      <w:r>
        <w:rPr>
          <w:rFonts w:ascii="Times New Roman" w:hAnsi="Times New Roman" w:eastAsia="Times New Roman"/>
          <w:b/>
          <w:i w:val="0"/>
          <w:sz w:val="24"/>
        </w:rPr>
        <w:t>Date de soutenance : A COMPLETER</w:t>
      </w:r>
    </w:p>
    <w:p>
      <w:pPr>
        <w:sectPr>
          <w:footerReference w:type="default" r:id="rId9"/>
          <w:pgSz w:w="12240" w:h="15840"/>
          <w:pgMar w:top="1440" w:right="1440" w:bottom="1440" w:left="1440" w:header="720" w:footer="720" w:gutter="0"/>
          <w:cols w:space="720"/>
          <w:docGrid w:linePitch="360"/>
        </w:sectPr>
      </w:pPr>
    </w:p>
    <w:p>
      <w:pPr>
        <w:pStyle w:val="Heading1"/>
        <w:jc w:val="center"/>
      </w:pPr>
      <w:r>
        <w:rPr>
          <w:rFonts w:ascii="Times New Roman" w:hAnsi="Times New Roman" w:eastAsia="Times New Roman"/>
          <w:b/>
          <w:i w:val="0"/>
          <w:color w:val="2E4474"/>
          <w:sz w:val="32"/>
        </w:rPr>
        <w:t>Dédicace</w:t>
      </w:r>
    </w:p>
    <w:p>
      <w:pPr>
        <w:spacing w:before="800" w:line="360" w:lineRule="auto"/>
        <w:jc w:val="center"/>
      </w:pPr>
      <w:r>
        <w:rPr>
          <w:rFonts w:ascii="Times New Roman" w:hAnsi="Times New Roman" w:eastAsia="Times New Roman"/>
          <w:b w:val="0"/>
          <w:i/>
          <w:sz w:val="24"/>
        </w:rPr>
        <w:t>À nos parents, pour leur patience et leurs sacrifices ; à celles et ceux qui nous ont appris que l’on apprend surtout en faisant.</w:t>
      </w:r>
    </w:p>
    <w:p>
      <w:r>
        <w:br w:type="page"/>
      </w:r>
    </w:p>
    <w:p>
      <w:pPr>
        <w:pStyle w:val="Heading1"/>
        <w:jc w:val="center"/>
      </w:pPr>
      <w:r>
        <w:rPr>
          <w:rFonts w:ascii="Times New Roman" w:hAnsi="Times New Roman" w:eastAsia="Times New Roman"/>
          <w:b/>
          <w:i w:val="0"/>
          <w:color w:val="2E4474"/>
          <w:sz w:val="32"/>
        </w:rPr>
        <w:t>Remerciements</w:t>
      </w:r>
    </w:p>
    <w:p>
      <w:pPr>
        <w:spacing w:before="0" w:line="360" w:lineRule="auto"/>
        <w:jc w:val="both"/>
      </w:pPr>
      <w:r>
        <w:rPr>
          <w:rFonts w:ascii="Times New Roman" w:hAnsi="Times New Roman" w:eastAsia="Times New Roman"/>
          <w:b w:val="0"/>
          <w:i w:val="0"/>
          <w:sz w:val="24"/>
        </w:rPr>
        <w:t>Nous rendons grâce à Dieu pour la santé et la persévérance qui nous ont accompagnés tout au long de ce travail.</w:t>
      </w:r>
    </w:p>
    <w:p>
      <w:pPr>
        <w:spacing w:before="0" w:line="360" w:lineRule="auto"/>
        <w:jc w:val="both"/>
      </w:pPr>
      <w:r>
        <w:rPr>
          <w:rFonts w:ascii="Times New Roman" w:hAnsi="Times New Roman" w:eastAsia="Times New Roman"/>
          <w:b w:val="0"/>
          <w:i w:val="0"/>
          <w:sz w:val="24"/>
        </w:rPr>
        <w:t>Nous remercions nos parents, dont le soutien moral et financier a rendu ce parcours possible, et dont la patience n’a jamais fait défaut.</w:t>
      </w:r>
    </w:p>
    <w:p>
      <w:pPr>
        <w:spacing w:before="0" w:line="360" w:lineRule="auto"/>
        <w:jc w:val="both"/>
      </w:pPr>
      <w:r>
        <w:rPr>
          <w:rFonts w:ascii="Times New Roman" w:hAnsi="Times New Roman" w:eastAsia="Times New Roman"/>
          <w:b w:val="0"/>
          <w:i w:val="0"/>
          <w:sz w:val="24"/>
        </w:rPr>
        <w:t>Notre reconnaissance va à notre tuteur, A COMPLETER, pour sa disponibilité, la justesse de ses remarques et l’exigence qui nous a fait reprendre plus d’une fois ce que nous croyions terminé.</w:t>
      </w:r>
    </w:p>
    <w:p>
      <w:pPr>
        <w:spacing w:before="0" w:line="360" w:lineRule="auto"/>
        <w:jc w:val="both"/>
      </w:pPr>
      <w:r>
        <w:rPr>
          <w:rFonts w:ascii="Times New Roman" w:hAnsi="Times New Roman" w:eastAsia="Times New Roman"/>
          <w:b w:val="0"/>
          <w:i w:val="0"/>
          <w:sz w:val="24"/>
        </w:rPr>
        <w:t>Nous remercions l’ensemble du corps enseignant de TechnoLAB-ISTA pour la qualité de la formation reçue, ainsi que l’équipe administrative de l’établissement, qui nous a ouvert ses portes et expliqué son travail quotidien : sans ces échanges, la plateforme décrite ici serait restée un exercice théorique.</w:t>
      </w:r>
    </w:p>
    <w:p>
      <w:r>
        <w:br w:type="page"/>
      </w:r>
    </w:p>
    <w:p>
      <w:pPr>
        <w:pStyle w:val="Heading1"/>
        <w:jc w:val="center"/>
      </w:pPr>
      <w:r>
        <w:rPr>
          <w:rFonts w:ascii="Times New Roman" w:hAnsi="Times New Roman" w:eastAsia="Times New Roman"/>
          <w:b/>
          <w:i w:val="0"/>
          <w:color w:val="2E4474"/>
          <w:sz w:val="32"/>
        </w:rPr>
        <w:t>Table des matières</w:t>
      </w:r>
    </w:p>
    <w:p>
      <w:pPr>
        <w:spacing w:before="0" w:line="240" w:lineRule="auto"/>
        <w:jc w:val="both"/>
      </w:pPr>
      <w:r>
        <w:fldChar w:fldCharType="begin"/>
        <w:instrText xml:space="preserve">TOC \o "1-3" \h \z \u</w:instrText>
        <w:fldChar w:fldCharType="separate"/>
        <w:t>Faites Ctrl+A puis F9 pour composer la table des matières.</w:t>
        <w:fldChar w:fldCharType="end"/>
      </w:r>
    </w:p>
    <w:p>
      <w:r>
        <w:br w:type="page"/>
      </w:r>
    </w:p>
    <w:p>
      <w:pPr>
        <w:pStyle w:val="Heading1"/>
        <w:jc w:val="center"/>
      </w:pPr>
      <w:r>
        <w:rPr>
          <w:rFonts w:ascii="Times New Roman" w:hAnsi="Times New Roman" w:eastAsia="Times New Roman"/>
          <w:b/>
          <w:i w:val="0"/>
          <w:color w:val="2E4474"/>
          <w:sz w:val="32"/>
        </w:rPr>
        <w:t>Liste des figures</w:t>
      </w:r>
    </w:p>
    <w:p>
      <w:pPr>
        <w:spacing w:before="0" w:line="240" w:lineRule="auto"/>
        <w:jc w:val="both"/>
      </w:pPr>
      <w:r>
        <w:fldChar w:fldCharType="begin"/>
        <w:instrText xml:space="preserve">TOC \h \z \c "Figure"</w:instrText>
        <w:fldChar w:fldCharType="separate"/>
        <w:t>Faites Ctrl+A puis F9 pour composer la liste des figures.</w:t>
        <w:fldChar w:fldCharType="end"/>
      </w:r>
    </w:p>
    <w:p>
      <w:r>
        <w:br w:type="page"/>
      </w:r>
    </w:p>
    <w:p>
      <w:pPr>
        <w:pStyle w:val="Heading1"/>
        <w:jc w:val="center"/>
      </w:pPr>
      <w:r>
        <w:rPr>
          <w:rFonts w:ascii="Times New Roman" w:hAnsi="Times New Roman" w:eastAsia="Times New Roman"/>
          <w:b/>
          <w:i w:val="0"/>
          <w:color w:val="2E4474"/>
          <w:sz w:val="32"/>
        </w:rPr>
        <w:t>Liste des tableaux</w:t>
      </w:r>
    </w:p>
    <w:p>
      <w:pPr>
        <w:spacing w:before="0" w:line="240" w:lineRule="auto"/>
        <w:jc w:val="both"/>
      </w:pPr>
      <w:r>
        <w:fldChar w:fldCharType="begin"/>
        <w:instrText xml:space="preserve">TOC \h \z \c "Tableau"</w:instrText>
        <w:fldChar w:fldCharType="separate"/>
        <w:t>Faites Ctrl+A puis F9 pour composer la liste des tableaux.</w:t>
        <w:fldChar w:fldCharType="end"/>
      </w:r>
    </w:p>
    <w:p>
      <w:r>
        <w:br w:type="page"/>
      </w:r>
    </w:p>
    <w:p>
      <w:pPr>
        <w:pStyle w:val="Heading1"/>
        <w:jc w:val="center"/>
      </w:pPr>
      <w:r>
        <w:rPr>
          <w:rFonts w:ascii="Times New Roman" w:hAnsi="Times New Roman" w:eastAsia="Times New Roman"/>
          <w:b/>
          <w:i w:val="0"/>
          <w:color w:val="2E4474"/>
          <w:sz w:val="32"/>
        </w:rPr>
        <w:t>Sigles et abréviations</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Sigles et abréviations employés dans ce document</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val="clear" w:fill="DCE3EE"/>
          </w:tcPr>
          <w:p>
            <w:pPr>
              <w:spacing w:line="240" w:lineRule="auto" w:after="40"/>
              <w:jc w:val="center"/>
            </w:pPr>
            <w:r>
              <w:rPr>
                <w:rFonts w:ascii="Times New Roman" w:hAnsi="Times New Roman" w:eastAsia="Times New Roman"/>
                <w:b/>
                <w:i w:val="0"/>
                <w:sz w:val="21"/>
              </w:rPr>
              <w:t>Sigle</w:t>
            </w:r>
          </w:p>
        </w:tc>
        <w:tc>
          <w:tcPr>
            <w:tcW w:type="dxa" w:w="2835"/>
            <w:shd w:val="clear" w:fill="DCE3EE"/>
          </w:tcPr>
          <w:p>
            <w:pPr>
              <w:spacing w:line="240" w:lineRule="auto" w:after="40"/>
              <w:jc w:val="center"/>
            </w:pPr>
            <w:r>
              <w:rPr>
                <w:rFonts w:ascii="Times New Roman" w:hAnsi="Times New Roman" w:eastAsia="Times New Roman"/>
                <w:b/>
                <w:i w:val="0"/>
                <w:sz w:val="21"/>
              </w:rPr>
              <w:t>Signification</w:t>
            </w:r>
          </w:p>
        </w:tc>
        <w:tc>
          <w:tcPr>
            <w:tcW w:type="dxa" w:w="4819"/>
            <w:shd w:val="clear" w:fill="DCE3EE"/>
          </w:tcPr>
          <w:p>
            <w:pPr>
              <w:spacing w:line="240" w:lineRule="auto" w:after="40"/>
              <w:jc w:val="center"/>
            </w:pPr>
            <w:r>
              <w:rPr>
                <w:rFonts w:ascii="Times New Roman" w:hAnsi="Times New Roman" w:eastAsia="Times New Roman"/>
                <w:b/>
                <w:i w:val="0"/>
                <w:sz w:val="21"/>
              </w:rPr>
              <w:t>Définition</w:t>
            </w:r>
          </w:p>
        </w:tc>
      </w:tr>
      <w:tr>
        <w:tc>
          <w:tcPr>
            <w:tcW w:type="dxa" w:w="1134"/>
          </w:tcPr>
          <w:p>
            <w:pPr>
              <w:spacing w:line="240" w:lineRule="auto" w:after="40"/>
              <w:jc w:val="center"/>
            </w:pPr>
            <w:r>
              <w:rPr>
                <w:rFonts w:ascii="Times New Roman" w:hAnsi="Times New Roman" w:eastAsia="Times New Roman"/>
                <w:b w:val="0"/>
                <w:i w:val="0"/>
                <w:sz w:val="21"/>
              </w:rPr>
              <w:t>API</w:t>
            </w:r>
          </w:p>
        </w:tc>
        <w:tc>
          <w:tcPr>
            <w:tcW w:type="dxa" w:w="2835"/>
          </w:tcPr>
          <w:p>
            <w:pPr>
              <w:spacing w:line="240" w:lineRule="auto" w:after="40"/>
              <w:jc w:val="left"/>
            </w:pPr>
            <w:r>
              <w:rPr>
                <w:rFonts w:ascii="Times New Roman" w:hAnsi="Times New Roman" w:eastAsia="Times New Roman"/>
                <w:b w:val="0"/>
                <w:i w:val="0"/>
                <w:sz w:val="21"/>
              </w:rPr>
              <w:t>Application Programming Interface</w:t>
            </w:r>
          </w:p>
        </w:tc>
        <w:tc>
          <w:tcPr>
            <w:tcW w:type="dxa" w:w="4819"/>
          </w:tcPr>
          <w:p>
            <w:pPr>
              <w:spacing w:line="240" w:lineRule="auto" w:after="40"/>
              <w:jc w:val="left"/>
            </w:pPr>
            <w:r>
              <w:rPr>
                <w:rFonts w:ascii="Times New Roman" w:hAnsi="Times New Roman" w:eastAsia="Times New Roman"/>
                <w:b w:val="0"/>
                <w:i w:val="0"/>
                <w:sz w:val="21"/>
              </w:rPr>
              <w:t>Interface par laquelle deux logiciels échangent des données.</w:t>
            </w:r>
          </w:p>
        </w:tc>
      </w:tr>
      <w:tr>
        <w:tc>
          <w:tcPr>
            <w:tcW w:type="dxa" w:w="1134"/>
          </w:tcPr>
          <w:p>
            <w:pPr>
              <w:spacing w:line="240" w:lineRule="auto" w:after="40"/>
              <w:jc w:val="center"/>
            </w:pPr>
            <w:r>
              <w:rPr>
                <w:rFonts w:ascii="Times New Roman" w:hAnsi="Times New Roman" w:eastAsia="Times New Roman"/>
                <w:b w:val="0"/>
                <w:i w:val="0"/>
                <w:sz w:val="21"/>
              </w:rPr>
              <w:t>BTP</w:t>
            </w:r>
          </w:p>
        </w:tc>
        <w:tc>
          <w:tcPr>
            <w:tcW w:type="dxa" w:w="2835"/>
          </w:tcPr>
          <w:p>
            <w:pPr>
              <w:spacing w:line="240" w:lineRule="auto" w:after="40"/>
              <w:jc w:val="left"/>
            </w:pPr>
            <w:r>
              <w:rPr>
                <w:rFonts w:ascii="Times New Roman" w:hAnsi="Times New Roman" w:eastAsia="Times New Roman"/>
                <w:b w:val="0"/>
                <w:i w:val="0"/>
                <w:sz w:val="21"/>
              </w:rPr>
              <w:t>Bâtiment et Travaux Publics</w:t>
            </w:r>
          </w:p>
        </w:tc>
        <w:tc>
          <w:tcPr>
            <w:tcW w:type="dxa" w:w="4819"/>
          </w:tcPr>
          <w:p>
            <w:pPr>
              <w:spacing w:line="240" w:lineRule="auto" w:after="40"/>
              <w:jc w:val="left"/>
            </w:pPr>
            <w:r>
              <w:rPr>
                <w:rFonts w:ascii="Times New Roman" w:hAnsi="Times New Roman" w:eastAsia="Times New Roman"/>
                <w:b w:val="0"/>
                <w:i w:val="0"/>
                <w:sz w:val="21"/>
              </w:rPr>
              <w:t>L’un des pôles de formation de l’institut.</w:t>
            </w:r>
          </w:p>
        </w:tc>
      </w:tr>
      <w:tr>
        <w:tc>
          <w:tcPr>
            <w:tcW w:type="dxa" w:w="1134"/>
          </w:tcPr>
          <w:p>
            <w:pPr>
              <w:spacing w:line="240" w:lineRule="auto" w:after="40"/>
              <w:jc w:val="center"/>
            </w:pPr>
            <w:r>
              <w:rPr>
                <w:rFonts w:ascii="Times New Roman" w:hAnsi="Times New Roman" w:eastAsia="Times New Roman"/>
                <w:b w:val="0"/>
                <w:i w:val="0"/>
                <w:sz w:val="21"/>
              </w:rPr>
              <w:t>CAMES</w:t>
            </w:r>
          </w:p>
        </w:tc>
        <w:tc>
          <w:tcPr>
            <w:tcW w:type="dxa" w:w="2835"/>
          </w:tcPr>
          <w:p>
            <w:pPr>
              <w:spacing w:line="240" w:lineRule="auto" w:after="40"/>
              <w:jc w:val="left"/>
            </w:pPr>
            <w:r>
              <w:rPr>
                <w:rFonts w:ascii="Times New Roman" w:hAnsi="Times New Roman" w:eastAsia="Times New Roman"/>
                <w:b w:val="0"/>
                <w:i w:val="0"/>
                <w:sz w:val="21"/>
              </w:rPr>
              <w:t>Conseil Africain et Malgache pour l’Enseignement Supérieur</w:t>
            </w:r>
          </w:p>
        </w:tc>
        <w:tc>
          <w:tcPr>
            <w:tcW w:type="dxa" w:w="4819"/>
          </w:tcPr>
          <w:p>
            <w:pPr>
              <w:spacing w:line="240" w:lineRule="auto" w:after="40"/>
              <w:jc w:val="left"/>
            </w:pPr>
            <w:r>
              <w:rPr>
                <w:rFonts w:ascii="Times New Roman" w:hAnsi="Times New Roman" w:eastAsia="Times New Roman"/>
                <w:b w:val="0"/>
                <w:i w:val="0"/>
                <w:sz w:val="21"/>
              </w:rPr>
              <w:t>Organisme qui reconnaît les diplômes des pays membres.</w:t>
            </w:r>
          </w:p>
        </w:tc>
      </w:tr>
      <w:tr>
        <w:tc>
          <w:tcPr>
            <w:tcW w:type="dxa" w:w="1134"/>
          </w:tcPr>
          <w:p>
            <w:pPr>
              <w:spacing w:line="240" w:lineRule="auto" w:after="40"/>
              <w:jc w:val="center"/>
            </w:pPr>
            <w:r>
              <w:rPr>
                <w:rFonts w:ascii="Times New Roman" w:hAnsi="Times New Roman" w:eastAsia="Times New Roman"/>
                <w:b w:val="0"/>
                <w:i w:val="0"/>
                <w:sz w:val="21"/>
              </w:rPr>
              <w:t>CRUD</w:t>
            </w:r>
          </w:p>
        </w:tc>
        <w:tc>
          <w:tcPr>
            <w:tcW w:type="dxa" w:w="2835"/>
          </w:tcPr>
          <w:p>
            <w:pPr>
              <w:spacing w:line="240" w:lineRule="auto" w:after="40"/>
              <w:jc w:val="left"/>
            </w:pPr>
            <w:r>
              <w:rPr>
                <w:rFonts w:ascii="Times New Roman" w:hAnsi="Times New Roman" w:eastAsia="Times New Roman"/>
                <w:b w:val="0"/>
                <w:i w:val="0"/>
                <w:sz w:val="21"/>
              </w:rPr>
              <w:t>Create, Read, Update, Delete</w:t>
            </w:r>
          </w:p>
        </w:tc>
        <w:tc>
          <w:tcPr>
            <w:tcW w:type="dxa" w:w="4819"/>
          </w:tcPr>
          <w:p>
            <w:pPr>
              <w:spacing w:line="240" w:lineRule="auto" w:after="40"/>
              <w:jc w:val="left"/>
            </w:pPr>
            <w:r>
              <w:rPr>
                <w:rFonts w:ascii="Times New Roman" w:hAnsi="Times New Roman" w:eastAsia="Times New Roman"/>
                <w:b w:val="0"/>
                <w:i w:val="0"/>
                <w:sz w:val="21"/>
              </w:rPr>
              <w:t>Les quatre opérations de base sur une donnée : créer, lire, modifier, supprimer.</w:t>
            </w:r>
          </w:p>
        </w:tc>
      </w:tr>
      <w:tr>
        <w:tc>
          <w:tcPr>
            <w:tcW w:type="dxa" w:w="1134"/>
          </w:tcPr>
          <w:p>
            <w:pPr>
              <w:spacing w:line="240" w:lineRule="auto" w:after="40"/>
              <w:jc w:val="center"/>
            </w:pPr>
            <w:r>
              <w:rPr>
                <w:rFonts w:ascii="Times New Roman" w:hAnsi="Times New Roman" w:eastAsia="Times New Roman"/>
                <w:b w:val="0"/>
                <w:i w:val="0"/>
                <w:sz w:val="21"/>
              </w:rPr>
              <w:t>CSS</w:t>
            </w:r>
          </w:p>
        </w:tc>
        <w:tc>
          <w:tcPr>
            <w:tcW w:type="dxa" w:w="2835"/>
          </w:tcPr>
          <w:p>
            <w:pPr>
              <w:spacing w:line="240" w:lineRule="auto" w:after="40"/>
              <w:jc w:val="left"/>
            </w:pPr>
            <w:r>
              <w:rPr>
                <w:rFonts w:ascii="Times New Roman" w:hAnsi="Times New Roman" w:eastAsia="Times New Roman"/>
                <w:b w:val="0"/>
                <w:i w:val="0"/>
                <w:sz w:val="21"/>
              </w:rPr>
              <w:t>Cascading Style Sheets</w:t>
            </w:r>
          </w:p>
        </w:tc>
        <w:tc>
          <w:tcPr>
            <w:tcW w:type="dxa" w:w="4819"/>
          </w:tcPr>
          <w:p>
            <w:pPr>
              <w:spacing w:line="240" w:lineRule="auto" w:after="40"/>
              <w:jc w:val="left"/>
            </w:pPr>
            <w:r>
              <w:rPr>
                <w:rFonts w:ascii="Times New Roman" w:hAnsi="Times New Roman" w:eastAsia="Times New Roman"/>
                <w:b w:val="0"/>
                <w:i w:val="0"/>
                <w:sz w:val="21"/>
              </w:rPr>
              <w:t>Langage de mise en forme des pages web.</w:t>
            </w:r>
          </w:p>
        </w:tc>
      </w:tr>
      <w:tr>
        <w:tc>
          <w:tcPr>
            <w:tcW w:type="dxa" w:w="1134"/>
          </w:tcPr>
          <w:p>
            <w:pPr>
              <w:spacing w:line="240" w:lineRule="auto" w:after="40"/>
              <w:jc w:val="center"/>
            </w:pPr>
            <w:r>
              <w:rPr>
                <w:rFonts w:ascii="Times New Roman" w:hAnsi="Times New Roman" w:eastAsia="Times New Roman"/>
                <w:b w:val="0"/>
                <w:i w:val="0"/>
                <w:sz w:val="21"/>
              </w:rPr>
              <w:t>DUT</w:t>
            </w:r>
          </w:p>
        </w:tc>
        <w:tc>
          <w:tcPr>
            <w:tcW w:type="dxa" w:w="2835"/>
          </w:tcPr>
          <w:p>
            <w:pPr>
              <w:spacing w:line="240" w:lineRule="auto" w:after="40"/>
              <w:jc w:val="left"/>
            </w:pPr>
            <w:r>
              <w:rPr>
                <w:rFonts w:ascii="Times New Roman" w:hAnsi="Times New Roman" w:eastAsia="Times New Roman"/>
                <w:b w:val="0"/>
                <w:i w:val="0"/>
                <w:sz w:val="21"/>
              </w:rPr>
              <w:t>Diplôme Universitaire de Technologie</w:t>
            </w:r>
          </w:p>
        </w:tc>
        <w:tc>
          <w:tcPr>
            <w:tcW w:type="dxa" w:w="4819"/>
          </w:tcPr>
          <w:p>
            <w:pPr>
              <w:spacing w:line="240" w:lineRule="auto" w:after="40"/>
              <w:jc w:val="left"/>
            </w:pPr>
            <w:r>
              <w:rPr>
                <w:rFonts w:ascii="Times New Roman" w:hAnsi="Times New Roman" w:eastAsia="Times New Roman"/>
                <w:b w:val="0"/>
                <w:i w:val="0"/>
                <w:sz w:val="21"/>
              </w:rPr>
              <w:t>Diplôme de niveau Bac+2.</w:t>
            </w:r>
          </w:p>
        </w:tc>
      </w:tr>
      <w:tr>
        <w:tc>
          <w:tcPr>
            <w:tcW w:type="dxa" w:w="1134"/>
          </w:tcPr>
          <w:p>
            <w:pPr>
              <w:spacing w:line="240" w:lineRule="auto" w:after="40"/>
              <w:jc w:val="center"/>
            </w:pPr>
            <w:r>
              <w:rPr>
                <w:rFonts w:ascii="Times New Roman" w:hAnsi="Times New Roman" w:eastAsia="Times New Roman"/>
                <w:b w:val="0"/>
                <w:i w:val="0"/>
                <w:sz w:val="21"/>
              </w:rPr>
              <w:t>ECTS</w:t>
            </w:r>
          </w:p>
        </w:tc>
        <w:tc>
          <w:tcPr>
            <w:tcW w:type="dxa" w:w="2835"/>
          </w:tcPr>
          <w:p>
            <w:pPr>
              <w:spacing w:line="240" w:lineRule="auto" w:after="40"/>
              <w:jc w:val="left"/>
            </w:pPr>
            <w:r>
              <w:rPr>
                <w:rFonts w:ascii="Times New Roman" w:hAnsi="Times New Roman" w:eastAsia="Times New Roman"/>
                <w:b w:val="0"/>
                <w:i w:val="0"/>
                <w:sz w:val="21"/>
              </w:rPr>
              <w:t>European Credit Transfer System</w:t>
            </w:r>
          </w:p>
        </w:tc>
        <w:tc>
          <w:tcPr>
            <w:tcW w:type="dxa" w:w="4819"/>
          </w:tcPr>
          <w:p>
            <w:pPr>
              <w:spacing w:line="240" w:lineRule="auto" w:after="40"/>
              <w:jc w:val="left"/>
            </w:pPr>
            <w:r>
              <w:rPr>
                <w:rFonts w:ascii="Times New Roman" w:hAnsi="Times New Roman" w:eastAsia="Times New Roman"/>
                <w:b w:val="0"/>
                <w:i w:val="0"/>
                <w:sz w:val="21"/>
              </w:rPr>
              <w:t>Système de crédits qui mesure le volume de travail d’un enseignement.</w:t>
            </w:r>
          </w:p>
        </w:tc>
      </w:tr>
      <w:tr>
        <w:tc>
          <w:tcPr>
            <w:tcW w:type="dxa" w:w="1134"/>
          </w:tcPr>
          <w:p>
            <w:pPr>
              <w:spacing w:line="240" w:lineRule="auto" w:after="40"/>
              <w:jc w:val="center"/>
            </w:pPr>
            <w:r>
              <w:rPr>
                <w:rFonts w:ascii="Times New Roman" w:hAnsi="Times New Roman" w:eastAsia="Times New Roman"/>
                <w:b w:val="0"/>
                <w:i w:val="0"/>
                <w:sz w:val="21"/>
              </w:rPr>
              <w:t>HTML</w:t>
            </w:r>
          </w:p>
        </w:tc>
        <w:tc>
          <w:tcPr>
            <w:tcW w:type="dxa" w:w="2835"/>
          </w:tcPr>
          <w:p>
            <w:pPr>
              <w:spacing w:line="240" w:lineRule="auto" w:after="40"/>
              <w:jc w:val="left"/>
            </w:pPr>
            <w:r>
              <w:rPr>
                <w:rFonts w:ascii="Times New Roman" w:hAnsi="Times New Roman" w:eastAsia="Times New Roman"/>
                <w:b w:val="0"/>
                <w:i w:val="0"/>
                <w:sz w:val="21"/>
              </w:rPr>
              <w:t>HyperText Markup Language</w:t>
            </w:r>
          </w:p>
        </w:tc>
        <w:tc>
          <w:tcPr>
            <w:tcW w:type="dxa" w:w="4819"/>
          </w:tcPr>
          <w:p>
            <w:pPr>
              <w:spacing w:line="240" w:lineRule="auto" w:after="40"/>
              <w:jc w:val="left"/>
            </w:pPr>
            <w:r>
              <w:rPr>
                <w:rFonts w:ascii="Times New Roman" w:hAnsi="Times New Roman" w:eastAsia="Times New Roman"/>
                <w:b w:val="0"/>
                <w:i w:val="0"/>
                <w:sz w:val="21"/>
              </w:rPr>
              <w:t>Langage qui structure le contenu d’une page web.</w:t>
            </w:r>
          </w:p>
        </w:tc>
      </w:tr>
      <w:tr>
        <w:tc>
          <w:tcPr>
            <w:tcW w:type="dxa" w:w="1134"/>
          </w:tcPr>
          <w:p>
            <w:pPr>
              <w:spacing w:line="240" w:lineRule="auto" w:after="40"/>
              <w:jc w:val="center"/>
            </w:pPr>
            <w:r>
              <w:rPr>
                <w:rFonts w:ascii="Times New Roman" w:hAnsi="Times New Roman" w:eastAsia="Times New Roman"/>
                <w:b w:val="0"/>
                <w:i w:val="0"/>
                <w:sz w:val="21"/>
              </w:rPr>
              <w:t>HTTPS</w:t>
            </w:r>
          </w:p>
        </w:tc>
        <w:tc>
          <w:tcPr>
            <w:tcW w:type="dxa" w:w="2835"/>
          </w:tcPr>
          <w:p>
            <w:pPr>
              <w:spacing w:line="240" w:lineRule="auto" w:after="40"/>
              <w:jc w:val="left"/>
            </w:pPr>
            <w:r>
              <w:rPr>
                <w:rFonts w:ascii="Times New Roman" w:hAnsi="Times New Roman" w:eastAsia="Times New Roman"/>
                <w:b w:val="0"/>
                <w:i w:val="0"/>
                <w:sz w:val="21"/>
              </w:rPr>
              <w:t>HyperText Transfer Protocol Secure</w:t>
            </w:r>
          </w:p>
        </w:tc>
        <w:tc>
          <w:tcPr>
            <w:tcW w:type="dxa" w:w="4819"/>
          </w:tcPr>
          <w:p>
            <w:pPr>
              <w:spacing w:line="240" w:lineRule="auto" w:after="40"/>
              <w:jc w:val="left"/>
            </w:pPr>
            <w:r>
              <w:rPr>
                <w:rFonts w:ascii="Times New Roman" w:hAnsi="Times New Roman" w:eastAsia="Times New Roman"/>
                <w:b w:val="0"/>
                <w:i w:val="0"/>
                <w:sz w:val="21"/>
              </w:rPr>
              <w:t>Protocole du web, chiffré : personne ne peut lire les données en chemin.</w:t>
            </w:r>
          </w:p>
        </w:tc>
      </w:tr>
      <w:tr>
        <w:tc>
          <w:tcPr>
            <w:tcW w:type="dxa" w:w="1134"/>
          </w:tcPr>
          <w:p>
            <w:pPr>
              <w:spacing w:line="240" w:lineRule="auto" w:after="40"/>
              <w:jc w:val="center"/>
            </w:pPr>
            <w:r>
              <w:rPr>
                <w:rFonts w:ascii="Times New Roman" w:hAnsi="Times New Roman" w:eastAsia="Times New Roman"/>
                <w:b w:val="0"/>
                <w:i w:val="0"/>
                <w:sz w:val="21"/>
              </w:rPr>
              <w:t>JSON</w:t>
            </w:r>
          </w:p>
        </w:tc>
        <w:tc>
          <w:tcPr>
            <w:tcW w:type="dxa" w:w="2835"/>
          </w:tcPr>
          <w:p>
            <w:pPr>
              <w:spacing w:line="240" w:lineRule="auto" w:after="40"/>
              <w:jc w:val="left"/>
            </w:pPr>
            <w:r>
              <w:rPr>
                <w:rFonts w:ascii="Times New Roman" w:hAnsi="Times New Roman" w:eastAsia="Times New Roman"/>
                <w:b w:val="0"/>
                <w:i w:val="0"/>
                <w:sz w:val="21"/>
              </w:rPr>
              <w:t>JavaScript Object Notation</w:t>
            </w:r>
          </w:p>
        </w:tc>
        <w:tc>
          <w:tcPr>
            <w:tcW w:type="dxa" w:w="4819"/>
          </w:tcPr>
          <w:p>
            <w:pPr>
              <w:spacing w:line="240" w:lineRule="auto" w:after="40"/>
              <w:jc w:val="left"/>
            </w:pPr>
            <w:r>
              <w:rPr>
                <w:rFonts w:ascii="Times New Roman" w:hAnsi="Times New Roman" w:eastAsia="Times New Roman"/>
                <w:b w:val="0"/>
                <w:i w:val="0"/>
                <w:sz w:val="21"/>
              </w:rPr>
              <w:t>Format texte d’échange de données entre le navigateur et le serveur.</w:t>
            </w:r>
          </w:p>
        </w:tc>
      </w:tr>
      <w:tr>
        <w:tc>
          <w:tcPr>
            <w:tcW w:type="dxa" w:w="1134"/>
          </w:tcPr>
          <w:p>
            <w:pPr>
              <w:spacing w:line="240" w:lineRule="auto" w:after="40"/>
              <w:jc w:val="center"/>
            </w:pPr>
            <w:r>
              <w:rPr>
                <w:rFonts w:ascii="Times New Roman" w:hAnsi="Times New Roman" w:eastAsia="Times New Roman"/>
                <w:b w:val="0"/>
                <w:i w:val="0"/>
                <w:sz w:val="21"/>
              </w:rPr>
              <w:t>JWT</w:t>
            </w:r>
          </w:p>
        </w:tc>
        <w:tc>
          <w:tcPr>
            <w:tcW w:type="dxa" w:w="2835"/>
          </w:tcPr>
          <w:p>
            <w:pPr>
              <w:spacing w:line="240" w:lineRule="auto" w:after="40"/>
              <w:jc w:val="left"/>
            </w:pPr>
            <w:r>
              <w:rPr>
                <w:rFonts w:ascii="Times New Roman" w:hAnsi="Times New Roman" w:eastAsia="Times New Roman"/>
                <w:b w:val="0"/>
                <w:i w:val="0"/>
                <w:sz w:val="21"/>
              </w:rPr>
              <w:t>JSON Web Token</w:t>
            </w:r>
          </w:p>
        </w:tc>
        <w:tc>
          <w:tcPr>
            <w:tcW w:type="dxa" w:w="4819"/>
          </w:tcPr>
          <w:p>
            <w:pPr>
              <w:spacing w:line="240" w:lineRule="auto" w:after="40"/>
              <w:jc w:val="left"/>
            </w:pPr>
            <w:r>
              <w:rPr>
                <w:rFonts w:ascii="Times New Roman" w:hAnsi="Times New Roman" w:eastAsia="Times New Roman"/>
                <w:b w:val="0"/>
                <w:i w:val="0"/>
                <w:sz w:val="21"/>
              </w:rPr>
              <w:t>Jeton signé qui prouve l’identité d’un utilisateur à chaque requête.</w:t>
            </w:r>
          </w:p>
        </w:tc>
      </w:tr>
      <w:tr>
        <w:tc>
          <w:tcPr>
            <w:tcW w:type="dxa" w:w="1134"/>
          </w:tcPr>
          <w:p>
            <w:pPr>
              <w:spacing w:line="240" w:lineRule="auto" w:after="40"/>
              <w:jc w:val="center"/>
            </w:pPr>
            <w:r>
              <w:rPr>
                <w:rFonts w:ascii="Times New Roman" w:hAnsi="Times New Roman" w:eastAsia="Times New Roman"/>
                <w:b w:val="0"/>
                <w:i w:val="0"/>
                <w:sz w:val="21"/>
              </w:rPr>
              <w:t>LMD</w:t>
            </w:r>
          </w:p>
        </w:tc>
        <w:tc>
          <w:tcPr>
            <w:tcW w:type="dxa" w:w="2835"/>
          </w:tcPr>
          <w:p>
            <w:pPr>
              <w:spacing w:line="240" w:lineRule="auto" w:after="40"/>
              <w:jc w:val="left"/>
            </w:pPr>
            <w:r>
              <w:rPr>
                <w:rFonts w:ascii="Times New Roman" w:hAnsi="Times New Roman" w:eastAsia="Times New Roman"/>
                <w:b w:val="0"/>
                <w:i w:val="0"/>
                <w:sz w:val="21"/>
              </w:rPr>
              <w:t>Licence – Master – Doctorat</w:t>
            </w:r>
          </w:p>
        </w:tc>
        <w:tc>
          <w:tcPr>
            <w:tcW w:type="dxa" w:w="4819"/>
          </w:tcPr>
          <w:p>
            <w:pPr>
              <w:spacing w:line="240" w:lineRule="auto" w:after="40"/>
              <w:jc w:val="left"/>
            </w:pPr>
            <w:r>
              <w:rPr>
                <w:rFonts w:ascii="Times New Roman" w:hAnsi="Times New Roman" w:eastAsia="Times New Roman"/>
                <w:b w:val="0"/>
                <w:i w:val="0"/>
                <w:sz w:val="21"/>
              </w:rPr>
              <w:t>Organisation des études supérieures en semestres et en crédits.</w:t>
            </w:r>
          </w:p>
        </w:tc>
      </w:tr>
      <w:tr>
        <w:tc>
          <w:tcPr>
            <w:tcW w:type="dxa" w:w="1134"/>
          </w:tcPr>
          <w:p>
            <w:pPr>
              <w:spacing w:line="240" w:lineRule="auto" w:after="40"/>
              <w:jc w:val="center"/>
            </w:pPr>
            <w:r>
              <w:rPr>
                <w:rFonts w:ascii="Times New Roman" w:hAnsi="Times New Roman" w:eastAsia="Times New Roman"/>
                <w:b w:val="0"/>
                <w:i w:val="0"/>
                <w:sz w:val="21"/>
              </w:rPr>
              <w:t>PDF</w:t>
            </w:r>
          </w:p>
        </w:tc>
        <w:tc>
          <w:tcPr>
            <w:tcW w:type="dxa" w:w="2835"/>
          </w:tcPr>
          <w:p>
            <w:pPr>
              <w:spacing w:line="240" w:lineRule="auto" w:after="40"/>
              <w:jc w:val="left"/>
            </w:pPr>
            <w:r>
              <w:rPr>
                <w:rFonts w:ascii="Times New Roman" w:hAnsi="Times New Roman" w:eastAsia="Times New Roman"/>
                <w:b w:val="0"/>
                <w:i w:val="0"/>
                <w:sz w:val="21"/>
              </w:rPr>
              <w:t>Portable Document Format</w:t>
            </w:r>
          </w:p>
        </w:tc>
        <w:tc>
          <w:tcPr>
            <w:tcW w:type="dxa" w:w="4819"/>
          </w:tcPr>
          <w:p>
            <w:pPr>
              <w:spacing w:line="240" w:lineRule="auto" w:after="40"/>
              <w:jc w:val="left"/>
            </w:pPr>
            <w:r>
              <w:rPr>
                <w:rFonts w:ascii="Times New Roman" w:hAnsi="Times New Roman" w:eastAsia="Times New Roman"/>
                <w:b w:val="0"/>
                <w:i w:val="0"/>
                <w:sz w:val="21"/>
              </w:rPr>
              <w:t>Format de document dont la mise en page ne varie pas d’un appareil à l’autre.</w:t>
            </w:r>
          </w:p>
        </w:tc>
      </w:tr>
      <w:tr>
        <w:tc>
          <w:tcPr>
            <w:tcW w:type="dxa" w:w="1134"/>
          </w:tcPr>
          <w:p>
            <w:pPr>
              <w:spacing w:line="240" w:lineRule="auto" w:after="40"/>
              <w:jc w:val="center"/>
            </w:pPr>
            <w:r>
              <w:rPr>
                <w:rFonts w:ascii="Times New Roman" w:hAnsi="Times New Roman" w:eastAsia="Times New Roman"/>
                <w:b w:val="0"/>
                <w:i w:val="0"/>
                <w:sz w:val="21"/>
              </w:rPr>
              <w:t>RBAC</w:t>
            </w:r>
          </w:p>
        </w:tc>
        <w:tc>
          <w:tcPr>
            <w:tcW w:type="dxa" w:w="2835"/>
          </w:tcPr>
          <w:p>
            <w:pPr>
              <w:spacing w:line="240" w:lineRule="auto" w:after="40"/>
              <w:jc w:val="left"/>
            </w:pPr>
            <w:r>
              <w:rPr>
                <w:rFonts w:ascii="Times New Roman" w:hAnsi="Times New Roman" w:eastAsia="Times New Roman"/>
                <w:b w:val="0"/>
                <w:i w:val="0"/>
                <w:sz w:val="21"/>
              </w:rPr>
              <w:t>Role-Based Access Control</w:t>
            </w:r>
          </w:p>
        </w:tc>
        <w:tc>
          <w:tcPr>
            <w:tcW w:type="dxa" w:w="4819"/>
          </w:tcPr>
          <w:p>
            <w:pPr>
              <w:spacing w:line="240" w:lineRule="auto" w:after="40"/>
              <w:jc w:val="left"/>
            </w:pPr>
            <w:r>
              <w:rPr>
                <w:rFonts w:ascii="Times New Roman" w:hAnsi="Times New Roman" w:eastAsia="Times New Roman"/>
                <w:b w:val="0"/>
                <w:i w:val="0"/>
                <w:sz w:val="21"/>
              </w:rPr>
              <w:t>Contrôle des accès fondé sur le rôle de l’utilisateur.</w:t>
            </w:r>
          </w:p>
        </w:tc>
      </w:tr>
      <w:tr>
        <w:tc>
          <w:tcPr>
            <w:tcW w:type="dxa" w:w="1134"/>
          </w:tcPr>
          <w:p>
            <w:pPr>
              <w:spacing w:line="240" w:lineRule="auto" w:after="40"/>
              <w:jc w:val="center"/>
            </w:pPr>
            <w:r>
              <w:rPr>
                <w:rFonts w:ascii="Times New Roman" w:hAnsi="Times New Roman" w:eastAsia="Times New Roman"/>
                <w:b w:val="0"/>
                <w:i w:val="0"/>
                <w:sz w:val="21"/>
              </w:rPr>
              <w:t>REST</w:t>
            </w:r>
          </w:p>
        </w:tc>
        <w:tc>
          <w:tcPr>
            <w:tcW w:type="dxa" w:w="2835"/>
          </w:tcPr>
          <w:p>
            <w:pPr>
              <w:spacing w:line="240" w:lineRule="auto" w:after="40"/>
              <w:jc w:val="left"/>
            </w:pPr>
            <w:r>
              <w:rPr>
                <w:rFonts w:ascii="Times New Roman" w:hAnsi="Times New Roman" w:eastAsia="Times New Roman"/>
                <w:b w:val="0"/>
                <w:i w:val="0"/>
                <w:sz w:val="21"/>
              </w:rPr>
              <w:t>Representational State Transfer</w:t>
            </w:r>
          </w:p>
        </w:tc>
        <w:tc>
          <w:tcPr>
            <w:tcW w:type="dxa" w:w="4819"/>
          </w:tcPr>
          <w:p>
            <w:pPr>
              <w:spacing w:line="240" w:lineRule="auto" w:after="40"/>
              <w:jc w:val="left"/>
            </w:pPr>
            <w:r>
              <w:rPr>
                <w:rFonts w:ascii="Times New Roman" w:hAnsi="Times New Roman" w:eastAsia="Times New Roman"/>
                <w:b w:val="0"/>
                <w:i w:val="0"/>
                <w:sz w:val="21"/>
              </w:rPr>
              <w:t>Style d’organisation d’une API, fondé sur les adresses et les verbes du web.</w:t>
            </w:r>
          </w:p>
        </w:tc>
      </w:tr>
      <w:tr>
        <w:tc>
          <w:tcPr>
            <w:tcW w:type="dxa" w:w="1134"/>
          </w:tcPr>
          <w:p>
            <w:pPr>
              <w:spacing w:line="240" w:lineRule="auto" w:after="40"/>
              <w:jc w:val="center"/>
            </w:pPr>
            <w:r>
              <w:rPr>
                <w:rFonts w:ascii="Times New Roman" w:hAnsi="Times New Roman" w:eastAsia="Times New Roman"/>
                <w:b w:val="0"/>
                <w:i w:val="0"/>
                <w:sz w:val="21"/>
              </w:rPr>
              <w:t>SEO</w:t>
            </w:r>
          </w:p>
        </w:tc>
        <w:tc>
          <w:tcPr>
            <w:tcW w:type="dxa" w:w="2835"/>
          </w:tcPr>
          <w:p>
            <w:pPr>
              <w:spacing w:line="240" w:lineRule="auto" w:after="40"/>
              <w:jc w:val="left"/>
            </w:pPr>
            <w:r>
              <w:rPr>
                <w:rFonts w:ascii="Times New Roman" w:hAnsi="Times New Roman" w:eastAsia="Times New Roman"/>
                <w:b w:val="0"/>
                <w:i w:val="0"/>
                <w:sz w:val="21"/>
              </w:rPr>
              <w:t>Search Engine Optimization</w:t>
            </w:r>
          </w:p>
        </w:tc>
        <w:tc>
          <w:tcPr>
            <w:tcW w:type="dxa" w:w="4819"/>
          </w:tcPr>
          <w:p>
            <w:pPr>
              <w:spacing w:line="240" w:lineRule="auto" w:after="40"/>
              <w:jc w:val="left"/>
            </w:pPr>
            <w:r>
              <w:rPr>
                <w:rFonts w:ascii="Times New Roman" w:hAnsi="Times New Roman" w:eastAsia="Times New Roman"/>
                <w:b w:val="0"/>
                <w:i w:val="0"/>
                <w:sz w:val="21"/>
              </w:rPr>
              <w:t>Ensemble des techniques qui rendent un site visible des moteurs de recherche.</w:t>
            </w:r>
          </w:p>
        </w:tc>
      </w:tr>
      <w:tr>
        <w:tc>
          <w:tcPr>
            <w:tcW w:type="dxa" w:w="1134"/>
          </w:tcPr>
          <w:p>
            <w:pPr>
              <w:spacing w:line="240" w:lineRule="auto" w:after="40"/>
              <w:jc w:val="center"/>
            </w:pPr>
            <w:r>
              <w:rPr>
                <w:rFonts w:ascii="Times New Roman" w:hAnsi="Times New Roman" w:eastAsia="Times New Roman"/>
                <w:b w:val="0"/>
                <w:i w:val="0"/>
                <w:sz w:val="21"/>
              </w:rPr>
              <w:t>UE</w:t>
            </w:r>
          </w:p>
        </w:tc>
        <w:tc>
          <w:tcPr>
            <w:tcW w:type="dxa" w:w="2835"/>
          </w:tcPr>
          <w:p>
            <w:pPr>
              <w:spacing w:line="240" w:lineRule="auto" w:after="40"/>
              <w:jc w:val="left"/>
            </w:pPr>
            <w:r>
              <w:rPr>
                <w:rFonts w:ascii="Times New Roman" w:hAnsi="Times New Roman" w:eastAsia="Times New Roman"/>
                <w:b w:val="0"/>
                <w:i w:val="0"/>
                <w:sz w:val="21"/>
              </w:rPr>
              <w:t>Unité d’Enseignement</w:t>
            </w:r>
          </w:p>
        </w:tc>
        <w:tc>
          <w:tcPr>
            <w:tcW w:type="dxa" w:w="4819"/>
          </w:tcPr>
          <w:p>
            <w:pPr>
              <w:spacing w:line="240" w:lineRule="auto" w:after="40"/>
              <w:jc w:val="left"/>
            </w:pPr>
            <w:r>
              <w:rPr>
                <w:rFonts w:ascii="Times New Roman" w:hAnsi="Times New Roman" w:eastAsia="Times New Roman"/>
                <w:b w:val="0"/>
                <w:i w:val="0"/>
                <w:sz w:val="21"/>
              </w:rPr>
              <w:t>Regroupement de matières validé globalement, qui porte les crédits.</w:t>
            </w:r>
          </w:p>
        </w:tc>
      </w:tr>
      <w:tr>
        <w:tc>
          <w:tcPr>
            <w:tcW w:type="dxa" w:w="1134"/>
          </w:tcPr>
          <w:p>
            <w:pPr>
              <w:spacing w:line="240" w:lineRule="auto" w:after="40"/>
              <w:jc w:val="center"/>
            </w:pPr>
            <w:r>
              <w:rPr>
                <w:rFonts w:ascii="Times New Roman" w:hAnsi="Times New Roman" w:eastAsia="Times New Roman"/>
                <w:b w:val="0"/>
                <w:i w:val="0"/>
                <w:sz w:val="21"/>
              </w:rPr>
              <w:t>UML</w:t>
            </w:r>
          </w:p>
        </w:tc>
        <w:tc>
          <w:tcPr>
            <w:tcW w:type="dxa" w:w="2835"/>
          </w:tcPr>
          <w:p>
            <w:pPr>
              <w:spacing w:line="240" w:lineRule="auto" w:after="40"/>
              <w:jc w:val="left"/>
            </w:pPr>
            <w:r>
              <w:rPr>
                <w:rFonts w:ascii="Times New Roman" w:hAnsi="Times New Roman" w:eastAsia="Times New Roman"/>
                <w:b w:val="0"/>
                <w:i w:val="0"/>
                <w:sz w:val="21"/>
              </w:rPr>
              <w:t>Unified Modeling Language</w:t>
            </w:r>
          </w:p>
        </w:tc>
        <w:tc>
          <w:tcPr>
            <w:tcW w:type="dxa" w:w="4819"/>
          </w:tcPr>
          <w:p>
            <w:pPr>
              <w:spacing w:line="240" w:lineRule="auto" w:after="40"/>
              <w:jc w:val="left"/>
            </w:pPr>
            <w:r>
              <w:rPr>
                <w:rFonts w:ascii="Times New Roman" w:hAnsi="Times New Roman" w:eastAsia="Times New Roman"/>
                <w:b w:val="0"/>
                <w:i w:val="0"/>
                <w:sz w:val="21"/>
              </w:rPr>
              <w:t>Langage graphique normalisé de modélisation des systèmes.</w:t>
            </w:r>
          </w:p>
        </w:tc>
      </w:tr>
    </w:tbl>
    <w:p>
      <w:r>
        <w:br w:type="page"/>
      </w:r>
    </w:p>
    <w:p>
      <w:pPr>
        <w:pStyle w:val="Heading1"/>
        <w:jc w:val="center"/>
      </w:pPr>
      <w:r>
        <w:rPr>
          <w:rFonts w:ascii="Times New Roman" w:hAnsi="Times New Roman" w:eastAsia="Times New Roman"/>
          <w:b/>
          <w:i w:val="0"/>
          <w:color w:val="2E4474"/>
          <w:sz w:val="32"/>
        </w:rPr>
        <w:t>Résumé</w:t>
      </w:r>
    </w:p>
    <w:p>
      <w:pPr>
        <w:spacing w:before="0" w:line="360" w:lineRule="auto"/>
        <w:jc w:val="both"/>
      </w:pPr>
      <w:r>
        <w:rPr>
          <w:rFonts w:ascii="Times New Roman" w:hAnsi="Times New Roman" w:eastAsia="Times New Roman"/>
          <w:b w:val="0"/>
          <w:i w:val="0"/>
          <w:sz w:val="24"/>
        </w:rPr>
        <w:t>Les établissements privés d’enseignement supérieur du Mali gèrent chaque année un volume important d’informations : inscriptions, dossiers des étudiants, emplois du temps, notes, bulletins, absences et frais de scolarité. Ces opérations reposent encore largement sur des registres papier et des fichiers de tableur isolés, sans lien entre les services. Il en résulte des lenteurs, des erreurs de recopie, des documents perdus et, surtout, l’impossibilité pour un étudiant ou sa famille de consulter sa situation sans se déplacer.</w:t>
      </w:r>
    </w:p>
    <w:p>
      <w:pPr>
        <w:spacing w:before="0" w:line="360" w:lineRule="auto"/>
        <w:jc w:val="both"/>
      </w:pPr>
      <w:r>
        <w:rPr>
          <w:rFonts w:ascii="Times New Roman" w:hAnsi="Times New Roman" w:eastAsia="Times New Roman"/>
          <w:b w:val="0"/>
          <w:i w:val="0"/>
          <w:sz w:val="24"/>
        </w:rPr>
        <w:t>Le présent projet tutoré porte sur la conception et la réalisation d’une plateforme web de gestion scolaire pour l’Institut Supérieur de Technologies Appliquées (TechnoLAB-ISTA), à Sévaré. La démarche a consisté à étudier le fonctionnement existant, à formaliser les besoins, à modéliser la solution en UML, puis à développer une application web organisée en modules : comptes et habilitations, structure pédagogique, notes et bulletins, absences, emploi du temps, comptabilité et espace des familles.</w:t>
      </w:r>
    </w:p>
    <w:p>
      <w:pPr>
        <w:spacing w:before="0" w:line="360" w:lineRule="auto"/>
        <w:jc w:val="both"/>
      </w:pPr>
      <w:r>
        <w:rPr>
          <w:rFonts w:ascii="Times New Roman" w:hAnsi="Times New Roman" w:eastAsia="Times New Roman"/>
          <w:b w:val="0"/>
          <w:i w:val="0"/>
          <w:sz w:val="24"/>
        </w:rPr>
        <w:t>La plateforme distingue sept profils d’utilisateurs, chacun disposant d’un espace et de droits ajustés à son métier. Elle applique les règles du système LMD : les matières sont regroupées en unités d’enseignement, chaque unité porte des crédits, et un semestre en totalise exactement trente. Le regroupement des matières est calculé automatiquement à partir de leur nature et de leur poids. Les documents officiels — bulletins, reçus de paiement, listes d’émargement — sont produits à la demande au format PDF. Une campagne de 337 vérifications automatisées, réparties en huit suites, valide les règles de calcul et les contrôles d’accès. L’application est déployée et accessible en ligne.</w:t>
      </w:r>
    </w:p>
    <w:p>
      <w:pPr>
        <w:spacing w:line="360" w:lineRule="auto"/>
        <w:jc w:val="both"/>
      </w:pPr>
      <w:r>
        <w:rPr>
          <w:rFonts w:ascii="Times New Roman" w:hAnsi="Times New Roman" w:eastAsia="Times New Roman"/>
          <w:b/>
          <w:i w:val="0"/>
          <w:sz w:val="24"/>
        </w:rPr>
        <w:t xml:space="preserve">Mots-clés : </w:t>
      </w:r>
      <w:r>
        <w:rPr>
          <w:rFonts w:ascii="Times New Roman" w:hAnsi="Times New Roman" w:eastAsia="Times New Roman"/>
          <w:b w:val="0"/>
          <w:i w:val="0"/>
          <w:sz w:val="24"/>
        </w:rPr>
        <w:t>gestion scolaire, enseignement supérieur, application web, UML, système LMD, crédits ECTS, bulletin, contrôle d’accès par rôles.</w:t>
      </w:r>
    </w:p>
    <w:p>
      <w:r>
        <w:br w:type="page"/>
      </w:r>
    </w:p>
    <w:p>
      <w:pPr>
        <w:pStyle w:val="Heading1"/>
        <w:jc w:val="center"/>
      </w:pPr>
      <w:r>
        <w:rPr>
          <w:rFonts w:ascii="Times New Roman" w:hAnsi="Times New Roman" w:eastAsia="Times New Roman"/>
          <w:b/>
          <w:i w:val="0"/>
          <w:color w:val="2E4474"/>
          <w:sz w:val="32"/>
        </w:rPr>
        <w:t>Abstract</w:t>
      </w:r>
    </w:p>
    <w:p>
      <w:pPr>
        <w:spacing w:before="0" w:line="360" w:lineRule="auto"/>
        <w:jc w:val="both"/>
      </w:pPr>
      <w:r>
        <w:rPr>
          <w:rFonts w:ascii="Times New Roman" w:hAnsi="Times New Roman" w:eastAsia="Times New Roman"/>
          <w:b w:val="0"/>
          <w:i w:val="0"/>
          <w:sz w:val="24"/>
        </w:rPr>
        <w:t>Private higher-education institutions in Mali handle a large amount of information every year: enrolments, student records, timetables, marks, report cards, absences and tuition fees. These operations still rely largely on paper registers and isolated spreadsheets, with no link between departments. The result is delay, copying errors, lost documents and, above all, the impossibility for a student or a family to check their situation without travelling to the school.</w:t>
      </w:r>
    </w:p>
    <w:p>
      <w:pPr>
        <w:spacing w:before="0" w:line="360" w:lineRule="auto"/>
        <w:jc w:val="both"/>
      </w:pPr>
      <w:r>
        <w:rPr>
          <w:rFonts w:ascii="Times New Roman" w:hAnsi="Times New Roman" w:eastAsia="Times New Roman"/>
          <w:b w:val="0"/>
          <w:i w:val="0"/>
          <w:sz w:val="24"/>
        </w:rPr>
        <w:t>This tutored project covers the design and development of a web platform for school management at the Institut Supérieur de Technologies Appliquées (TechnoLAB-ISTA) in Sévaré. The approach consisted of studying the existing system, formalising requirements, modelling the solution in UML, and then developing a modular web application: accounts and permissions, academic structure, marks and report cards, absences, timetable, accounting and a family portal.</w:t>
      </w:r>
    </w:p>
    <w:p>
      <w:pPr>
        <w:spacing w:before="0" w:line="360" w:lineRule="auto"/>
        <w:jc w:val="both"/>
      </w:pPr>
      <w:r>
        <w:rPr>
          <w:rFonts w:ascii="Times New Roman" w:hAnsi="Times New Roman" w:eastAsia="Times New Roman"/>
          <w:b w:val="0"/>
          <w:i w:val="0"/>
          <w:sz w:val="24"/>
        </w:rPr>
        <w:t>The platform distinguishes seven user profiles, each with a workspace and access rights matched to their role. It implements the rules of the LMD system: subjects are grouped into teaching units, each unit carries credits, and a semester totals exactly thirty. The grouping of subjects is computed automatically from their nature and weight. Official documents — report cards, payment receipts, attendance sheets — are produced on demand as PDF files. A campaign of 337 automated checks, spread over eight suites, validates the calculation rules and access controls. The application is deployed and available online.</w:t>
      </w:r>
    </w:p>
    <w:p>
      <w:pPr>
        <w:spacing w:line="360" w:lineRule="auto"/>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school management, higher education, web application, UML, LMD system, ECTS credits, report card, role-based access control.</w:t>
      </w:r>
    </w:p>
    <w:p>
      <w:pPr>
        <w:sectPr>
          <w:headerReference w:type="default" r:id="rId11"/>
          <w:footerReference w:type="default" r:id="rId12"/>
          <w:pgSz w:w="12240" w:h="15840"/>
          <w:pgMar w:top="1440" w:right="1440" w:bottom="1440" w:left="1440" w:header="720" w:footer="720" w:gutter="0"/>
          <w:cols w:space="720"/>
          <w:docGrid w:linePitch="360"/>
          <w:pgNumType w:fmt="upperRoman" w:start="1"/>
        </w:sectPr>
      </w:pPr>
    </w:p>
    <w:p>
      <w:pPr>
        <w:pStyle w:val="Heading1"/>
        <w:jc w:val="center"/>
      </w:pPr>
      <w:r>
        <w:rPr>
          <w:rFonts w:ascii="Times New Roman" w:hAnsi="Times New Roman" w:eastAsia="Times New Roman"/>
          <w:b/>
          <w:i w:val="0"/>
          <w:color w:val="2E4474"/>
          <w:sz w:val="32"/>
        </w:rPr>
        <w:t>Introduction générale</w:t>
      </w:r>
    </w:p>
    <w:p>
      <w:pPr>
        <w:pStyle w:val="Heading2"/>
        <w:jc w:val="left"/>
      </w:pPr>
      <w:r>
        <w:rPr>
          <w:rFonts w:ascii="Times New Roman" w:hAnsi="Times New Roman" w:eastAsia="Times New Roman"/>
          <w:b/>
          <w:i w:val="0"/>
          <w:color w:val="2E4474"/>
          <w:sz w:val="28"/>
        </w:rPr>
        <w:t>Contexte général</w:t>
      </w:r>
    </w:p>
    <w:p>
      <w:pPr>
        <w:spacing w:before="0" w:line="360" w:lineRule="auto"/>
        <w:jc w:val="both"/>
      </w:pPr>
      <w:r>
        <w:rPr>
          <w:rFonts w:ascii="Times New Roman" w:hAnsi="Times New Roman" w:eastAsia="Times New Roman"/>
          <w:b w:val="0"/>
          <w:i w:val="0"/>
          <w:sz w:val="24"/>
        </w:rPr>
        <w:t>L’enseignement supérieur privé occupe une place importante au Mali. Il accueille une part croissante des bacheliers et couvre des domaines variés : gestion, informatique, génie civil, énergies, sciences de l’ingénieur. Chaque établissement y gère, année après année, les mêmes informations : l’identité et le dossier de ses étudiants, la composition de ses classes, les matières enseignées et les enseignants qui en ont la charge, les notes, les absences, les emplois du temps et les frais de scolarité.</w:t>
      </w:r>
    </w:p>
    <w:p>
      <w:pPr>
        <w:spacing w:before="0" w:line="360" w:lineRule="auto"/>
        <w:jc w:val="both"/>
      </w:pPr>
      <w:r>
        <w:rPr>
          <w:rFonts w:ascii="Times New Roman" w:hAnsi="Times New Roman" w:eastAsia="Times New Roman"/>
          <w:b w:val="0"/>
          <w:i w:val="0"/>
          <w:sz w:val="24"/>
        </w:rPr>
        <w:t>Dans la plupart des cas, ces informations vivent dans des supports séparés. Le secrétariat tient un registre d’inscription. Chaque enseignant conserve ses notes dans un cahier ou un fichier de tableur qui lui est propre. La caisse enregistre les versements sur un autre support encore. Les bulletins sont composés en fin de semestre en rassemblant ces sources une à une. Rien de tout cela n’est absurde : ces méthodes ont fait leurs preuves quand les effectifs étaient réduits. Elles atteignent simplement leurs limites lorsque le nombre d’étudiants augmente et que les familles attendent une information rapide et fiable.</w:t>
      </w:r>
    </w:p>
    <w:p>
      <w:pPr>
        <w:spacing w:before="0" w:line="360" w:lineRule="auto"/>
        <w:jc w:val="both"/>
      </w:pPr>
      <w:r>
        <w:rPr>
          <w:rFonts w:ascii="Times New Roman" w:hAnsi="Times New Roman" w:eastAsia="Times New Roman"/>
          <w:b w:val="0"/>
          <w:i w:val="0"/>
          <w:sz w:val="24"/>
        </w:rPr>
        <w:t>L’Institut Supérieur de Technologies Appliquées, connu sous le sigle TechnoLAB-ISTA, se trouve dans cette situation. Fondé en 1998 et agréé par le gouvernement malien, il forme des étudiants du DUT au Master sur son site de Sévaré, dans la région de Mopti. L’institut dispose bien d’une présence en ligne, mais celle-ci est purement informative : elle présente les formations et les coordonnées, sans offrir d’outil de travail au personnel ni de service aux étudiants.</w:t>
      </w:r>
    </w:p>
    <w:p>
      <w:pPr>
        <w:pStyle w:val="Heading2"/>
        <w:jc w:val="left"/>
      </w:pPr>
      <w:r>
        <w:rPr>
          <w:rFonts w:ascii="Times New Roman" w:hAnsi="Times New Roman" w:eastAsia="Times New Roman"/>
          <w:b/>
          <w:i w:val="0"/>
          <w:color w:val="2E4474"/>
          <w:sz w:val="28"/>
        </w:rPr>
        <w:t>Intérêt du thème</w:t>
      </w:r>
    </w:p>
    <w:p>
      <w:pPr>
        <w:spacing w:before="0" w:line="360" w:lineRule="auto"/>
        <w:jc w:val="both"/>
      </w:pPr>
      <w:r>
        <w:rPr>
          <w:rFonts w:ascii="Times New Roman" w:hAnsi="Times New Roman" w:eastAsia="Times New Roman"/>
          <w:b w:val="0"/>
          <w:i w:val="0"/>
          <w:sz w:val="24"/>
        </w:rPr>
        <w:t>Le sujet présente un triple intérêt.</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Sur le plan organisationnel, </w:t>
      </w:r>
      <w:r>
        <w:rPr>
          <w:rFonts w:ascii="Times New Roman" w:hAnsi="Times New Roman" w:eastAsia="Times New Roman"/>
          <w:b w:val="0"/>
          <w:i w:val="0"/>
          <w:sz w:val="24"/>
        </w:rPr>
        <w:t>réunir en un seul endroit l’inscription, la scolarité, les notes et la comptabilité supprime les recopies d’un support à l’autre, et avec elles la principale source d’erreurs.</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Sur le plan du service rendu, </w:t>
      </w:r>
      <w:r>
        <w:rPr>
          <w:rFonts w:ascii="Times New Roman" w:hAnsi="Times New Roman" w:eastAsia="Times New Roman"/>
          <w:b w:val="0"/>
          <w:i w:val="0"/>
          <w:sz w:val="24"/>
        </w:rPr>
        <w:t>un étudiant et sa famille peuvent consulter à distance les résultats, les absences et la situation financière, sans dépendre des horaires du secrétariat.</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Sur le plan académique, </w:t>
      </w:r>
      <w:r>
        <w:rPr>
          <w:rFonts w:ascii="Times New Roman" w:hAnsi="Times New Roman" w:eastAsia="Times New Roman"/>
          <w:b w:val="0"/>
          <w:i w:val="0"/>
          <w:sz w:val="24"/>
        </w:rPr>
        <w:t>le projet mobilise l’ensemble des compétences de la formation : analyse d’un système d’information, modélisation UML, conception de base de données, développement web, sécurité applicative, tests et déploiement.</w:t>
      </w:r>
    </w:p>
    <w:p>
      <w:pPr>
        <w:pStyle w:val="Heading2"/>
        <w:jc w:val="left"/>
      </w:pPr>
      <w:r>
        <w:rPr>
          <w:rFonts w:ascii="Times New Roman" w:hAnsi="Times New Roman" w:eastAsia="Times New Roman"/>
          <w:b/>
          <w:i w:val="0"/>
          <w:color w:val="2E4474"/>
          <w:sz w:val="28"/>
        </w:rPr>
        <w:t>Problématique</w:t>
      </w:r>
    </w:p>
    <w:p>
      <w:pPr>
        <w:spacing w:before="0" w:line="360" w:lineRule="auto"/>
        <w:jc w:val="both"/>
      </w:pPr>
      <w:r>
        <w:rPr>
          <w:rFonts w:ascii="Times New Roman" w:hAnsi="Times New Roman" w:eastAsia="Times New Roman"/>
          <w:b w:val="0"/>
          <w:i w:val="0"/>
          <w:sz w:val="24"/>
        </w:rPr>
        <w:t>La difficulté centrale tient à la dispersion de l’information. Chaque service détient une partie de la vérité, et ces parties ne communiquent pas entre elles. Un bulletin ne peut donc être établi qu’au prix d’un rassemblement manuel, long et faillible. Une note corrigée après coup n’est pas répercutée sur les documents déjà imprimés. Un étudiant à jour de ses paiements ne peut pas le prouver sans se déplacer.</w:t>
      </w:r>
    </w:p>
    <w:p>
      <w:pPr>
        <w:spacing w:before="0" w:line="360" w:lineRule="auto"/>
        <w:jc w:val="both"/>
      </w:pPr>
      <w:r>
        <w:rPr>
          <w:rFonts w:ascii="Times New Roman" w:hAnsi="Times New Roman" w:eastAsia="Times New Roman"/>
          <w:b w:val="0"/>
          <w:i w:val="0"/>
          <w:sz w:val="24"/>
        </w:rPr>
        <w:t>À cette dispersion s’ajoute une contrainte propre à l’enseignement supérieur : le système LMD. Les matières y sont regroupées en unités d’enseignement, chaque unité porte un nombre de crédits, un semestre doit en totaliser exactement trente, et la validation se joue au niveau de l’unité et non de la matière isolée. Ces règles sont simples à énoncer et pénibles à tenir à la main : il suffit d’une matière mal rattachée pour que le compte des crédits soit faux sur tout un semestre.</w:t>
      </w:r>
    </w:p>
    <w:p>
      <w:pPr>
        <w:spacing w:before="0" w:line="360" w:lineRule="auto"/>
        <w:jc w:val="both"/>
      </w:pPr>
      <w:r>
        <w:rPr>
          <w:rFonts w:ascii="Times New Roman" w:hAnsi="Times New Roman" w:eastAsia="Times New Roman"/>
          <w:b w:val="0"/>
          <w:i w:val="0"/>
          <w:sz w:val="24"/>
        </w:rPr>
        <w:t>La problématique peut donc être formulée ainsi : comment concevoir une plateforme capable de centraliser l’ensemble des activités pédagogiques, administratives et financières d’un établissement d’enseignement supérieur, tout en garantissant l’exactitude des documents officiels et en ouvrant aux familles un accès direct à l’information qui les concerne ?</w:t>
      </w:r>
    </w:p>
    <w:p>
      <w:pPr>
        <w:pStyle w:val="Heading2"/>
        <w:jc w:val="left"/>
      </w:pPr>
      <w:r>
        <w:rPr>
          <w:rFonts w:ascii="Times New Roman" w:hAnsi="Times New Roman" w:eastAsia="Times New Roman"/>
          <w:b/>
          <w:i w:val="0"/>
          <w:color w:val="2E4474"/>
          <w:sz w:val="28"/>
        </w:rPr>
        <w:t>Solution envisagée</w:t>
      </w:r>
    </w:p>
    <w:p>
      <w:pPr>
        <w:spacing w:before="0" w:line="360" w:lineRule="auto"/>
        <w:jc w:val="both"/>
      </w:pPr>
      <w:r>
        <w:rPr>
          <w:rFonts w:ascii="Times New Roman" w:hAnsi="Times New Roman" w:eastAsia="Times New Roman"/>
          <w:b w:val="0"/>
          <w:i w:val="0"/>
          <w:sz w:val="24"/>
        </w:rPr>
        <w:t>Nous proposons une plateforme web accessible depuis un simple navigateur, aussi bien sur ordinateur que sur téléphone. Elle réunit dans une seule base les comptes, la structure pédagogique, les notes, les absences, l’emploi du temps et la comptabilité. Chaque profil d’utilisateur y dispose d’un espace et de droits ajustés à son métier. Les documents officiels sont produits à la demande au format PDF. Enfin, la partie publique du site présente l’établissement et ses formations à toute personne extérieure.</w:t>
      </w:r>
    </w:p>
    <w:p>
      <w:pPr>
        <w:spacing w:before="0" w:line="360" w:lineRule="auto"/>
        <w:jc w:val="both"/>
      </w:pPr>
      <w:r>
        <w:rPr>
          <w:rFonts w:ascii="Times New Roman" w:hAnsi="Times New Roman" w:eastAsia="Times New Roman"/>
          <w:b w:val="0"/>
          <w:i w:val="0"/>
          <w:sz w:val="24"/>
        </w:rPr>
        <w:t>Un principe gouverne l’ensemble : aucun résultat calculé n’est conservé en base. Ni la moyenne d’une matière, ni le total des crédits d’un semestre, ni le solde d’un étudiant. Tous sont recalculés à partir des données de base chaque fois qu’on les demande. Corriger une note suffit donc à corriger le bulletin, le rang et la mention qui en découlent, sans aucune reprise manuelle.</w:t>
      </w:r>
    </w:p>
    <w:p>
      <w:pPr>
        <w:pStyle w:val="Heading2"/>
        <w:jc w:val="left"/>
      </w:pPr>
      <w:r>
        <w:rPr>
          <w:rFonts w:ascii="Times New Roman" w:hAnsi="Times New Roman" w:eastAsia="Times New Roman"/>
          <w:b/>
          <w:i w:val="0"/>
          <w:color w:val="2E4474"/>
          <w:sz w:val="28"/>
        </w:rPr>
        <w:t>Objectif général</w:t>
      </w:r>
    </w:p>
    <w:p>
      <w:pPr>
        <w:spacing w:before="0" w:line="360" w:lineRule="auto"/>
        <w:jc w:val="both"/>
      </w:pPr>
      <w:r>
        <w:rPr>
          <w:rFonts w:ascii="Times New Roman" w:hAnsi="Times New Roman" w:eastAsia="Times New Roman"/>
          <w:b w:val="0"/>
          <w:i w:val="0"/>
          <w:sz w:val="24"/>
        </w:rPr>
        <w:t>Concevoir et réaliser une plateforme web de gestion scolaire permettant de centraliser, de sécuriser et de fiabiliser l’ensemble des processus de TechnoLAB-ISTA, de l’inscription d’un étudiant à l’édition de son bulletin.</w:t>
      </w:r>
    </w:p>
    <w:p>
      <w:pPr>
        <w:pStyle w:val="Heading2"/>
        <w:jc w:val="left"/>
      </w:pPr>
      <w:r>
        <w:rPr>
          <w:rFonts w:ascii="Times New Roman" w:hAnsi="Times New Roman" w:eastAsia="Times New Roman"/>
          <w:b/>
          <w:i w:val="0"/>
          <w:color w:val="2E4474"/>
          <w:sz w:val="28"/>
        </w:rPr>
        <w:t>Objectifs spécifiques</w:t>
      </w:r>
    </w:p>
    <w:p>
      <w:pPr>
        <w:spacing w:after="60" w:line="360" w:lineRule="auto"/>
        <w:ind w:left="454" w:hanging="283"/>
        <w:jc w:val="both"/>
      </w:pPr>
      <w:r>
        <w:rPr>
          <w:rFonts w:ascii="Times New Roman" w:hAnsi="Times New Roman" w:eastAsia="Times New Roman"/>
          <w:b w:val="0"/>
          <w:i w:val="0"/>
          <w:sz w:val="24"/>
        </w:rPr>
        <w:t>— étudier le fonctionnement actuel de l’établissement et recueillir les besoins des différents services ;</w:t>
      </w:r>
    </w:p>
    <w:p>
      <w:pPr>
        <w:spacing w:after="60" w:line="360" w:lineRule="auto"/>
        <w:ind w:left="454" w:hanging="283"/>
        <w:jc w:val="both"/>
      </w:pPr>
      <w:r>
        <w:rPr>
          <w:rFonts w:ascii="Times New Roman" w:hAnsi="Times New Roman" w:eastAsia="Times New Roman"/>
          <w:b w:val="0"/>
          <w:i w:val="0"/>
          <w:sz w:val="24"/>
        </w:rPr>
        <w:t>— modéliser la solution à l’aide du langage UML : cas d’utilisation, classes, séquences, activités et déploiement ;</w:t>
      </w:r>
    </w:p>
    <w:p>
      <w:pPr>
        <w:spacing w:after="60" w:line="360" w:lineRule="auto"/>
        <w:ind w:left="454" w:hanging="283"/>
        <w:jc w:val="both"/>
      </w:pPr>
      <w:r>
        <w:rPr>
          <w:rFonts w:ascii="Times New Roman" w:hAnsi="Times New Roman" w:eastAsia="Times New Roman"/>
          <w:b w:val="0"/>
          <w:i w:val="0"/>
          <w:sz w:val="24"/>
        </w:rPr>
        <w:t>— concevoir une base de données cohérente couvrant tous les modules ;</w:t>
      </w:r>
    </w:p>
    <w:p>
      <w:pPr>
        <w:spacing w:after="60" w:line="360" w:lineRule="auto"/>
        <w:ind w:left="454" w:hanging="283"/>
        <w:jc w:val="both"/>
      </w:pPr>
      <w:r>
        <w:rPr>
          <w:rFonts w:ascii="Times New Roman" w:hAnsi="Times New Roman" w:eastAsia="Times New Roman"/>
          <w:b w:val="0"/>
          <w:i w:val="0"/>
          <w:sz w:val="24"/>
        </w:rPr>
        <w:t>— développer une application web à accès contrôlé, distinguant sept profils d’utilisateurs ;</w:t>
      </w:r>
    </w:p>
    <w:p>
      <w:pPr>
        <w:spacing w:after="60" w:line="360" w:lineRule="auto"/>
        <w:ind w:left="454" w:hanging="283"/>
        <w:jc w:val="both"/>
      </w:pPr>
      <w:r>
        <w:rPr>
          <w:rFonts w:ascii="Times New Roman" w:hAnsi="Times New Roman" w:eastAsia="Times New Roman"/>
          <w:b w:val="0"/>
          <w:i w:val="0"/>
          <w:sz w:val="24"/>
        </w:rPr>
        <w:t>— implanter les règles du système LMD, jusqu’au calcul automatique des crédits et au regroupement des matières en unités d’enseignement ;</w:t>
      </w:r>
    </w:p>
    <w:p>
      <w:pPr>
        <w:spacing w:after="60" w:line="360" w:lineRule="auto"/>
        <w:ind w:left="454" w:hanging="283"/>
        <w:jc w:val="both"/>
      </w:pPr>
      <w:r>
        <w:rPr>
          <w:rFonts w:ascii="Times New Roman" w:hAnsi="Times New Roman" w:eastAsia="Times New Roman"/>
          <w:b w:val="0"/>
          <w:i w:val="0"/>
          <w:sz w:val="24"/>
        </w:rPr>
        <w:t>— produire automatiquement les documents officiels au format PDF ;</w:t>
      </w:r>
    </w:p>
    <w:p>
      <w:pPr>
        <w:spacing w:after="60" w:line="360" w:lineRule="auto"/>
        <w:ind w:left="454" w:hanging="283"/>
        <w:jc w:val="both"/>
      </w:pPr>
      <w:r>
        <w:rPr>
          <w:rFonts w:ascii="Times New Roman" w:hAnsi="Times New Roman" w:eastAsia="Times New Roman"/>
          <w:b w:val="0"/>
          <w:i w:val="0"/>
          <w:sz w:val="24"/>
        </w:rPr>
        <w:t>— éprouver la solution par une campagne de tests automatisés, puis la déployer et la rendre accessible en ligne.</w:t>
      </w:r>
    </w:p>
    <w:p>
      <w:pPr>
        <w:pStyle w:val="Heading2"/>
        <w:jc w:val="left"/>
      </w:pPr>
      <w:r>
        <w:rPr>
          <w:rFonts w:ascii="Times New Roman" w:hAnsi="Times New Roman" w:eastAsia="Times New Roman"/>
          <w:b/>
          <w:i w:val="0"/>
          <w:color w:val="2E4474"/>
          <w:sz w:val="28"/>
        </w:rPr>
        <w:t>Méthodologie adoptée</w:t>
      </w:r>
    </w:p>
    <w:p>
      <w:pPr>
        <w:spacing w:before="0" w:line="360" w:lineRule="auto"/>
        <w:jc w:val="both"/>
      </w:pPr>
      <w:r>
        <w:rPr>
          <w:rFonts w:ascii="Times New Roman" w:hAnsi="Times New Roman" w:eastAsia="Times New Roman"/>
          <w:b w:val="0"/>
          <w:i w:val="0"/>
          <w:sz w:val="24"/>
        </w:rPr>
        <w:t>La démarche s’est articulée en cinq étapes. Elle a commencé par une phase de collecte : entretiens avec le personnel administratif et pédagogique, observation des procédures en place, examen des documents réellement utilisés — fiches d’inscription, cahiers de notes, reçus. A suivi l’analyse de l’existant et la formalisation des besoins, fonctionnels comme non fonctionnels. La conception a ensuite traduit ces besoins en modèles UML et en un schéma de base de données. Le développement a été mené de façon incrémentale : chaque module a été écrit, éprouvé puis intégré avant que le suivant ne commence, le tout sous gestion de versions. La dernière étape a réuni les tests, le déploiement et la mise en ligne.</w:t>
      </w:r>
    </w:p>
    <w:p>
      <w:pPr>
        <w:spacing w:before="0" w:line="360" w:lineRule="auto"/>
        <w:jc w:val="both"/>
      </w:pPr>
      <w:r>
        <w:rPr>
          <w:rFonts w:ascii="Times New Roman" w:hAnsi="Times New Roman" w:eastAsia="Times New Roman"/>
          <w:b w:val="0"/>
          <w:i w:val="0"/>
          <w:sz w:val="24"/>
        </w:rPr>
        <w:t>Un choix de méthode mérite d’être signalé, car il a orienté toute la suite. Les règles de calcul — moyennes, crédits, regroupement des matières, soldes — ont été écrites dans des modules dits « purs », c’est-à-dire qui ne lisent ni la base de données, ni la date du jour, ni aucun réglage extérieur. Ils reçoivent des valeurs et rendent un résultat. Cette séparation permet de les éprouver sur des cas que l’on ne saurait pas fabriquer commodément en base, comme un semestre dont la répartition est devenue impossible.</w:t>
      </w:r>
    </w:p>
    <w:p>
      <w:pPr>
        <w:pStyle w:val="Heading2"/>
        <w:jc w:val="left"/>
      </w:pPr>
      <w:r>
        <w:rPr>
          <w:rFonts w:ascii="Times New Roman" w:hAnsi="Times New Roman" w:eastAsia="Times New Roman"/>
          <w:b/>
          <w:i w:val="0"/>
          <w:color w:val="2E4474"/>
          <w:sz w:val="28"/>
        </w:rPr>
        <w:t>Organisation du document</w:t>
      </w:r>
    </w:p>
    <w:p>
      <w:pPr>
        <w:spacing w:before="0" w:line="360" w:lineRule="auto"/>
        <w:jc w:val="both"/>
      </w:pPr>
      <w:r>
        <w:rPr>
          <w:rFonts w:ascii="Times New Roman" w:hAnsi="Times New Roman" w:eastAsia="Times New Roman"/>
          <w:b w:val="0"/>
          <w:i w:val="0"/>
          <w:sz w:val="24"/>
        </w:rPr>
        <w:t>Ce rapport comprend trois chapitres. Le premier présente l’établissement, son fonctionnement actuel, les limites de celui-ci et la solution retenue. Le deuxième détaille l’analyse et la conception : besoins, acteurs, diagrammes UML, base de données, règles pédagogiques et planification. Le troisième décrit la réalisation : technologies employées, interfaces obtenues, sécurité, campagne de tests, mise en ligne, difficultés rencontrées et perspectives. Une conclusion générale, la bibliographie et les annexes referment le document.</w:t>
      </w:r>
    </w:p>
    <w:p>
      <w:r>
        <w:br w:type="page"/>
      </w:r>
    </w:p>
    <w:p>
      <w:pPr>
        <w:pStyle w:val="Heading1"/>
        <w:jc w:val="center"/>
      </w:pPr>
      <w:r>
        <w:rPr>
          <w:rFonts w:ascii="Times New Roman" w:hAnsi="Times New Roman" w:eastAsia="Times New Roman"/>
          <w:b/>
          <w:i w:val="0"/>
          <w:color w:val="2E4474"/>
          <w:sz w:val="32"/>
        </w:rPr>
        <w:t>Chapitre 1 : Présentation générale du projet</w:t>
      </w:r>
    </w:p>
    <w:p>
      <w:pPr>
        <w:pStyle w:val="Heading2"/>
        <w:jc w:val="left"/>
      </w:pPr>
      <w:r>
        <w:rPr>
          <w:rFonts w:ascii="Times New Roman" w:hAnsi="Times New Roman" w:eastAsia="Times New Roman"/>
          <w:b/>
          <w:i w:val="0"/>
          <w:color w:val="2E4474"/>
          <w:sz w:val="28"/>
        </w:rPr>
        <w:t>Introduction</w:t>
      </w:r>
    </w:p>
    <w:p>
      <w:pPr>
        <w:spacing w:before="0" w:line="360" w:lineRule="auto"/>
        <w:jc w:val="both"/>
      </w:pPr>
      <w:r>
        <w:rPr>
          <w:rFonts w:ascii="Times New Roman" w:hAnsi="Times New Roman" w:eastAsia="Times New Roman"/>
          <w:b w:val="0"/>
          <w:i w:val="0"/>
          <w:sz w:val="24"/>
        </w:rPr>
        <w:t>Gérer un établissement d’enseignement supérieur, c’est conduire en parallèle plusieurs processus qui dépendent les uns des autres : inscrire les étudiants et tenir leur dossier, composer les classes, définir les matières et les confier à des enseignants, établir les emplois du temps, relever les notes et les absences, encaisser les frais de scolarité, et produire en fin de semestre les documents qui font foi. La qualité du service rendu dépend directement de la circulation de l’information entre ces activités.</w:t>
      </w:r>
    </w:p>
    <w:p>
      <w:pPr>
        <w:spacing w:before="0" w:line="360" w:lineRule="auto"/>
        <w:jc w:val="both"/>
      </w:pPr>
      <w:r>
        <w:rPr>
          <w:rFonts w:ascii="Times New Roman" w:hAnsi="Times New Roman" w:eastAsia="Times New Roman"/>
          <w:b w:val="0"/>
          <w:i w:val="0"/>
          <w:sz w:val="24"/>
        </w:rPr>
        <w:t>Ce chapitre présente l’établissement concerné, décrit son fonctionnement actuel, en analyse les limites, puis expose la solution que nous proposons.</w:t>
      </w:r>
    </w:p>
    <w:p>
      <w:pPr>
        <w:pStyle w:val="Heading2"/>
        <w:jc w:val="left"/>
      </w:pPr>
      <w:r>
        <w:rPr>
          <w:rFonts w:ascii="Times New Roman" w:hAnsi="Times New Roman" w:eastAsia="Times New Roman"/>
          <w:b/>
          <w:i w:val="0"/>
          <w:color w:val="2E4474"/>
          <w:sz w:val="28"/>
        </w:rPr>
        <w:t>1.1. Présentation de l’établissement</w:t>
      </w:r>
    </w:p>
    <w:p>
      <w:pPr>
        <w:spacing w:before="0" w:line="360" w:lineRule="auto"/>
        <w:jc w:val="both"/>
      </w:pPr>
      <w:r>
        <w:rPr>
          <w:rFonts w:ascii="Times New Roman" w:hAnsi="Times New Roman" w:eastAsia="Times New Roman"/>
          <w:b w:val="0"/>
          <w:i w:val="0"/>
          <w:sz w:val="24"/>
        </w:rPr>
        <w:t>L’Institut Supérieur de Technologies Appliquées — TechnoLAB-ISTA — est un établissement privé d’enseignement supérieur agréé par le gouvernement malien. Fondé en 1998, il dispense ses enseignements à Sévaré, dans la région de Mopti.</w:t>
      </w:r>
    </w:p>
    <w:p>
      <w:pPr>
        <w:spacing w:before="0" w:line="360" w:lineRule="auto"/>
        <w:jc w:val="both"/>
      </w:pPr>
      <w:r>
        <w:rPr>
          <w:rFonts w:ascii="Times New Roman" w:hAnsi="Times New Roman" w:eastAsia="Times New Roman"/>
          <w:b w:val="0"/>
          <w:i w:val="0"/>
          <w:sz w:val="24"/>
        </w:rPr>
        <w:t>L’institut organise ses formations en trois cycles — DUT (Bac+2), Licence (Bac+3) et Master (Bac+5) — répartis sur trois pôles disciplinaires : sciences économiques et de gestion, sciences et technologies, sciences de l’ingénieur. Les domaines couverts vont de la gestion et de la comptabilité à l’informatique, aux réseaux et télécommunications, au génie électrique et aux énergies renouvelables, au génie civil et aux travaux publics.</w:t>
      </w:r>
    </w:p>
    <w:p>
      <w:pPr>
        <w:spacing w:before="0" w:line="360" w:lineRule="auto"/>
        <w:jc w:val="both"/>
      </w:pPr>
      <w:r>
        <w:rPr>
          <w:rFonts w:ascii="Times New Roman" w:hAnsi="Times New Roman" w:eastAsia="Times New Roman"/>
          <w:b w:val="0"/>
          <w:i w:val="0"/>
          <w:sz w:val="24"/>
        </w:rPr>
        <w:t>Son personnel réunit une direction, un secrétariat chargé des inscriptions et de la caisse, une surveillance générale qui tient les classes et la vie scolaire au quotidien, et un corps enseignant intervenant par matière.</w:t>
      </w:r>
    </w:p>
    <w:p>
      <w:pPr>
        <w:pStyle w:val="Heading2"/>
        <w:jc w:val="left"/>
      </w:pPr>
      <w:r>
        <w:rPr>
          <w:rFonts w:ascii="Times New Roman" w:hAnsi="Times New Roman" w:eastAsia="Times New Roman"/>
          <w:b/>
          <w:i w:val="0"/>
          <w:color w:val="2E4474"/>
          <w:sz w:val="28"/>
        </w:rPr>
        <w:t>1.2. Étude de l’existant</w:t>
      </w:r>
    </w:p>
    <w:p>
      <w:pPr>
        <w:spacing w:before="0" w:line="360" w:lineRule="auto"/>
        <w:jc w:val="both"/>
      </w:pPr>
      <w:r>
        <w:rPr>
          <w:rFonts w:ascii="Times New Roman" w:hAnsi="Times New Roman" w:eastAsia="Times New Roman"/>
          <w:b w:val="0"/>
          <w:i w:val="0"/>
          <w:sz w:val="24"/>
        </w:rPr>
        <w:t>L’étude menée auprès des différents services montre une gestion presque entièrement manuelle, organisée par service plutôt que par dossier.</w:t>
      </w:r>
    </w:p>
    <w:p>
      <w:pPr>
        <w:spacing w:before="0" w:line="360" w:lineRule="auto"/>
        <w:jc w:val="both"/>
      </w:pPr>
      <w:r>
        <w:rPr>
          <w:rFonts w:ascii="Times New Roman" w:hAnsi="Times New Roman" w:eastAsia="Times New Roman"/>
          <w:b w:val="0"/>
          <w:i w:val="0"/>
          <w:sz w:val="24"/>
        </w:rPr>
        <w:t>Le secrétariat enregistre chaque inscription sur une fiche papier et reporte les principales informations dans un registre. L’identité d’un étudiant peut ainsi être saisie plusieurs fois, avec des orthographes différentes, sans que rien ne signale le doublon. L’affectation à une classe est notée sur une liste tenue à part.</w:t>
      </w:r>
    </w:p>
    <w:p>
      <w:pPr>
        <w:spacing w:before="0" w:line="360" w:lineRule="auto"/>
        <w:jc w:val="both"/>
      </w:pPr>
      <w:r>
        <w:rPr>
          <w:rFonts w:ascii="Times New Roman" w:hAnsi="Times New Roman" w:eastAsia="Times New Roman"/>
          <w:b w:val="0"/>
          <w:i w:val="0"/>
          <w:sz w:val="24"/>
        </w:rPr>
        <w:t>Les enseignants relèvent leurs notes sur un cahier personnel ou dans un fichier de tableur qu’ils conservent. En fin de semestre, ces relevés sont transmis au secrétariat, qui les rassemble matière par matière pour composer les bulletins. Chaque report est une occasion d’erreur, et une note corrigée après l’impression n’est pas répercutée sur les documents déjà distribués.</w:t>
      </w:r>
    </w:p>
    <w:p>
      <w:pPr>
        <w:spacing w:before="0" w:line="360" w:lineRule="auto"/>
        <w:jc w:val="both"/>
      </w:pPr>
      <w:r>
        <w:rPr>
          <w:rFonts w:ascii="Times New Roman" w:hAnsi="Times New Roman" w:eastAsia="Times New Roman"/>
          <w:b w:val="0"/>
          <w:i w:val="0"/>
          <w:sz w:val="24"/>
        </w:rPr>
        <w:t>Les absences sont relevées sur des feuilles de présence conservées par classe, sans consolidation. La caisse enregistre les versements sur un support distinct et délivre des reçus numérotés à la main ; savoir si un étudiant est à jour suppose de parcourir le registre. L’emploi du temps est composé sur tableau et affiché.</w:t>
      </w:r>
    </w:p>
    <w:p>
      <w:pPr>
        <w:spacing w:before="0" w:line="360" w:lineRule="auto"/>
        <w:jc w:val="both"/>
      </w:pPr>
      <w:r>
        <w:rPr>
          <w:rFonts w:ascii="Times New Roman" w:hAnsi="Times New Roman" w:eastAsia="Times New Roman"/>
          <w:b w:val="0"/>
          <w:i w:val="0"/>
          <w:sz w:val="24"/>
        </w:rPr>
        <w:t>Sur le plan numérique, l’établissement dispose d’un site institutionnel. L’analyse de cet existant montre toutefois qu’il est purement informatif et tourné vers le public : présentation des formations, coordonnées, reconnaissances. Il ne comporte aucune fonction de gestion, aucun espace de travail pour le personnel, et aucun accès pour les étudiants ou leurs familles.</w:t>
      </w:r>
    </w:p>
    <w:p>
      <w:pPr>
        <w:pStyle w:val="Heading2"/>
        <w:jc w:val="left"/>
      </w:pPr>
      <w:r>
        <w:rPr>
          <w:rFonts w:ascii="Times New Roman" w:hAnsi="Times New Roman" w:eastAsia="Times New Roman"/>
          <w:b/>
          <w:i w:val="0"/>
          <w:color w:val="2E4474"/>
          <w:sz w:val="28"/>
        </w:rPr>
        <w:t>1.3. Critique de l’existant</w:t>
      </w:r>
    </w:p>
    <w:p>
      <w:pPr>
        <w:spacing w:before="0" w:line="360" w:lineRule="auto"/>
        <w:jc w:val="both"/>
      </w:pPr>
      <w:r>
        <w:rPr>
          <w:rFonts w:ascii="Times New Roman" w:hAnsi="Times New Roman" w:eastAsia="Times New Roman"/>
          <w:b w:val="0"/>
          <w:i w:val="0"/>
          <w:sz w:val="24"/>
        </w:rPr>
        <w:t>Ce fonctionnement remplit sa fonction, mais il montre cinq limites nettes.</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Information dispersée. </w:t>
      </w:r>
      <w:r>
        <w:rPr>
          <w:rFonts w:ascii="Times New Roman" w:hAnsi="Times New Roman" w:eastAsia="Times New Roman"/>
          <w:b w:val="0"/>
          <w:i w:val="0"/>
          <w:sz w:val="24"/>
        </w:rPr>
        <w:t>Aucun service ne dispose d’une vue complète d’un étudiant. Répondre à une question simple — « cet étudiant est-il à jour, et quelle est sa moyenne ? » — suppose de consulter deux ou trois supports tenus par des personnes différentes.</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Documents fragiles. </w:t>
      </w:r>
      <w:r>
        <w:rPr>
          <w:rFonts w:ascii="Times New Roman" w:hAnsi="Times New Roman" w:eastAsia="Times New Roman"/>
          <w:b w:val="0"/>
          <w:i w:val="0"/>
          <w:sz w:val="24"/>
        </w:rPr>
        <w:t>Un bulletin est le résultat d’une longue recopie. L’erreur y est probable, et surtout elle est invisible : rien ne permet de vérifier a posteriori d’où vient un chiffre.</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Absence de traçabilité. </w:t>
      </w:r>
      <w:r>
        <w:rPr>
          <w:rFonts w:ascii="Times New Roman" w:hAnsi="Times New Roman" w:eastAsia="Times New Roman"/>
          <w:b w:val="0"/>
          <w:i w:val="0"/>
          <w:sz w:val="24"/>
        </w:rPr>
        <w:t>On ne sait ni qui a saisi une note, ni quand elle a été modifiée. En cas de contestation, il n’existe aucune trace à produire.</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Aucun service aux familles. </w:t>
      </w:r>
      <w:r>
        <w:rPr>
          <w:rFonts w:ascii="Times New Roman" w:hAnsi="Times New Roman" w:eastAsia="Times New Roman"/>
          <w:b w:val="0"/>
          <w:i w:val="0"/>
          <w:sz w:val="24"/>
        </w:rPr>
        <w:t>Un parent qui veut connaître les résultats ou les absences de son enfant doit se déplacer et attendre l’ouverture du secrétariat.</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Règles LMD difficiles à tenir. </w:t>
      </w:r>
      <w:r>
        <w:rPr>
          <w:rFonts w:ascii="Times New Roman" w:hAnsi="Times New Roman" w:eastAsia="Times New Roman"/>
          <w:b w:val="0"/>
          <w:i w:val="0"/>
          <w:sz w:val="24"/>
        </w:rPr>
        <w:t>Le regroupement des matières en unités d’enseignement et le bouclage d’un semestre à trente crédits reposent sur des vérifications faites de tête. Une répartition qui ne peut plus atteindre trente crédits n’est découverte qu’à la fin, quand il est trop tard pour la corriger sans tout reprendre.</w:t>
      </w:r>
    </w:p>
    <w:p>
      <w:pPr>
        <w:spacing w:before="0" w:line="360" w:lineRule="auto"/>
        <w:jc w:val="both"/>
      </w:pPr>
      <w:r>
        <w:rPr>
          <w:rFonts w:ascii="Times New Roman" w:hAnsi="Times New Roman" w:eastAsia="Times New Roman"/>
          <w:b w:val="0"/>
          <w:i w:val="0"/>
          <w:sz w:val="24"/>
        </w:rPr>
        <w:t>En conséquence, un site purement informatif ne suffit pas. Il communique, mais il ne gère rien. Cette insuffisance justifie la mise en place d’une plateforme de gestion intégrée.</w:t>
      </w:r>
    </w:p>
    <w:p>
      <w:pPr>
        <w:pStyle w:val="Heading2"/>
        <w:jc w:val="left"/>
      </w:pPr>
      <w:r>
        <w:rPr>
          <w:rFonts w:ascii="Times New Roman" w:hAnsi="Times New Roman" w:eastAsia="Times New Roman"/>
          <w:b/>
          <w:i w:val="0"/>
          <w:color w:val="2E4474"/>
          <w:sz w:val="28"/>
        </w:rPr>
        <w:t>1.4. Solution proposée</w:t>
      </w:r>
    </w:p>
    <w:p>
      <w:pPr>
        <w:spacing w:before="0" w:line="360" w:lineRule="auto"/>
        <w:jc w:val="both"/>
      </w:pPr>
      <w:r>
        <w:rPr>
          <w:rFonts w:ascii="Times New Roman" w:hAnsi="Times New Roman" w:eastAsia="Times New Roman"/>
          <w:b w:val="0"/>
          <w:i w:val="0"/>
          <w:sz w:val="24"/>
        </w:rPr>
        <w:t>Nous proposons une plateforme web centralisée, hébergée en ligne et accessible depuis n’importe quel navigateur, sans installation. Elle repose sur une base de données unique dans laquelle chaque information n’est saisie qu’une fois.</w:t>
      </w:r>
    </w:p>
    <w:p>
      <w:pPr>
        <w:spacing w:before="0" w:line="360" w:lineRule="auto"/>
        <w:jc w:val="both"/>
      </w:pPr>
      <w:r>
        <w:rPr>
          <w:rFonts w:ascii="Times New Roman" w:hAnsi="Times New Roman" w:eastAsia="Times New Roman"/>
          <w:b w:val="0"/>
          <w:i w:val="0"/>
          <w:sz w:val="24"/>
        </w:rPr>
        <w:t>La plateforme couvre le parcours complet d’un étudiant : inscription et dossier administratif, affectation à une classe, matières et unités d’enseignement, saisie des notes par l’enseignant, absences, emploi du temps, frais de scolarité et paiements, édition des documents officiels. Elle distingue sept profils d’utilisateurs, chacun ne voyant que ce qui relève de son métier.</w:t>
      </w:r>
    </w:p>
    <w:p>
      <w:pPr>
        <w:spacing w:before="0" w:line="360" w:lineRule="auto"/>
        <w:jc w:val="both"/>
      </w:pPr>
      <w:r>
        <w:rPr>
          <w:rFonts w:ascii="Times New Roman" w:hAnsi="Times New Roman" w:eastAsia="Times New Roman"/>
          <w:b w:val="0"/>
          <w:i w:val="0"/>
          <w:sz w:val="24"/>
        </w:rPr>
        <w:t>Trois choix de conception méritent d’être signalés dès maintenant, car ils structurent tout le reste du rapport.</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Les documents sont recalculés, jamais stockés. </w:t>
      </w:r>
      <w:r>
        <w:rPr>
          <w:rFonts w:ascii="Times New Roman" w:hAnsi="Times New Roman" w:eastAsia="Times New Roman"/>
          <w:b w:val="0"/>
          <w:i w:val="0"/>
          <w:sz w:val="24"/>
        </w:rPr>
        <w:t>Un bulletin n’existe pas en base : il est reconstitué à chaque consultation à partir des notes. Il ne peut donc pas être en retard sur elles.</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Les droits sont vérifiés par le serveur. </w:t>
      </w:r>
      <w:r>
        <w:rPr>
          <w:rFonts w:ascii="Times New Roman" w:hAnsi="Times New Roman" w:eastAsia="Times New Roman"/>
          <w:b w:val="0"/>
          <w:i w:val="0"/>
          <w:sz w:val="24"/>
        </w:rPr>
        <w:t>L’interface masque les actions non autorisées, mais c’est le serveur qui refuse. Un enseignant n’accède pas au bulletin complet ni au dossier d’un étudiant : il saisit les notes de ses propres matières, et rien de plus.</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Les règles pédagogiques sont administrables. </w:t>
      </w:r>
      <w:r>
        <w:rPr>
          <w:rFonts w:ascii="Times New Roman" w:hAnsi="Times New Roman" w:eastAsia="Times New Roman"/>
          <w:b w:val="0"/>
          <w:i w:val="0"/>
          <w:sz w:val="24"/>
        </w:rPr>
        <w:t>La pondération des notes, la typologie des matières et les affinités qui guident leur regroupement sont des réglages modifiables depuis l’application, et non des valeurs écrites dans le code.</w:t>
      </w:r>
    </w:p>
    <w:p>
      <w:pPr>
        <w:pStyle w:val="Heading2"/>
        <w:jc w:val="left"/>
      </w:pPr>
      <w:r>
        <w:rPr>
          <w:rFonts w:ascii="Times New Roman" w:hAnsi="Times New Roman" w:eastAsia="Times New Roman"/>
          <w:b/>
          <w:i w:val="0"/>
          <w:color w:val="2E4474"/>
          <w:sz w:val="28"/>
        </w:rPr>
        <w:t>Conclusion</w:t>
      </w:r>
    </w:p>
    <w:p>
      <w:pPr>
        <w:spacing w:before="0" w:line="360" w:lineRule="auto"/>
        <w:jc w:val="both"/>
      </w:pPr>
      <w:r>
        <w:rPr>
          <w:rFonts w:ascii="Times New Roman" w:hAnsi="Times New Roman" w:eastAsia="Times New Roman"/>
          <w:b w:val="0"/>
          <w:i w:val="0"/>
          <w:sz w:val="24"/>
        </w:rPr>
        <w:t>Ce chapitre a présenté TechnoLAB-ISTA et son fonctionnement actuel. L’analyse critique en a dégagé les limites principales : dispersion de l’information, fragilité des documents, absence de traçabilité, aucun service rendu aux familles et difficulté à tenir les règles du LMD. La solution proposée — une plateforme centralisée à accès contrôlé, produisant ses documents par le calcul — répond point par point à ces insuffisances. Le chapitre suivant en présente l’analyse détaillée et la conception.</w:t>
      </w:r>
    </w:p>
    <w:p>
      <w:r>
        <w:br w:type="page"/>
      </w:r>
    </w:p>
    <w:p>
      <w:pPr>
        <w:pStyle w:val="Heading1"/>
        <w:jc w:val="center"/>
      </w:pPr>
      <w:r>
        <w:rPr>
          <w:rFonts w:ascii="Times New Roman" w:hAnsi="Times New Roman" w:eastAsia="Times New Roman"/>
          <w:b/>
          <w:i w:val="0"/>
          <w:color w:val="2E4474"/>
          <w:sz w:val="32"/>
        </w:rPr>
        <w:t>Chapitre 2 : Analyse et conception de la solution</w:t>
      </w:r>
    </w:p>
    <w:p>
      <w:pPr>
        <w:pStyle w:val="Heading2"/>
        <w:jc w:val="left"/>
      </w:pPr>
      <w:r>
        <w:rPr>
          <w:rFonts w:ascii="Times New Roman" w:hAnsi="Times New Roman" w:eastAsia="Times New Roman"/>
          <w:b/>
          <w:i w:val="0"/>
          <w:color w:val="2E4474"/>
          <w:sz w:val="28"/>
        </w:rPr>
        <w:t>Introduction</w:t>
      </w:r>
    </w:p>
    <w:p>
      <w:pPr>
        <w:spacing w:before="0" w:line="360" w:lineRule="auto"/>
        <w:jc w:val="both"/>
      </w:pPr>
      <w:r>
        <w:rPr>
          <w:rFonts w:ascii="Times New Roman" w:hAnsi="Times New Roman" w:eastAsia="Times New Roman"/>
          <w:b w:val="0"/>
          <w:i w:val="0"/>
          <w:sz w:val="24"/>
        </w:rPr>
        <w:t>Après avoir établi les limites du fonctionnement actuel, il faut préciser ce que la nouvelle solution doit faire et comment elle sera construite. Ce chapitre recense les besoins, identifie les acteurs, traduit le tout en modèles UML, décrit la base de données, expose les règles pédagogiques retenues et présente la planification du projet.</w:t>
      </w:r>
    </w:p>
    <w:p>
      <w:pPr>
        <w:pStyle w:val="Heading2"/>
        <w:jc w:val="left"/>
      </w:pPr>
      <w:r>
        <w:rPr>
          <w:rFonts w:ascii="Times New Roman" w:hAnsi="Times New Roman" w:eastAsia="Times New Roman"/>
          <w:b/>
          <w:i w:val="0"/>
          <w:color w:val="2E4474"/>
          <w:sz w:val="28"/>
        </w:rPr>
        <w:t>2.1. Analyse des besoins</w:t>
      </w:r>
    </w:p>
    <w:p>
      <w:pPr>
        <w:spacing w:before="0" w:line="360" w:lineRule="auto"/>
        <w:jc w:val="both"/>
      </w:pPr>
      <w:r>
        <w:rPr>
          <w:rFonts w:ascii="Times New Roman" w:hAnsi="Times New Roman" w:eastAsia="Times New Roman"/>
          <w:b w:val="0"/>
          <w:i w:val="0"/>
          <w:sz w:val="24"/>
        </w:rPr>
        <w:t>L’analyse des besoins consiste à énumérer les services que le système doit rendre. Elle distingue les besoins fonctionnels, qui décrivent ce que l’application permet de faire, des besoins non fonctionnels, qui décrivent les qualités qu’elle doit présenter.</w:t>
      </w:r>
    </w:p>
    <w:p>
      <w:pPr>
        <w:pStyle w:val="Heading3"/>
        <w:jc w:val="left"/>
      </w:pPr>
      <w:r>
        <w:rPr>
          <w:rFonts w:ascii="Times New Roman" w:hAnsi="Times New Roman" w:eastAsia="Times New Roman"/>
          <w:b/>
          <w:i w:val="0"/>
          <w:color w:val="2E4474"/>
          <w:sz w:val="24"/>
        </w:rPr>
        <w:t>2.1.1. Besoins fonctionnels</w:t>
      </w:r>
    </w:p>
    <w:p>
      <w:pPr>
        <w:spacing w:before="0" w:line="360" w:lineRule="auto"/>
        <w:jc w:val="both"/>
      </w:pPr>
      <w:r>
        <w:rPr>
          <w:rFonts w:ascii="Times New Roman" w:hAnsi="Times New Roman" w:eastAsia="Times New Roman"/>
          <w:b w:val="0"/>
          <w:i w:val="0"/>
          <w:sz w:val="24"/>
        </w:rPr>
        <w:t>Les douze besoins ci-dessous résument les fonctions attendues. Le détail figure en annexe A.</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Recensement des besoins fonctionnels</w:t>
      </w:r>
    </w:p>
    <w:tbl>
      <w:tblPr>
        <w:tblStyle w:val="TableGrid"/>
        <w:tblW w:type="auto" w:w="0"/>
        <w:jc w:val="center"/>
        <w:tblLook w:firstColumn="1" w:firstRow="1" w:lastColumn="0" w:lastRow="0" w:noHBand="0" w:noVBand="1" w:val="04A0"/>
      </w:tblPr>
      <w:tblGrid>
        <w:gridCol w:w="3120"/>
        <w:gridCol w:w="3120"/>
        <w:gridCol w:w="3120"/>
      </w:tblGrid>
      <w:tr>
        <w:tc>
          <w:tcPr>
            <w:tcW w:type="dxa" w:w="737"/>
            <w:shd w:val="clear" w:fill="DCE3EE"/>
          </w:tcPr>
          <w:p>
            <w:pPr>
              <w:spacing w:line="240" w:lineRule="auto" w:after="40"/>
              <w:jc w:val="center"/>
            </w:pPr>
            <w:r>
              <w:rPr>
                <w:rFonts w:ascii="Times New Roman" w:hAnsi="Times New Roman" w:eastAsia="Times New Roman"/>
                <w:b/>
                <w:i w:val="0"/>
                <w:sz w:val="21"/>
              </w:rPr>
              <w:t>N°</w:t>
            </w:r>
          </w:p>
        </w:tc>
        <w:tc>
          <w:tcPr>
            <w:tcW w:type="dxa" w:w="2381"/>
            <w:shd w:val="clear" w:fill="DCE3EE"/>
          </w:tcPr>
          <w:p>
            <w:pPr>
              <w:spacing w:line="240" w:lineRule="auto" w:after="40"/>
              <w:jc w:val="center"/>
            </w:pPr>
            <w:r>
              <w:rPr>
                <w:rFonts w:ascii="Times New Roman" w:hAnsi="Times New Roman" w:eastAsia="Times New Roman"/>
                <w:b/>
                <w:i w:val="0"/>
                <w:sz w:val="21"/>
              </w:rPr>
              <w:t>Besoin fonctionnel</w:t>
            </w:r>
          </w:p>
        </w:tc>
        <w:tc>
          <w:tcPr>
            <w:tcW w:type="dxa" w:w="5669"/>
            <w:shd w:val="clear" w:fill="DCE3EE"/>
          </w:tcPr>
          <w:p>
            <w:pPr>
              <w:spacing w:line="240" w:lineRule="auto" w:after="40"/>
              <w:jc w:val="center"/>
            </w:pPr>
            <w:r>
              <w:rPr>
                <w:rFonts w:ascii="Times New Roman" w:hAnsi="Times New Roman" w:eastAsia="Times New Roman"/>
                <w:b/>
                <w:i w:val="0"/>
                <w:sz w:val="21"/>
              </w:rPr>
              <w:t>Description</w:t>
            </w:r>
          </w:p>
        </w:tc>
      </w:tr>
      <w:tr>
        <w:tc>
          <w:tcPr>
            <w:tcW w:type="dxa" w:w="737"/>
          </w:tcPr>
          <w:p>
            <w:pPr>
              <w:spacing w:line="240" w:lineRule="auto" w:after="40"/>
              <w:jc w:val="center"/>
            </w:pPr>
            <w:r>
              <w:rPr>
                <w:rFonts w:ascii="Times New Roman" w:hAnsi="Times New Roman" w:eastAsia="Times New Roman"/>
                <w:b w:val="0"/>
                <w:i w:val="0"/>
                <w:sz w:val="21"/>
              </w:rPr>
              <w:t>BF1</w:t>
            </w:r>
          </w:p>
        </w:tc>
        <w:tc>
          <w:tcPr>
            <w:tcW w:type="dxa" w:w="2381"/>
          </w:tcPr>
          <w:p>
            <w:pPr>
              <w:spacing w:line="240" w:lineRule="auto" w:after="40"/>
              <w:jc w:val="left"/>
            </w:pPr>
            <w:r>
              <w:rPr>
                <w:rFonts w:ascii="Times New Roman" w:hAnsi="Times New Roman" w:eastAsia="Times New Roman"/>
                <w:b w:val="0"/>
                <w:i w:val="0"/>
                <w:sz w:val="21"/>
              </w:rPr>
              <w:t>S’authentifier</w:t>
            </w:r>
          </w:p>
        </w:tc>
        <w:tc>
          <w:tcPr>
            <w:tcW w:type="dxa" w:w="5669"/>
          </w:tcPr>
          <w:p>
            <w:pPr>
              <w:spacing w:line="240" w:lineRule="auto" w:after="40"/>
              <w:jc w:val="left"/>
            </w:pPr>
            <w:r>
              <w:rPr>
                <w:rFonts w:ascii="Times New Roman" w:hAnsi="Times New Roman" w:eastAsia="Times New Roman"/>
                <w:b w:val="0"/>
                <w:i w:val="0"/>
                <w:sz w:val="21"/>
              </w:rPr>
              <w:t>Accès par adresse électronique et mot de passe ; réinitialisation par courriel ; déconnexion effective.</w:t>
            </w:r>
          </w:p>
        </w:tc>
      </w:tr>
      <w:tr>
        <w:tc>
          <w:tcPr>
            <w:tcW w:type="dxa" w:w="737"/>
          </w:tcPr>
          <w:p>
            <w:pPr>
              <w:spacing w:line="240" w:lineRule="auto" w:after="40"/>
              <w:jc w:val="center"/>
            </w:pPr>
            <w:r>
              <w:rPr>
                <w:rFonts w:ascii="Times New Roman" w:hAnsi="Times New Roman" w:eastAsia="Times New Roman"/>
                <w:b w:val="0"/>
                <w:i w:val="0"/>
                <w:sz w:val="21"/>
              </w:rPr>
              <w:t>BF2</w:t>
            </w:r>
          </w:p>
        </w:tc>
        <w:tc>
          <w:tcPr>
            <w:tcW w:type="dxa" w:w="2381"/>
          </w:tcPr>
          <w:p>
            <w:pPr>
              <w:spacing w:line="240" w:lineRule="auto" w:after="40"/>
              <w:jc w:val="left"/>
            </w:pPr>
            <w:r>
              <w:rPr>
                <w:rFonts w:ascii="Times New Roman" w:hAnsi="Times New Roman" w:eastAsia="Times New Roman"/>
                <w:b w:val="0"/>
                <w:i w:val="0"/>
                <w:sz w:val="21"/>
              </w:rPr>
              <w:t>Gérer les comptes et les rôles</w:t>
            </w:r>
          </w:p>
        </w:tc>
        <w:tc>
          <w:tcPr>
            <w:tcW w:type="dxa" w:w="5669"/>
          </w:tcPr>
          <w:p>
            <w:pPr>
              <w:spacing w:line="240" w:lineRule="auto" w:after="40"/>
              <w:jc w:val="left"/>
            </w:pPr>
            <w:r>
              <w:rPr>
                <w:rFonts w:ascii="Times New Roman" w:hAnsi="Times New Roman" w:eastAsia="Times New Roman"/>
                <w:b w:val="0"/>
                <w:i w:val="0"/>
                <w:sz w:val="21"/>
              </w:rPr>
              <w:t>Créer et désactiver des comptes, attribuer un rôle, respecter la délégation entre rôles.</w:t>
            </w:r>
          </w:p>
        </w:tc>
      </w:tr>
      <w:tr>
        <w:tc>
          <w:tcPr>
            <w:tcW w:type="dxa" w:w="737"/>
          </w:tcPr>
          <w:p>
            <w:pPr>
              <w:spacing w:line="240" w:lineRule="auto" w:after="40"/>
              <w:jc w:val="center"/>
            </w:pPr>
            <w:r>
              <w:rPr>
                <w:rFonts w:ascii="Times New Roman" w:hAnsi="Times New Roman" w:eastAsia="Times New Roman"/>
                <w:b w:val="0"/>
                <w:i w:val="0"/>
                <w:sz w:val="21"/>
              </w:rPr>
              <w:t>BF3</w:t>
            </w:r>
          </w:p>
        </w:tc>
        <w:tc>
          <w:tcPr>
            <w:tcW w:type="dxa" w:w="2381"/>
          </w:tcPr>
          <w:p>
            <w:pPr>
              <w:spacing w:line="240" w:lineRule="auto" w:after="40"/>
              <w:jc w:val="left"/>
            </w:pPr>
            <w:r>
              <w:rPr>
                <w:rFonts w:ascii="Times New Roman" w:hAnsi="Times New Roman" w:eastAsia="Times New Roman"/>
                <w:b w:val="0"/>
                <w:i w:val="0"/>
                <w:sz w:val="21"/>
              </w:rPr>
              <w:t>Gérer les étudiants</w:t>
            </w:r>
          </w:p>
        </w:tc>
        <w:tc>
          <w:tcPr>
            <w:tcW w:type="dxa" w:w="5669"/>
          </w:tcPr>
          <w:p>
            <w:pPr>
              <w:spacing w:line="240" w:lineRule="auto" w:after="40"/>
              <w:jc w:val="left"/>
            </w:pPr>
            <w:r>
              <w:rPr>
                <w:rFonts w:ascii="Times New Roman" w:hAnsi="Times New Roman" w:eastAsia="Times New Roman"/>
                <w:b w:val="0"/>
                <w:i w:val="0"/>
                <w:sz w:val="21"/>
              </w:rPr>
              <w:t>Inscrire, consulter et modifier un dossier ; matricule attribué automatiquement ; fiche d’inscription en PDF.</w:t>
            </w:r>
          </w:p>
        </w:tc>
      </w:tr>
      <w:tr>
        <w:tc>
          <w:tcPr>
            <w:tcW w:type="dxa" w:w="737"/>
          </w:tcPr>
          <w:p>
            <w:pPr>
              <w:spacing w:line="240" w:lineRule="auto" w:after="40"/>
              <w:jc w:val="center"/>
            </w:pPr>
            <w:r>
              <w:rPr>
                <w:rFonts w:ascii="Times New Roman" w:hAnsi="Times New Roman" w:eastAsia="Times New Roman"/>
                <w:b w:val="0"/>
                <w:i w:val="0"/>
                <w:sz w:val="21"/>
              </w:rPr>
              <w:t>BF4</w:t>
            </w:r>
          </w:p>
        </w:tc>
        <w:tc>
          <w:tcPr>
            <w:tcW w:type="dxa" w:w="2381"/>
          </w:tcPr>
          <w:p>
            <w:pPr>
              <w:spacing w:line="240" w:lineRule="auto" w:after="40"/>
              <w:jc w:val="left"/>
            </w:pPr>
            <w:r>
              <w:rPr>
                <w:rFonts w:ascii="Times New Roman" w:hAnsi="Times New Roman" w:eastAsia="Times New Roman"/>
                <w:b w:val="0"/>
                <w:i w:val="0"/>
                <w:sz w:val="21"/>
              </w:rPr>
              <w:t>Gérer les classes</w:t>
            </w:r>
          </w:p>
        </w:tc>
        <w:tc>
          <w:tcPr>
            <w:tcW w:type="dxa" w:w="5669"/>
          </w:tcPr>
          <w:p>
            <w:pPr>
              <w:spacing w:line="240" w:lineRule="auto" w:after="40"/>
              <w:jc w:val="left"/>
            </w:pPr>
            <w:r>
              <w:rPr>
                <w:rFonts w:ascii="Times New Roman" w:hAnsi="Times New Roman" w:eastAsia="Times New Roman"/>
                <w:b w:val="0"/>
                <w:i w:val="0"/>
                <w:sz w:val="21"/>
              </w:rPr>
              <w:t>Créer les classes par niveau, filière et année, avec une capacité et un professeur principal.</w:t>
            </w:r>
          </w:p>
        </w:tc>
      </w:tr>
      <w:tr>
        <w:tc>
          <w:tcPr>
            <w:tcW w:type="dxa" w:w="737"/>
          </w:tcPr>
          <w:p>
            <w:pPr>
              <w:spacing w:line="240" w:lineRule="auto" w:after="40"/>
              <w:jc w:val="center"/>
            </w:pPr>
            <w:r>
              <w:rPr>
                <w:rFonts w:ascii="Times New Roman" w:hAnsi="Times New Roman" w:eastAsia="Times New Roman"/>
                <w:b w:val="0"/>
                <w:i w:val="0"/>
                <w:sz w:val="21"/>
              </w:rPr>
              <w:t>BF5</w:t>
            </w:r>
          </w:p>
        </w:tc>
        <w:tc>
          <w:tcPr>
            <w:tcW w:type="dxa" w:w="2381"/>
          </w:tcPr>
          <w:p>
            <w:pPr>
              <w:spacing w:line="240" w:lineRule="auto" w:after="40"/>
              <w:jc w:val="left"/>
            </w:pPr>
            <w:r>
              <w:rPr>
                <w:rFonts w:ascii="Times New Roman" w:hAnsi="Times New Roman" w:eastAsia="Times New Roman"/>
                <w:b w:val="0"/>
                <w:i w:val="0"/>
                <w:sz w:val="21"/>
              </w:rPr>
              <w:t>Gérer les matières</w:t>
            </w:r>
          </w:p>
        </w:tc>
        <w:tc>
          <w:tcPr>
            <w:tcW w:type="dxa" w:w="5669"/>
          </w:tcPr>
          <w:p>
            <w:pPr>
              <w:spacing w:line="240" w:lineRule="auto" w:after="40"/>
              <w:jc w:val="left"/>
            </w:pPr>
            <w:r>
              <w:rPr>
                <w:rFonts w:ascii="Times New Roman" w:hAnsi="Times New Roman" w:eastAsia="Times New Roman"/>
                <w:b w:val="0"/>
                <w:i w:val="0"/>
                <w:sz w:val="21"/>
              </w:rPr>
              <w:t>Définir les matières, leur coefficient, leur type et l’enseignant qui en a la charge.</w:t>
            </w:r>
          </w:p>
        </w:tc>
      </w:tr>
      <w:tr>
        <w:tc>
          <w:tcPr>
            <w:tcW w:type="dxa" w:w="737"/>
          </w:tcPr>
          <w:p>
            <w:pPr>
              <w:spacing w:line="240" w:lineRule="auto" w:after="40"/>
              <w:jc w:val="center"/>
            </w:pPr>
            <w:r>
              <w:rPr>
                <w:rFonts w:ascii="Times New Roman" w:hAnsi="Times New Roman" w:eastAsia="Times New Roman"/>
                <w:b w:val="0"/>
                <w:i w:val="0"/>
                <w:sz w:val="21"/>
              </w:rPr>
              <w:t>BF6</w:t>
            </w:r>
          </w:p>
        </w:tc>
        <w:tc>
          <w:tcPr>
            <w:tcW w:type="dxa" w:w="2381"/>
          </w:tcPr>
          <w:p>
            <w:pPr>
              <w:spacing w:line="240" w:lineRule="auto" w:after="40"/>
              <w:jc w:val="left"/>
            </w:pPr>
            <w:r>
              <w:rPr>
                <w:rFonts w:ascii="Times New Roman" w:hAnsi="Times New Roman" w:eastAsia="Times New Roman"/>
                <w:b w:val="0"/>
                <w:i w:val="0"/>
                <w:sz w:val="21"/>
              </w:rPr>
              <w:t>Gérer les unités d’enseignement</w:t>
            </w:r>
          </w:p>
        </w:tc>
        <w:tc>
          <w:tcPr>
            <w:tcW w:type="dxa" w:w="5669"/>
          </w:tcPr>
          <w:p>
            <w:pPr>
              <w:spacing w:line="240" w:lineRule="auto" w:after="40"/>
              <w:jc w:val="left"/>
            </w:pPr>
            <w:r>
              <w:rPr>
                <w:rFonts w:ascii="Times New Roman" w:hAnsi="Times New Roman" w:eastAsia="Times New Roman"/>
                <w:b w:val="0"/>
                <w:i w:val="0"/>
                <w:sz w:val="21"/>
              </w:rPr>
              <w:t>Regrouper les matières en unités, automatiquement ou à la main, en respectant les trente crédits du semestre.</w:t>
            </w:r>
          </w:p>
        </w:tc>
      </w:tr>
      <w:tr>
        <w:tc>
          <w:tcPr>
            <w:tcW w:type="dxa" w:w="737"/>
          </w:tcPr>
          <w:p>
            <w:pPr>
              <w:spacing w:line="240" w:lineRule="auto" w:after="40"/>
              <w:jc w:val="center"/>
            </w:pPr>
            <w:r>
              <w:rPr>
                <w:rFonts w:ascii="Times New Roman" w:hAnsi="Times New Roman" w:eastAsia="Times New Roman"/>
                <w:b w:val="0"/>
                <w:i w:val="0"/>
                <w:sz w:val="21"/>
              </w:rPr>
              <w:t>BF7</w:t>
            </w:r>
          </w:p>
        </w:tc>
        <w:tc>
          <w:tcPr>
            <w:tcW w:type="dxa" w:w="2381"/>
          </w:tcPr>
          <w:p>
            <w:pPr>
              <w:spacing w:line="240" w:lineRule="auto" w:after="40"/>
              <w:jc w:val="left"/>
            </w:pPr>
            <w:r>
              <w:rPr>
                <w:rFonts w:ascii="Times New Roman" w:hAnsi="Times New Roman" w:eastAsia="Times New Roman"/>
                <w:b w:val="0"/>
                <w:i w:val="0"/>
                <w:sz w:val="21"/>
              </w:rPr>
              <w:t>Saisir les notes</w:t>
            </w:r>
          </w:p>
        </w:tc>
        <w:tc>
          <w:tcPr>
            <w:tcW w:type="dxa" w:w="5669"/>
          </w:tcPr>
          <w:p>
            <w:pPr>
              <w:spacing w:line="240" w:lineRule="auto" w:after="40"/>
              <w:jc w:val="left"/>
            </w:pPr>
            <w:r>
              <w:rPr>
                <w:rFonts w:ascii="Times New Roman" w:hAnsi="Times New Roman" w:eastAsia="Times New Roman"/>
                <w:b w:val="0"/>
                <w:i w:val="0"/>
                <w:sz w:val="21"/>
              </w:rPr>
              <w:t>Grille par classe et par matière ; une note de classe et une note d’examen ; publication contrôlée.</w:t>
            </w:r>
          </w:p>
        </w:tc>
      </w:tr>
      <w:tr>
        <w:tc>
          <w:tcPr>
            <w:tcW w:type="dxa" w:w="737"/>
          </w:tcPr>
          <w:p>
            <w:pPr>
              <w:spacing w:line="240" w:lineRule="auto" w:after="40"/>
              <w:jc w:val="center"/>
            </w:pPr>
            <w:r>
              <w:rPr>
                <w:rFonts w:ascii="Times New Roman" w:hAnsi="Times New Roman" w:eastAsia="Times New Roman"/>
                <w:b w:val="0"/>
                <w:i w:val="0"/>
                <w:sz w:val="21"/>
              </w:rPr>
              <w:t>BF8</w:t>
            </w:r>
          </w:p>
        </w:tc>
        <w:tc>
          <w:tcPr>
            <w:tcW w:type="dxa" w:w="2381"/>
          </w:tcPr>
          <w:p>
            <w:pPr>
              <w:spacing w:line="240" w:lineRule="auto" w:after="40"/>
              <w:jc w:val="left"/>
            </w:pPr>
            <w:r>
              <w:rPr>
                <w:rFonts w:ascii="Times New Roman" w:hAnsi="Times New Roman" w:eastAsia="Times New Roman"/>
                <w:b w:val="0"/>
                <w:i w:val="0"/>
                <w:sz w:val="21"/>
              </w:rPr>
              <w:t>Éditer les bulletins</w:t>
            </w:r>
          </w:p>
        </w:tc>
        <w:tc>
          <w:tcPr>
            <w:tcW w:type="dxa" w:w="5669"/>
          </w:tcPr>
          <w:p>
            <w:pPr>
              <w:spacing w:line="240" w:lineRule="auto" w:after="40"/>
              <w:jc w:val="left"/>
            </w:pPr>
            <w:r>
              <w:rPr>
                <w:rFonts w:ascii="Times New Roman" w:hAnsi="Times New Roman" w:eastAsia="Times New Roman"/>
                <w:b w:val="0"/>
                <w:i w:val="0"/>
                <w:sz w:val="21"/>
              </w:rPr>
              <w:t>Bulletin officiel recalculé à la demande : moyennes, crédits, mention, rang, au format PDF.</w:t>
            </w:r>
          </w:p>
        </w:tc>
      </w:tr>
      <w:tr>
        <w:tc>
          <w:tcPr>
            <w:tcW w:type="dxa" w:w="737"/>
          </w:tcPr>
          <w:p>
            <w:pPr>
              <w:spacing w:line="240" w:lineRule="auto" w:after="40"/>
              <w:jc w:val="center"/>
            </w:pPr>
            <w:r>
              <w:rPr>
                <w:rFonts w:ascii="Times New Roman" w:hAnsi="Times New Roman" w:eastAsia="Times New Roman"/>
                <w:b w:val="0"/>
                <w:i w:val="0"/>
                <w:sz w:val="21"/>
              </w:rPr>
              <w:t>BF9</w:t>
            </w:r>
          </w:p>
        </w:tc>
        <w:tc>
          <w:tcPr>
            <w:tcW w:type="dxa" w:w="2381"/>
          </w:tcPr>
          <w:p>
            <w:pPr>
              <w:spacing w:line="240" w:lineRule="auto" w:after="40"/>
              <w:jc w:val="left"/>
            </w:pPr>
            <w:r>
              <w:rPr>
                <w:rFonts w:ascii="Times New Roman" w:hAnsi="Times New Roman" w:eastAsia="Times New Roman"/>
                <w:b w:val="0"/>
                <w:i w:val="0"/>
                <w:sz w:val="21"/>
              </w:rPr>
              <w:t>Suivre les absences</w:t>
            </w:r>
          </w:p>
        </w:tc>
        <w:tc>
          <w:tcPr>
            <w:tcW w:type="dxa" w:w="5669"/>
          </w:tcPr>
          <w:p>
            <w:pPr>
              <w:spacing w:line="240" w:lineRule="auto" w:after="40"/>
              <w:jc w:val="left"/>
            </w:pPr>
            <w:r>
              <w:rPr>
                <w:rFonts w:ascii="Times New Roman" w:hAnsi="Times New Roman" w:eastAsia="Times New Roman"/>
                <w:b w:val="0"/>
                <w:i w:val="0"/>
                <w:sz w:val="21"/>
              </w:rPr>
              <w:t>Relever absences et retards, les justifier, les consolider par étudiant et par classe.</w:t>
            </w:r>
          </w:p>
        </w:tc>
      </w:tr>
      <w:tr>
        <w:tc>
          <w:tcPr>
            <w:tcW w:type="dxa" w:w="737"/>
          </w:tcPr>
          <w:p>
            <w:pPr>
              <w:spacing w:line="240" w:lineRule="auto" w:after="40"/>
              <w:jc w:val="center"/>
            </w:pPr>
            <w:r>
              <w:rPr>
                <w:rFonts w:ascii="Times New Roman" w:hAnsi="Times New Roman" w:eastAsia="Times New Roman"/>
                <w:b w:val="0"/>
                <w:i w:val="0"/>
                <w:sz w:val="21"/>
              </w:rPr>
              <w:t>BF10</w:t>
            </w:r>
          </w:p>
        </w:tc>
        <w:tc>
          <w:tcPr>
            <w:tcW w:type="dxa" w:w="2381"/>
          </w:tcPr>
          <w:p>
            <w:pPr>
              <w:spacing w:line="240" w:lineRule="auto" w:after="40"/>
              <w:jc w:val="left"/>
            </w:pPr>
            <w:r>
              <w:rPr>
                <w:rFonts w:ascii="Times New Roman" w:hAnsi="Times New Roman" w:eastAsia="Times New Roman"/>
                <w:b w:val="0"/>
                <w:i w:val="0"/>
                <w:sz w:val="21"/>
              </w:rPr>
              <w:t>Gérer la scolarité</w:t>
            </w:r>
          </w:p>
        </w:tc>
        <w:tc>
          <w:tcPr>
            <w:tcW w:type="dxa" w:w="5669"/>
          </w:tcPr>
          <w:p>
            <w:pPr>
              <w:spacing w:line="240" w:lineRule="auto" w:after="40"/>
              <w:jc w:val="left"/>
            </w:pPr>
            <w:r>
              <w:rPr>
                <w:rFonts w:ascii="Times New Roman" w:hAnsi="Times New Roman" w:eastAsia="Times New Roman"/>
                <w:b w:val="0"/>
                <w:i w:val="0"/>
                <w:sz w:val="21"/>
              </w:rPr>
              <w:t>Frais par classe, échéances, encaissements, solde calculé, reçu numéroté en PDF.</w:t>
            </w:r>
          </w:p>
        </w:tc>
      </w:tr>
      <w:tr>
        <w:tc>
          <w:tcPr>
            <w:tcW w:type="dxa" w:w="737"/>
          </w:tcPr>
          <w:p>
            <w:pPr>
              <w:spacing w:line="240" w:lineRule="auto" w:after="40"/>
              <w:jc w:val="center"/>
            </w:pPr>
            <w:r>
              <w:rPr>
                <w:rFonts w:ascii="Times New Roman" w:hAnsi="Times New Roman" w:eastAsia="Times New Roman"/>
                <w:b w:val="0"/>
                <w:i w:val="0"/>
                <w:sz w:val="21"/>
              </w:rPr>
              <w:t>BF11</w:t>
            </w:r>
          </w:p>
        </w:tc>
        <w:tc>
          <w:tcPr>
            <w:tcW w:type="dxa" w:w="2381"/>
          </w:tcPr>
          <w:p>
            <w:pPr>
              <w:spacing w:line="240" w:lineRule="auto" w:after="40"/>
              <w:jc w:val="left"/>
            </w:pPr>
            <w:r>
              <w:rPr>
                <w:rFonts w:ascii="Times New Roman" w:hAnsi="Times New Roman" w:eastAsia="Times New Roman"/>
                <w:b w:val="0"/>
                <w:i w:val="0"/>
                <w:sz w:val="21"/>
              </w:rPr>
              <w:t>Gérer l’emploi du temps</w:t>
            </w:r>
          </w:p>
        </w:tc>
        <w:tc>
          <w:tcPr>
            <w:tcW w:type="dxa" w:w="5669"/>
          </w:tcPr>
          <w:p>
            <w:pPr>
              <w:spacing w:line="240" w:lineRule="auto" w:after="40"/>
              <w:jc w:val="left"/>
            </w:pPr>
            <w:r>
              <w:rPr>
                <w:rFonts w:ascii="Times New Roman" w:hAnsi="Times New Roman" w:eastAsia="Times New Roman"/>
                <w:b w:val="0"/>
                <w:i w:val="0"/>
                <w:sz w:val="21"/>
              </w:rPr>
              <w:t>Placer les créneaux par classe et par salle, détecter les conflits, éditer la liste d’émargement.</w:t>
            </w:r>
          </w:p>
        </w:tc>
      </w:tr>
      <w:tr>
        <w:tc>
          <w:tcPr>
            <w:tcW w:type="dxa" w:w="737"/>
          </w:tcPr>
          <w:p>
            <w:pPr>
              <w:spacing w:line="240" w:lineRule="auto" w:after="40"/>
              <w:jc w:val="center"/>
            </w:pPr>
            <w:r>
              <w:rPr>
                <w:rFonts w:ascii="Times New Roman" w:hAnsi="Times New Roman" w:eastAsia="Times New Roman"/>
                <w:b w:val="0"/>
                <w:i w:val="0"/>
                <w:sz w:val="21"/>
              </w:rPr>
              <w:t>BF12</w:t>
            </w:r>
          </w:p>
        </w:tc>
        <w:tc>
          <w:tcPr>
            <w:tcW w:type="dxa" w:w="2381"/>
          </w:tcPr>
          <w:p>
            <w:pPr>
              <w:spacing w:line="240" w:lineRule="auto" w:after="40"/>
              <w:jc w:val="left"/>
            </w:pPr>
            <w:r>
              <w:rPr>
                <w:rFonts w:ascii="Times New Roman" w:hAnsi="Times New Roman" w:eastAsia="Times New Roman"/>
                <w:b w:val="0"/>
                <w:i w:val="0"/>
                <w:sz w:val="21"/>
              </w:rPr>
              <w:t>Piloter l’établissement</w:t>
            </w:r>
          </w:p>
        </w:tc>
        <w:tc>
          <w:tcPr>
            <w:tcW w:type="dxa" w:w="5669"/>
          </w:tcPr>
          <w:p>
            <w:pPr>
              <w:spacing w:line="240" w:lineRule="auto" w:after="40"/>
              <w:jc w:val="left"/>
            </w:pPr>
            <w:r>
              <w:rPr>
                <w:rFonts w:ascii="Times New Roman" w:hAnsi="Times New Roman" w:eastAsia="Times New Roman"/>
                <w:b w:val="0"/>
                <w:i w:val="0"/>
                <w:sz w:val="21"/>
              </w:rPr>
              <w:t>Indicateurs et statistiques par classe, par filière et par année ; suivi des impayés.</w:t>
            </w:r>
          </w:p>
        </w:tc>
      </w:tr>
    </w:tbl>
    <w:p>
      <w:pPr>
        <w:spacing w:after="240" w:line="240" w:lineRule="auto"/>
        <w:jc w:val="right"/>
      </w:pPr>
      <w:r>
        <w:rPr>
          <w:rFonts w:ascii="Times New Roman" w:hAnsi="Times New Roman" w:eastAsia="Times New Roman"/>
          <w:b w:val="0"/>
          <w:i/>
          <w:color w:val="444444"/>
          <w:sz w:val="20"/>
        </w:rPr>
        <w:t>Source : Les auteurs</w:t>
      </w:r>
    </w:p>
    <w:p>
      <w:pPr>
        <w:pStyle w:val="Heading3"/>
        <w:jc w:val="left"/>
      </w:pPr>
      <w:r>
        <w:rPr>
          <w:rFonts w:ascii="Times New Roman" w:hAnsi="Times New Roman" w:eastAsia="Times New Roman"/>
          <w:b/>
          <w:i w:val="0"/>
          <w:color w:val="2E4474"/>
          <w:sz w:val="24"/>
        </w:rPr>
        <w:t>2.1.2. Besoins non fonctionnels</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Recensement des besoins non fonctionnels</w:t>
      </w:r>
    </w:p>
    <w:tbl>
      <w:tblPr>
        <w:tblStyle w:val="TableGrid"/>
        <w:tblW w:type="auto" w:w="0"/>
        <w:jc w:val="center"/>
        <w:tblLook w:firstColumn="1" w:firstRow="1" w:lastColumn="0" w:lastRow="0" w:noHBand="0" w:noVBand="1" w:val="04A0"/>
      </w:tblPr>
      <w:tblGrid>
        <w:gridCol w:w="4680"/>
        <w:gridCol w:w="4680"/>
      </w:tblGrid>
      <w:tr>
        <w:tc>
          <w:tcPr>
            <w:tcW w:type="dxa" w:w="1814"/>
            <w:shd w:val="clear" w:fill="DCE3EE"/>
          </w:tcPr>
          <w:p>
            <w:pPr>
              <w:spacing w:line="240" w:lineRule="auto" w:after="40"/>
              <w:jc w:val="center"/>
            </w:pPr>
            <w:r>
              <w:rPr>
                <w:rFonts w:ascii="Times New Roman" w:hAnsi="Times New Roman" w:eastAsia="Times New Roman"/>
                <w:b/>
                <w:i w:val="0"/>
                <w:sz w:val="21"/>
              </w:rPr>
              <w:t>Exigence</w:t>
            </w:r>
          </w:p>
        </w:tc>
        <w:tc>
          <w:tcPr>
            <w:tcW w:type="dxa" w:w="6973"/>
            <w:shd w:val="clear" w:fill="DCE3EE"/>
          </w:tcPr>
          <w:p>
            <w:pPr>
              <w:spacing w:line="240" w:lineRule="auto" w:after="40"/>
              <w:jc w:val="center"/>
            </w:pPr>
            <w:r>
              <w:rPr>
                <w:rFonts w:ascii="Times New Roman" w:hAnsi="Times New Roman" w:eastAsia="Times New Roman"/>
                <w:b/>
                <w:i w:val="0"/>
                <w:sz w:val="21"/>
              </w:rPr>
              <w:t>Description</w:t>
            </w:r>
          </w:p>
        </w:tc>
      </w:tr>
      <w:tr>
        <w:tc>
          <w:tcPr>
            <w:tcW w:type="dxa" w:w="1814"/>
          </w:tcPr>
          <w:p>
            <w:pPr>
              <w:spacing w:line="240" w:lineRule="auto" w:after="40"/>
              <w:jc w:val="left"/>
            </w:pPr>
            <w:r>
              <w:rPr>
                <w:rFonts w:ascii="Times New Roman" w:hAnsi="Times New Roman" w:eastAsia="Times New Roman"/>
                <w:b w:val="0"/>
                <w:i w:val="0"/>
                <w:sz w:val="21"/>
              </w:rPr>
              <w:t>Sécurité</w:t>
            </w:r>
          </w:p>
        </w:tc>
        <w:tc>
          <w:tcPr>
            <w:tcW w:type="dxa" w:w="6973"/>
          </w:tcPr>
          <w:p>
            <w:pPr>
              <w:spacing w:line="240" w:lineRule="auto" w:after="40"/>
              <w:jc w:val="left"/>
            </w:pPr>
            <w:r>
              <w:rPr>
                <w:rFonts w:ascii="Times New Roman" w:hAnsi="Times New Roman" w:eastAsia="Times New Roman"/>
                <w:b w:val="0"/>
                <w:i w:val="0"/>
                <w:sz w:val="21"/>
              </w:rPr>
              <w:t>Authentification obligatoire ; mots de passe hachés et jamais renvoyés ; droits vérifiés côté serveur à chaque requête ; limitation du nombre de tentatives de connexion.</w:t>
            </w:r>
          </w:p>
        </w:tc>
      </w:tr>
      <w:tr>
        <w:tc>
          <w:tcPr>
            <w:tcW w:type="dxa" w:w="1814"/>
          </w:tcPr>
          <w:p>
            <w:pPr>
              <w:spacing w:line="240" w:lineRule="auto" w:after="40"/>
              <w:jc w:val="left"/>
            </w:pPr>
            <w:r>
              <w:rPr>
                <w:rFonts w:ascii="Times New Roman" w:hAnsi="Times New Roman" w:eastAsia="Times New Roman"/>
                <w:b w:val="0"/>
                <w:i w:val="0"/>
                <w:sz w:val="21"/>
              </w:rPr>
              <w:t>Exactitude</w:t>
            </w:r>
          </w:p>
        </w:tc>
        <w:tc>
          <w:tcPr>
            <w:tcW w:type="dxa" w:w="6973"/>
          </w:tcPr>
          <w:p>
            <w:pPr>
              <w:spacing w:line="240" w:lineRule="auto" w:after="40"/>
              <w:jc w:val="left"/>
            </w:pPr>
            <w:r>
              <w:rPr>
                <w:rFonts w:ascii="Times New Roman" w:hAnsi="Times New Roman" w:eastAsia="Times New Roman"/>
                <w:b w:val="0"/>
                <w:i w:val="0"/>
                <w:sz w:val="21"/>
              </w:rPr>
              <w:t>Aucun résultat calculé n’est stocké : moyennes, crédits et soldes sont recalculés à chaque consultation, ce qui rend impossible tout écart entre une donnée et le document qui en découle.</w:t>
            </w:r>
          </w:p>
        </w:tc>
      </w:tr>
      <w:tr>
        <w:tc>
          <w:tcPr>
            <w:tcW w:type="dxa" w:w="1814"/>
          </w:tcPr>
          <w:p>
            <w:pPr>
              <w:spacing w:line="240" w:lineRule="auto" w:after="40"/>
              <w:jc w:val="left"/>
            </w:pPr>
            <w:r>
              <w:rPr>
                <w:rFonts w:ascii="Times New Roman" w:hAnsi="Times New Roman" w:eastAsia="Times New Roman"/>
                <w:b w:val="0"/>
                <w:i w:val="0"/>
                <w:sz w:val="21"/>
              </w:rPr>
              <w:t>Ergonomie</w:t>
            </w:r>
          </w:p>
        </w:tc>
        <w:tc>
          <w:tcPr>
            <w:tcW w:type="dxa" w:w="6973"/>
          </w:tcPr>
          <w:p>
            <w:pPr>
              <w:spacing w:line="240" w:lineRule="auto" w:after="40"/>
              <w:jc w:val="left"/>
            </w:pPr>
            <w:r>
              <w:rPr>
                <w:rFonts w:ascii="Times New Roman" w:hAnsi="Times New Roman" w:eastAsia="Times New Roman"/>
                <w:b w:val="0"/>
                <w:i w:val="0"/>
                <w:sz w:val="21"/>
              </w:rPr>
              <w:t>Interface en français, homogène, navigation par menu latéral ; saisie assistée pour les opérations répétitives ; messages d’erreur explicites.</w:t>
            </w:r>
          </w:p>
        </w:tc>
      </w:tr>
      <w:tr>
        <w:tc>
          <w:tcPr>
            <w:tcW w:type="dxa" w:w="1814"/>
          </w:tcPr>
          <w:p>
            <w:pPr>
              <w:spacing w:line="240" w:lineRule="auto" w:after="40"/>
              <w:jc w:val="left"/>
            </w:pPr>
            <w:r>
              <w:rPr>
                <w:rFonts w:ascii="Times New Roman" w:hAnsi="Times New Roman" w:eastAsia="Times New Roman"/>
                <w:b w:val="0"/>
                <w:i w:val="0"/>
                <w:sz w:val="21"/>
              </w:rPr>
              <w:t>Accessibilité</w:t>
            </w:r>
          </w:p>
        </w:tc>
        <w:tc>
          <w:tcPr>
            <w:tcW w:type="dxa" w:w="6973"/>
          </w:tcPr>
          <w:p>
            <w:pPr>
              <w:spacing w:line="240" w:lineRule="auto" w:after="40"/>
              <w:jc w:val="left"/>
            </w:pPr>
            <w:r>
              <w:rPr>
                <w:rFonts w:ascii="Times New Roman" w:hAnsi="Times New Roman" w:eastAsia="Times New Roman"/>
                <w:b w:val="0"/>
                <w:i w:val="0"/>
                <w:sz w:val="21"/>
              </w:rPr>
              <w:t>Consultation sur ordinateur comme sur téléphone ; respect des préférences d’animation réduite ; contrastes suffisants.</w:t>
            </w:r>
          </w:p>
        </w:tc>
      </w:tr>
      <w:tr>
        <w:tc>
          <w:tcPr>
            <w:tcW w:type="dxa" w:w="1814"/>
          </w:tcPr>
          <w:p>
            <w:pPr>
              <w:spacing w:line="240" w:lineRule="auto" w:after="40"/>
              <w:jc w:val="left"/>
            </w:pPr>
            <w:r>
              <w:rPr>
                <w:rFonts w:ascii="Times New Roman" w:hAnsi="Times New Roman" w:eastAsia="Times New Roman"/>
                <w:b w:val="0"/>
                <w:i w:val="0"/>
                <w:sz w:val="21"/>
              </w:rPr>
              <w:t>Performance</w:t>
            </w:r>
          </w:p>
        </w:tc>
        <w:tc>
          <w:tcPr>
            <w:tcW w:type="dxa" w:w="6973"/>
          </w:tcPr>
          <w:p>
            <w:pPr>
              <w:spacing w:line="240" w:lineRule="auto" w:after="40"/>
              <w:jc w:val="left"/>
            </w:pPr>
            <w:r>
              <w:rPr>
                <w:rFonts w:ascii="Times New Roman" w:hAnsi="Times New Roman" w:eastAsia="Times New Roman"/>
                <w:b w:val="0"/>
                <w:i w:val="0"/>
                <w:sz w:val="21"/>
              </w:rPr>
              <w:t>Réponse inférieure à deux secondes pour les opérations courantes ; listes paginées ; index posés sur les champs interrogés.</w:t>
            </w:r>
          </w:p>
        </w:tc>
      </w:tr>
      <w:tr>
        <w:tc>
          <w:tcPr>
            <w:tcW w:type="dxa" w:w="1814"/>
          </w:tcPr>
          <w:p>
            <w:pPr>
              <w:spacing w:line="240" w:lineRule="auto" w:after="40"/>
              <w:jc w:val="left"/>
            </w:pPr>
            <w:r>
              <w:rPr>
                <w:rFonts w:ascii="Times New Roman" w:hAnsi="Times New Roman" w:eastAsia="Times New Roman"/>
                <w:b w:val="0"/>
                <w:i w:val="0"/>
                <w:sz w:val="21"/>
              </w:rPr>
              <w:t>Fiabilité</w:t>
            </w:r>
          </w:p>
        </w:tc>
        <w:tc>
          <w:tcPr>
            <w:tcW w:type="dxa" w:w="6973"/>
          </w:tcPr>
          <w:p>
            <w:pPr>
              <w:spacing w:line="240" w:lineRule="auto" w:after="40"/>
              <w:jc w:val="left"/>
            </w:pPr>
            <w:r>
              <w:rPr>
                <w:rFonts w:ascii="Times New Roman" w:hAnsi="Times New Roman" w:eastAsia="Times New Roman"/>
                <w:b w:val="0"/>
                <w:i w:val="0"/>
                <w:sz w:val="21"/>
              </w:rPr>
              <w:t>Validation des données au niveau du modèle, y compris lors des modifications directes ; contraintes d’unicité en base.</w:t>
            </w:r>
          </w:p>
        </w:tc>
      </w:tr>
      <w:tr>
        <w:tc>
          <w:tcPr>
            <w:tcW w:type="dxa" w:w="1814"/>
          </w:tcPr>
          <w:p>
            <w:pPr>
              <w:spacing w:line="240" w:lineRule="auto" w:after="40"/>
              <w:jc w:val="left"/>
            </w:pPr>
            <w:r>
              <w:rPr>
                <w:rFonts w:ascii="Times New Roman" w:hAnsi="Times New Roman" w:eastAsia="Times New Roman"/>
                <w:b w:val="0"/>
                <w:i w:val="0"/>
                <w:sz w:val="21"/>
              </w:rPr>
              <w:t>Maintenabilité</w:t>
            </w:r>
          </w:p>
        </w:tc>
        <w:tc>
          <w:tcPr>
            <w:tcW w:type="dxa" w:w="6973"/>
          </w:tcPr>
          <w:p>
            <w:pPr>
              <w:spacing w:line="240" w:lineRule="auto" w:after="40"/>
              <w:jc w:val="left"/>
            </w:pPr>
            <w:r>
              <w:rPr>
                <w:rFonts w:ascii="Times New Roman" w:hAnsi="Times New Roman" w:eastAsia="Times New Roman"/>
                <w:b w:val="0"/>
                <w:i w:val="0"/>
                <w:sz w:val="21"/>
              </w:rPr>
              <w:t>Règles de calcul isolées dans des modules sans dépendance, donc testables ; source unique pour les rôles ; gestion de versions.</w:t>
            </w:r>
          </w:p>
        </w:tc>
      </w:tr>
      <w:tr>
        <w:tc>
          <w:tcPr>
            <w:tcW w:type="dxa" w:w="1814"/>
          </w:tcPr>
          <w:p>
            <w:pPr>
              <w:spacing w:line="240" w:lineRule="auto" w:after="40"/>
              <w:jc w:val="left"/>
            </w:pPr>
            <w:r>
              <w:rPr>
                <w:rFonts w:ascii="Times New Roman" w:hAnsi="Times New Roman" w:eastAsia="Times New Roman"/>
                <w:b w:val="0"/>
                <w:i w:val="0"/>
                <w:sz w:val="21"/>
              </w:rPr>
              <w:t>Visibilité</w:t>
            </w:r>
          </w:p>
        </w:tc>
        <w:tc>
          <w:tcPr>
            <w:tcW w:type="dxa" w:w="6973"/>
          </w:tcPr>
          <w:p>
            <w:pPr>
              <w:spacing w:line="240" w:lineRule="auto" w:after="40"/>
              <w:jc w:val="left"/>
            </w:pPr>
            <w:r>
              <w:rPr>
                <w:rFonts w:ascii="Times New Roman" w:hAnsi="Times New Roman" w:eastAsia="Times New Roman"/>
                <w:b w:val="0"/>
                <w:i w:val="0"/>
                <w:sz w:val="21"/>
              </w:rPr>
              <w:t>Pages publiques lisibles par les moteurs de recherche sans exécution de script, plan de site et données structurées.</w:t>
            </w:r>
          </w:p>
        </w:tc>
      </w:tr>
    </w:tbl>
    <w:p>
      <w:pPr>
        <w:spacing w:after="240" w:line="240" w:lineRule="auto"/>
        <w:jc w:val="right"/>
      </w:pPr>
      <w:r>
        <w:rPr>
          <w:rFonts w:ascii="Times New Roman" w:hAnsi="Times New Roman" w:eastAsia="Times New Roman"/>
          <w:b w:val="0"/>
          <w:i/>
          <w:color w:val="444444"/>
          <w:sz w:val="20"/>
        </w:rPr>
        <w:t>Source : Les auteurs</w:t>
      </w:r>
    </w:p>
    <w:p>
      <w:pPr>
        <w:pStyle w:val="Heading2"/>
        <w:jc w:val="left"/>
      </w:pPr>
      <w:r>
        <w:rPr>
          <w:rFonts w:ascii="Times New Roman" w:hAnsi="Times New Roman" w:eastAsia="Times New Roman"/>
          <w:b/>
          <w:i w:val="0"/>
          <w:color w:val="2E4474"/>
          <w:sz w:val="28"/>
        </w:rPr>
        <w:t>2.2. Identification des acteurs</w:t>
      </w:r>
    </w:p>
    <w:p>
      <w:pPr>
        <w:spacing w:before="0" w:line="360" w:lineRule="auto"/>
        <w:jc w:val="both"/>
      </w:pPr>
      <w:r>
        <w:rPr>
          <w:rFonts w:ascii="Times New Roman" w:hAnsi="Times New Roman" w:eastAsia="Times New Roman"/>
          <w:b w:val="0"/>
          <w:i w:val="0"/>
          <w:sz w:val="24"/>
        </w:rPr>
        <w:t>Sept profils interagissent avec le système. Leur périmètre a été défini métier par métier, et c’est le point le plus discuté de la conception : ouvrir trop de droits est aussi préjudiciable que d’en fermer trop.</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Identification des acteurs et de leur périmètre</w:t>
      </w:r>
    </w:p>
    <w:tbl>
      <w:tblPr>
        <w:tblStyle w:val="TableGrid"/>
        <w:tblW w:type="auto" w:w="0"/>
        <w:jc w:val="center"/>
        <w:tblLook w:firstColumn="1" w:firstRow="1" w:lastColumn="0" w:lastRow="0" w:noHBand="0" w:noVBand="1" w:val="04A0"/>
      </w:tblPr>
      <w:tblGrid>
        <w:gridCol w:w="4680"/>
        <w:gridCol w:w="4680"/>
      </w:tblGrid>
      <w:tr>
        <w:tc>
          <w:tcPr>
            <w:tcW w:type="dxa" w:w="1814"/>
            <w:shd w:val="clear" w:fill="DCE3EE"/>
          </w:tcPr>
          <w:p>
            <w:pPr>
              <w:spacing w:line="240" w:lineRule="auto" w:after="40"/>
              <w:jc w:val="center"/>
            </w:pPr>
            <w:r>
              <w:rPr>
                <w:rFonts w:ascii="Times New Roman" w:hAnsi="Times New Roman" w:eastAsia="Times New Roman"/>
                <w:b/>
                <w:i w:val="0"/>
                <w:sz w:val="21"/>
              </w:rPr>
              <w:t>Acteur</w:t>
            </w:r>
          </w:p>
        </w:tc>
        <w:tc>
          <w:tcPr>
            <w:tcW w:type="dxa" w:w="6973"/>
            <w:shd w:val="clear" w:fill="DCE3EE"/>
          </w:tcPr>
          <w:p>
            <w:pPr>
              <w:spacing w:line="240" w:lineRule="auto" w:after="40"/>
              <w:jc w:val="center"/>
            </w:pPr>
            <w:r>
              <w:rPr>
                <w:rFonts w:ascii="Times New Roman" w:hAnsi="Times New Roman" w:eastAsia="Times New Roman"/>
                <w:b/>
                <w:i w:val="0"/>
                <w:sz w:val="21"/>
              </w:rPr>
              <w:t>Rôle dans le système</w:t>
            </w:r>
          </w:p>
        </w:tc>
      </w:tr>
      <w:tr>
        <w:tc>
          <w:tcPr>
            <w:tcW w:type="dxa" w:w="1814"/>
          </w:tcPr>
          <w:p>
            <w:pPr>
              <w:spacing w:line="240" w:lineRule="auto" w:after="40"/>
              <w:jc w:val="left"/>
            </w:pPr>
            <w:r>
              <w:rPr>
                <w:rFonts w:ascii="Times New Roman" w:hAnsi="Times New Roman" w:eastAsia="Times New Roman"/>
                <w:b w:val="0"/>
                <w:i w:val="0"/>
                <w:sz w:val="21"/>
              </w:rPr>
              <w:t>Administrateur</w:t>
            </w:r>
          </w:p>
        </w:tc>
        <w:tc>
          <w:tcPr>
            <w:tcW w:type="dxa" w:w="6973"/>
          </w:tcPr>
          <w:p>
            <w:pPr>
              <w:spacing w:line="240" w:lineRule="auto" w:after="40"/>
              <w:jc w:val="left"/>
            </w:pPr>
            <w:r>
              <w:rPr>
                <w:rFonts w:ascii="Times New Roman" w:hAnsi="Times New Roman" w:eastAsia="Times New Roman"/>
                <w:b w:val="0"/>
                <w:i w:val="0"/>
                <w:sz w:val="21"/>
              </w:rPr>
              <w:t>Supervise l’ensemble : comptes, rôles, réglages pédagogiques, accès à toutes les données.</w:t>
            </w:r>
          </w:p>
        </w:tc>
      </w:tr>
      <w:tr>
        <w:tc>
          <w:tcPr>
            <w:tcW w:type="dxa" w:w="1814"/>
          </w:tcPr>
          <w:p>
            <w:pPr>
              <w:spacing w:line="240" w:lineRule="auto" w:after="40"/>
              <w:jc w:val="left"/>
            </w:pPr>
            <w:r>
              <w:rPr>
                <w:rFonts w:ascii="Times New Roman" w:hAnsi="Times New Roman" w:eastAsia="Times New Roman"/>
                <w:b w:val="0"/>
                <w:i w:val="0"/>
                <w:sz w:val="21"/>
              </w:rPr>
              <w:t>Directeur</w:t>
            </w:r>
          </w:p>
        </w:tc>
        <w:tc>
          <w:tcPr>
            <w:tcW w:type="dxa" w:w="6973"/>
          </w:tcPr>
          <w:p>
            <w:pPr>
              <w:spacing w:line="240" w:lineRule="auto" w:after="40"/>
              <w:jc w:val="left"/>
            </w:pPr>
            <w:r>
              <w:rPr>
                <w:rFonts w:ascii="Times New Roman" w:hAnsi="Times New Roman" w:eastAsia="Times New Roman"/>
                <w:b w:val="0"/>
                <w:i w:val="0"/>
                <w:sz w:val="21"/>
              </w:rPr>
              <w:t>Pilote l’établissement : indicateurs, structure pédagogique, personnel, dossiers des étudiants.</w:t>
            </w:r>
          </w:p>
        </w:tc>
      </w:tr>
      <w:tr>
        <w:tc>
          <w:tcPr>
            <w:tcW w:type="dxa" w:w="1814"/>
          </w:tcPr>
          <w:p>
            <w:pPr>
              <w:spacing w:line="240" w:lineRule="auto" w:after="40"/>
              <w:jc w:val="left"/>
            </w:pPr>
            <w:r>
              <w:rPr>
                <w:rFonts w:ascii="Times New Roman" w:hAnsi="Times New Roman" w:eastAsia="Times New Roman"/>
                <w:b w:val="0"/>
                <w:i w:val="0"/>
                <w:sz w:val="21"/>
              </w:rPr>
              <w:t>Secrétaire</w:t>
            </w:r>
          </w:p>
        </w:tc>
        <w:tc>
          <w:tcPr>
            <w:tcW w:type="dxa" w:w="6973"/>
          </w:tcPr>
          <w:p>
            <w:pPr>
              <w:spacing w:line="240" w:lineRule="auto" w:after="40"/>
              <w:jc w:val="left"/>
            </w:pPr>
            <w:r>
              <w:rPr>
                <w:rFonts w:ascii="Times New Roman" w:hAnsi="Times New Roman" w:eastAsia="Times New Roman"/>
                <w:b w:val="0"/>
                <w:i w:val="0"/>
                <w:sz w:val="21"/>
              </w:rPr>
              <w:t>Inscrit les étudiants, tient les dossiers administratifs, encaisse les frais et délivre les reçus. N’intervient ni sur la structure pédagogique ni sur les notes.</w:t>
            </w:r>
          </w:p>
        </w:tc>
      </w:tr>
      <w:tr>
        <w:tc>
          <w:tcPr>
            <w:tcW w:type="dxa" w:w="1814"/>
          </w:tcPr>
          <w:p>
            <w:pPr>
              <w:spacing w:line="240" w:lineRule="auto" w:after="40"/>
              <w:jc w:val="left"/>
            </w:pPr>
            <w:r>
              <w:rPr>
                <w:rFonts w:ascii="Times New Roman" w:hAnsi="Times New Roman" w:eastAsia="Times New Roman"/>
                <w:b w:val="0"/>
                <w:i w:val="0"/>
                <w:sz w:val="21"/>
              </w:rPr>
              <w:t>Surveillant</w:t>
            </w:r>
          </w:p>
        </w:tc>
        <w:tc>
          <w:tcPr>
            <w:tcW w:type="dxa" w:w="6973"/>
          </w:tcPr>
          <w:p>
            <w:pPr>
              <w:spacing w:line="240" w:lineRule="auto" w:after="40"/>
              <w:jc w:val="left"/>
            </w:pPr>
            <w:r>
              <w:rPr>
                <w:rFonts w:ascii="Times New Roman" w:hAnsi="Times New Roman" w:eastAsia="Times New Roman"/>
                <w:b w:val="0"/>
                <w:i w:val="0"/>
                <w:sz w:val="21"/>
              </w:rPr>
              <w:t>Tient les classes, les matières et les unités d’enseignement, relève les absences et compose l’emploi du temps.</w:t>
            </w:r>
          </w:p>
        </w:tc>
      </w:tr>
      <w:tr>
        <w:tc>
          <w:tcPr>
            <w:tcW w:type="dxa" w:w="1814"/>
          </w:tcPr>
          <w:p>
            <w:pPr>
              <w:spacing w:line="240" w:lineRule="auto" w:after="40"/>
              <w:jc w:val="left"/>
            </w:pPr>
            <w:r>
              <w:rPr>
                <w:rFonts w:ascii="Times New Roman" w:hAnsi="Times New Roman" w:eastAsia="Times New Roman"/>
                <w:b w:val="0"/>
                <w:i w:val="0"/>
                <w:sz w:val="21"/>
              </w:rPr>
              <w:t>Professeur</w:t>
            </w:r>
          </w:p>
        </w:tc>
        <w:tc>
          <w:tcPr>
            <w:tcW w:type="dxa" w:w="6973"/>
          </w:tcPr>
          <w:p>
            <w:pPr>
              <w:spacing w:line="240" w:lineRule="auto" w:after="40"/>
              <w:jc w:val="left"/>
            </w:pPr>
            <w:r>
              <w:rPr>
                <w:rFonts w:ascii="Times New Roman" w:hAnsi="Times New Roman" w:eastAsia="Times New Roman"/>
                <w:b w:val="0"/>
                <w:i w:val="0"/>
                <w:sz w:val="21"/>
              </w:rPr>
              <w:t>Consulte ses classes et ses matières, saisit ses notes, marque les absences de ses séances, édite ses listes d’émargement. N’accède ni au bulletin complet ni au dossier d’un étudiant.</w:t>
            </w:r>
          </w:p>
        </w:tc>
      </w:tr>
      <w:tr>
        <w:tc>
          <w:tcPr>
            <w:tcW w:type="dxa" w:w="1814"/>
          </w:tcPr>
          <w:p>
            <w:pPr>
              <w:spacing w:line="240" w:lineRule="auto" w:after="40"/>
              <w:jc w:val="left"/>
            </w:pPr>
            <w:r>
              <w:rPr>
                <w:rFonts w:ascii="Times New Roman" w:hAnsi="Times New Roman" w:eastAsia="Times New Roman"/>
                <w:b w:val="0"/>
                <w:i w:val="0"/>
                <w:sz w:val="21"/>
              </w:rPr>
              <w:t>Étudiant</w:t>
            </w:r>
          </w:p>
        </w:tc>
        <w:tc>
          <w:tcPr>
            <w:tcW w:type="dxa" w:w="6973"/>
          </w:tcPr>
          <w:p>
            <w:pPr>
              <w:spacing w:line="240" w:lineRule="auto" w:after="40"/>
              <w:jc w:val="left"/>
            </w:pPr>
            <w:r>
              <w:rPr>
                <w:rFonts w:ascii="Times New Roman" w:hAnsi="Times New Roman" w:eastAsia="Times New Roman"/>
                <w:b w:val="0"/>
                <w:i w:val="0"/>
                <w:sz w:val="21"/>
              </w:rPr>
              <w:t>Consulte ses résultats, ses absences, son emploi du temps et sa situation financière.</w:t>
            </w:r>
          </w:p>
        </w:tc>
      </w:tr>
      <w:tr>
        <w:tc>
          <w:tcPr>
            <w:tcW w:type="dxa" w:w="1814"/>
          </w:tcPr>
          <w:p>
            <w:pPr>
              <w:spacing w:line="240" w:lineRule="auto" w:after="40"/>
              <w:jc w:val="center"/>
            </w:pPr>
            <w:r>
              <w:rPr>
                <w:rFonts w:ascii="Times New Roman" w:hAnsi="Times New Roman" w:eastAsia="Times New Roman"/>
                <w:b w:val="0"/>
                <w:i w:val="0"/>
                <w:sz w:val="21"/>
              </w:rPr>
              <w:t>Parent</w:t>
            </w:r>
          </w:p>
        </w:tc>
        <w:tc>
          <w:tcPr>
            <w:tcW w:type="dxa" w:w="6973"/>
          </w:tcPr>
          <w:p>
            <w:pPr>
              <w:spacing w:line="240" w:lineRule="auto" w:after="40"/>
              <w:jc w:val="left"/>
            </w:pPr>
            <w:r>
              <w:rPr>
                <w:rFonts w:ascii="Times New Roman" w:hAnsi="Times New Roman" w:eastAsia="Times New Roman"/>
                <w:b w:val="0"/>
                <w:i w:val="0"/>
                <w:sz w:val="21"/>
              </w:rPr>
              <w:t>Consulte, pour ses enfants, les mêmes informations en lecture seule.</w:t>
            </w:r>
          </w:p>
        </w:tc>
      </w:tr>
    </w:tbl>
    <w:p>
      <w:pPr>
        <w:spacing w:after="240" w:line="240" w:lineRule="auto"/>
        <w:jc w:val="right"/>
      </w:pPr>
      <w:r>
        <w:rPr>
          <w:rFonts w:ascii="Times New Roman" w:hAnsi="Times New Roman" w:eastAsia="Times New Roman"/>
          <w:b w:val="0"/>
          <w:i/>
          <w:color w:val="444444"/>
          <w:sz w:val="20"/>
        </w:rPr>
        <w:t>Source : Les auteurs</w:t>
      </w:r>
    </w:p>
    <w:p>
      <w:pPr>
        <w:pStyle w:val="Heading2"/>
        <w:jc w:val="left"/>
      </w:pPr>
      <w:r>
        <w:rPr>
          <w:rFonts w:ascii="Times New Roman" w:hAnsi="Times New Roman" w:eastAsia="Times New Roman"/>
          <w:b/>
          <w:i w:val="0"/>
          <w:color w:val="2E4474"/>
          <w:sz w:val="28"/>
        </w:rPr>
        <w:t>2.3. Diagrammes UML</w:t>
      </w:r>
    </w:p>
    <w:p>
      <w:pPr>
        <w:spacing w:before="0" w:line="360" w:lineRule="auto"/>
        <w:jc w:val="both"/>
      </w:pPr>
      <w:r>
        <w:rPr>
          <w:rFonts w:ascii="Times New Roman" w:hAnsi="Times New Roman" w:eastAsia="Times New Roman"/>
          <w:b w:val="0"/>
          <w:i w:val="0"/>
          <w:sz w:val="24"/>
        </w:rPr>
        <w:t>La modélisation suit le langage UML. Elle porte sur les fonctions structurantes plutôt que sur l’exhaustivité : représenter chaque écran produirait des planches illisibles sans rien apprendre de plus.</w:t>
      </w:r>
    </w:p>
    <w:p>
      <w:pPr>
        <w:pStyle w:val="Heading3"/>
        <w:jc w:val="left"/>
      </w:pPr>
      <w:r>
        <w:rPr>
          <w:rFonts w:ascii="Times New Roman" w:hAnsi="Times New Roman" w:eastAsia="Times New Roman"/>
          <w:b/>
          <w:i w:val="0"/>
          <w:color w:val="2E4474"/>
          <w:sz w:val="24"/>
        </w:rPr>
        <w:t>2.3.1. Diagrammes de cas d’utilisation</w:t>
      </w:r>
    </w:p>
    <w:p>
      <w:pPr>
        <w:spacing w:before="0" w:line="360" w:lineRule="auto"/>
        <w:jc w:val="both"/>
      </w:pPr>
      <w:r>
        <w:rPr>
          <w:rFonts w:ascii="Times New Roman" w:hAnsi="Times New Roman" w:eastAsia="Times New Roman"/>
          <w:b w:val="0"/>
          <w:i w:val="0"/>
          <w:sz w:val="24"/>
        </w:rPr>
        <w:t>Le premier diagramme donne la vue d’ensemble : quels acteurs interviennent, et sur quels domaines.</w:t>
      </w:r>
    </w:p>
    <w:p>
      <w:pPr>
        <w:spacing w:before="200" w:after="40" w:line="240" w:lineRule="auto"/>
        <w:jc w:val="center"/>
      </w:pPr>
      <w:r>
        <w:drawing>
          <wp:inline xmlns:a="http://schemas.openxmlformats.org/drawingml/2006/main" xmlns:pic="http://schemas.openxmlformats.org/drawingml/2006/picture">
            <wp:extent cx="5731200" cy="4468989"/>
            <wp:docPr id="2" name="Picture 2"/>
            <wp:cNvGraphicFramePr>
              <a:graphicFrameLocks noChangeAspect="1"/>
            </wp:cNvGraphicFramePr>
            <a:graphic>
              <a:graphicData uri="http://schemas.openxmlformats.org/drawingml/2006/picture">
                <pic:pic>
                  <pic:nvPicPr>
                    <pic:cNvPr id="0" name="03-cas-usage-global.png"/>
                    <pic:cNvPicPr/>
                  </pic:nvPicPr>
                  <pic:blipFill>
                    <a:blip r:embed="rId15"/>
                    <a:stretch>
                      <a:fillRect/>
                    </a:stretch>
                  </pic:blipFill>
                  <pic:spPr>
                    <a:xfrm>
                      <a:off x="0" y="0"/>
                      <a:ext cx="5731200" cy="4468989"/>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Cas d’utilisation — vue d’ensemble des sept profils</w:t>
      </w:r>
    </w:p>
    <w:p>
      <w:pPr>
        <w:spacing w:before="0" w:line="360" w:lineRule="auto"/>
        <w:jc w:val="both"/>
      </w:pPr>
      <w:r>
        <w:rPr>
          <w:rFonts w:ascii="Times New Roman" w:hAnsi="Times New Roman" w:eastAsia="Times New Roman"/>
          <w:b w:val="0"/>
          <w:i w:val="0"/>
          <w:sz w:val="24"/>
        </w:rPr>
        <w:t>Deux profils méritent un diagramme propre, parce que leur périmètre a été volontairement restreint. Celui du professeur, d’abord.</w:t>
      </w:r>
    </w:p>
    <w:p>
      <w:pPr>
        <w:spacing w:before="200" w:after="40" w:line="240" w:lineRule="auto"/>
        <w:jc w:val="center"/>
      </w:pPr>
      <w:r>
        <w:drawing>
          <wp:inline xmlns:a="http://schemas.openxmlformats.org/drawingml/2006/main" xmlns:pic="http://schemas.openxmlformats.org/drawingml/2006/picture">
            <wp:extent cx="5731200" cy="4448228"/>
            <wp:docPr id="3" name="Picture 3"/>
            <wp:cNvGraphicFramePr>
              <a:graphicFrameLocks noChangeAspect="1"/>
            </wp:cNvGraphicFramePr>
            <a:graphic>
              <a:graphicData uri="http://schemas.openxmlformats.org/drawingml/2006/picture">
                <pic:pic>
                  <pic:nvPicPr>
                    <pic:cNvPr id="0" name="04-cas-usage-professeur.png"/>
                    <pic:cNvPicPr/>
                  </pic:nvPicPr>
                  <pic:blipFill>
                    <a:blip r:embed="rId16"/>
                    <a:stretch>
                      <a:fillRect/>
                    </a:stretch>
                  </pic:blipFill>
                  <pic:spPr>
                    <a:xfrm>
                      <a:off x="0" y="0"/>
                      <a:ext cx="5731200" cy="4448228"/>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Cas d’utilisation du professeur, et fonctions qui lui sont refusées</w:t>
      </w:r>
    </w:p>
    <w:p>
      <w:pPr>
        <w:spacing w:before="0" w:line="360" w:lineRule="auto"/>
        <w:jc w:val="both"/>
      </w:pPr>
      <w:r>
        <w:rPr>
          <w:rFonts w:ascii="Times New Roman" w:hAnsi="Times New Roman" w:eastAsia="Times New Roman"/>
          <w:b w:val="0"/>
          <w:i w:val="0"/>
          <w:sz w:val="24"/>
        </w:rPr>
        <w:t>Ce point est une décision de conception, non un oubli. Un bulletin porte les notes de toutes les matières, et une fiche individuelle porte l’adresse, la situation familiale et la situation financière : rien de cela ne concerne l’enseignant d’une matière. Il accède à ses classes et saisit ses propres notes.</w:t>
      </w:r>
    </w:p>
    <w:p>
      <w:pPr>
        <w:spacing w:before="200" w:after="40" w:line="240" w:lineRule="auto"/>
        <w:jc w:val="center"/>
      </w:pPr>
      <w:r>
        <w:drawing>
          <wp:inline xmlns:a="http://schemas.openxmlformats.org/drawingml/2006/main" xmlns:pic="http://schemas.openxmlformats.org/drawingml/2006/picture">
            <wp:extent cx="5731200" cy="4398462"/>
            <wp:docPr id="4" name="Picture 4"/>
            <wp:cNvGraphicFramePr>
              <a:graphicFrameLocks noChangeAspect="1"/>
            </wp:cNvGraphicFramePr>
            <a:graphic>
              <a:graphicData uri="http://schemas.openxmlformats.org/drawingml/2006/picture">
                <pic:pic>
                  <pic:nvPicPr>
                    <pic:cNvPr id="0" name="05-cas-usage-secretaire.png"/>
                    <pic:cNvPicPr/>
                  </pic:nvPicPr>
                  <pic:blipFill>
                    <a:blip r:embed="rId17"/>
                    <a:stretch>
                      <a:fillRect/>
                    </a:stretch>
                  </pic:blipFill>
                  <pic:spPr>
                    <a:xfrm>
                      <a:off x="0" y="0"/>
                      <a:ext cx="5731200" cy="4398462"/>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Cas d’utilisation du secrétaire, et fonctions hors de son périmètre</w:t>
      </w:r>
    </w:p>
    <w:p>
      <w:pPr>
        <w:spacing w:before="0" w:line="360" w:lineRule="auto"/>
        <w:jc w:val="both"/>
      </w:pPr>
      <w:r>
        <w:rPr>
          <w:rFonts w:ascii="Times New Roman" w:hAnsi="Times New Roman" w:eastAsia="Times New Roman"/>
          <w:b w:val="0"/>
          <w:i w:val="0"/>
          <w:sz w:val="24"/>
        </w:rPr>
        <w:t>Le secrétariat, symétriquement, gère les inscriptions, les dossiers et la caisse, mais ni la structure pédagogique ni les notes.</w:t>
      </w:r>
    </w:p>
    <w:p>
      <w:pPr>
        <w:pStyle w:val="Heading3"/>
        <w:jc w:val="left"/>
      </w:pPr>
      <w:r>
        <w:rPr>
          <w:rFonts w:ascii="Times New Roman" w:hAnsi="Times New Roman" w:eastAsia="Times New Roman"/>
          <w:b/>
          <w:i w:val="0"/>
          <w:color w:val="2E4474"/>
          <w:sz w:val="24"/>
        </w:rPr>
        <w:t>2.3.2. Description textuelle de cas d’utilisation</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Description textuelle du cas « Saisir les notes d’une matière »</w:t>
      </w:r>
    </w:p>
    <w:tbl>
      <w:tblPr>
        <w:tblStyle w:val="TableGrid"/>
        <w:tblW w:type="auto" w:w="0"/>
        <w:jc w:val="center"/>
        <w:tblLook w:firstColumn="1" w:firstRow="1" w:lastColumn="0" w:lastRow="0" w:noHBand="0" w:noVBand="1" w:val="04A0"/>
      </w:tblPr>
      <w:tblGrid>
        <w:gridCol w:w="4680"/>
        <w:gridCol w:w="4680"/>
      </w:tblGrid>
      <w:tr>
        <w:tc>
          <w:tcPr>
            <w:tcW w:type="dxa" w:w="1928"/>
            <w:shd w:val="clear" w:fill="DCE3EE"/>
          </w:tcPr>
          <w:p>
            <w:pPr>
              <w:spacing w:line="240" w:lineRule="auto" w:after="40"/>
              <w:jc w:val="center"/>
            </w:pPr>
            <w:r>
              <w:rPr>
                <w:rFonts w:ascii="Times New Roman" w:hAnsi="Times New Roman" w:eastAsia="Times New Roman"/>
                <w:b/>
                <w:i w:val="0"/>
                <w:sz w:val="21"/>
              </w:rPr>
              <w:t>Rubrique</w:t>
            </w:r>
          </w:p>
        </w:tc>
        <w:tc>
          <w:tcPr>
            <w:tcW w:type="dxa" w:w="6860"/>
            <w:shd w:val="clear" w:fill="DCE3EE"/>
          </w:tcPr>
          <w:p>
            <w:pPr>
              <w:spacing w:line="240" w:lineRule="auto" w:after="40"/>
              <w:jc w:val="center"/>
            </w:pPr>
            <w:r>
              <w:rPr>
                <w:rFonts w:ascii="Times New Roman" w:hAnsi="Times New Roman" w:eastAsia="Times New Roman"/>
                <w:b/>
                <w:i w:val="0"/>
                <w:sz w:val="21"/>
              </w:rPr>
              <w:t>Contenu</w:t>
            </w:r>
          </w:p>
        </w:tc>
      </w:tr>
      <w:tr>
        <w:tc>
          <w:tcPr>
            <w:tcW w:type="dxa" w:w="1928"/>
          </w:tcPr>
          <w:p>
            <w:pPr>
              <w:spacing w:line="240" w:lineRule="auto" w:after="40"/>
              <w:jc w:val="left"/>
            </w:pPr>
            <w:r>
              <w:rPr>
                <w:rFonts w:ascii="Times New Roman" w:hAnsi="Times New Roman" w:eastAsia="Times New Roman"/>
                <w:b w:val="0"/>
                <w:i w:val="0"/>
                <w:sz w:val="21"/>
              </w:rPr>
              <w:t>Acteur principal</w:t>
            </w:r>
          </w:p>
        </w:tc>
        <w:tc>
          <w:tcPr>
            <w:tcW w:type="dxa" w:w="6860"/>
          </w:tcPr>
          <w:p>
            <w:pPr>
              <w:spacing w:line="240" w:lineRule="auto" w:after="40"/>
              <w:jc w:val="left"/>
            </w:pPr>
            <w:r>
              <w:rPr>
                <w:rFonts w:ascii="Times New Roman" w:hAnsi="Times New Roman" w:eastAsia="Times New Roman"/>
                <w:b w:val="0"/>
                <w:i w:val="0"/>
                <w:sz w:val="21"/>
              </w:rPr>
              <w:t>Professeur</w:t>
            </w:r>
          </w:p>
        </w:tc>
      </w:tr>
      <w:tr>
        <w:tc>
          <w:tcPr>
            <w:tcW w:type="dxa" w:w="1928"/>
          </w:tcPr>
          <w:p>
            <w:pPr>
              <w:spacing w:line="240" w:lineRule="auto" w:after="40"/>
              <w:jc w:val="left"/>
            </w:pPr>
            <w:r>
              <w:rPr>
                <w:rFonts w:ascii="Times New Roman" w:hAnsi="Times New Roman" w:eastAsia="Times New Roman"/>
                <w:b w:val="0"/>
                <w:i w:val="0"/>
                <w:sz w:val="21"/>
              </w:rPr>
              <w:t>Objectif</w:t>
            </w:r>
          </w:p>
        </w:tc>
        <w:tc>
          <w:tcPr>
            <w:tcW w:type="dxa" w:w="6860"/>
          </w:tcPr>
          <w:p>
            <w:pPr>
              <w:spacing w:line="240" w:lineRule="auto" w:after="40"/>
              <w:jc w:val="left"/>
            </w:pPr>
            <w:r>
              <w:rPr>
                <w:rFonts w:ascii="Times New Roman" w:hAnsi="Times New Roman" w:eastAsia="Times New Roman"/>
                <w:b w:val="0"/>
                <w:i w:val="0"/>
                <w:sz w:val="21"/>
              </w:rPr>
              <w:t>Enregistrer, pour tous les étudiants d’une classe, la note de classe et la note d’examen d’une matière et d’un semestre donnés.</w:t>
            </w:r>
          </w:p>
        </w:tc>
      </w:tr>
      <w:tr>
        <w:tc>
          <w:tcPr>
            <w:tcW w:type="dxa" w:w="1928"/>
          </w:tcPr>
          <w:p>
            <w:pPr>
              <w:spacing w:line="240" w:lineRule="auto" w:after="40"/>
              <w:jc w:val="left"/>
            </w:pPr>
            <w:r>
              <w:rPr>
                <w:rFonts w:ascii="Times New Roman" w:hAnsi="Times New Roman" w:eastAsia="Times New Roman"/>
                <w:b w:val="0"/>
                <w:i w:val="0"/>
                <w:sz w:val="21"/>
              </w:rPr>
              <w:t>Préconditions</w:t>
            </w:r>
          </w:p>
        </w:tc>
        <w:tc>
          <w:tcPr>
            <w:tcW w:type="dxa" w:w="6860"/>
          </w:tcPr>
          <w:p>
            <w:pPr>
              <w:spacing w:line="240" w:lineRule="auto" w:after="40"/>
              <w:jc w:val="left"/>
            </w:pPr>
            <w:r>
              <w:rPr>
                <w:rFonts w:ascii="Times New Roman" w:hAnsi="Times New Roman" w:eastAsia="Times New Roman"/>
                <w:b w:val="0"/>
                <w:i w:val="0"/>
                <w:sz w:val="21"/>
              </w:rPr>
              <w:t>Le professeur est authentifié ; la matière lui est attribuée ; la classe compte au moins un étudiant inscrit.</w:t>
            </w:r>
          </w:p>
        </w:tc>
      </w:tr>
      <w:tr>
        <w:tc>
          <w:tcPr>
            <w:tcW w:type="dxa" w:w="1928"/>
          </w:tcPr>
          <w:p>
            <w:pPr>
              <w:spacing w:line="240" w:lineRule="auto" w:after="40"/>
              <w:jc w:val="left"/>
            </w:pPr>
            <w:r>
              <w:rPr>
                <w:rFonts w:ascii="Times New Roman" w:hAnsi="Times New Roman" w:eastAsia="Times New Roman"/>
                <w:b w:val="0"/>
                <w:i w:val="0"/>
                <w:sz w:val="21"/>
              </w:rPr>
              <w:t>Scénario nominal</w:t>
            </w:r>
          </w:p>
        </w:tc>
        <w:tc>
          <w:tcPr>
            <w:tcW w:type="dxa" w:w="6860"/>
          </w:tcPr>
          <w:p>
            <w:pPr>
              <w:spacing w:line="240" w:lineRule="auto" w:after="40"/>
              <w:jc w:val="left"/>
            </w:pPr>
            <w:r>
              <w:rPr>
                <w:rFonts w:ascii="Times New Roman" w:hAnsi="Times New Roman" w:eastAsia="Times New Roman"/>
                <w:b w:val="0"/>
                <w:i w:val="0"/>
                <w:sz w:val="21"/>
              </w:rPr>
              <w:t>1. Le professeur choisit la classe, puis la matière, puis le semestre.</w:t>
              <w:br/>
              <w:t>2. Le système affiche une grille pré-remplie, une ligne par étudiant, avec les notes déjà saisies.</w:t>
              <w:br/>
              <w:t>3. Le professeur saisit ou corrige les notes.</w:t>
              <w:br/>
              <w:t>4. Il enregistre l’ensemble en une fois.</w:t>
              <w:br/>
              <w:t>5. Le système vérifie que la matière lui appartient, contrôle que chaque note est comprise entre 0 et 20, puis enregistre.</w:t>
            </w:r>
          </w:p>
        </w:tc>
      </w:tr>
      <w:tr>
        <w:tc>
          <w:tcPr>
            <w:tcW w:type="dxa" w:w="1928"/>
          </w:tcPr>
          <w:p>
            <w:pPr>
              <w:spacing w:line="240" w:lineRule="auto" w:after="40"/>
              <w:jc w:val="left"/>
            </w:pPr>
            <w:r>
              <w:rPr>
                <w:rFonts w:ascii="Times New Roman" w:hAnsi="Times New Roman" w:eastAsia="Times New Roman"/>
                <w:b w:val="0"/>
                <w:i w:val="0"/>
                <w:sz w:val="21"/>
              </w:rPr>
              <w:t>Scénarios alternatifs</w:t>
            </w:r>
          </w:p>
        </w:tc>
        <w:tc>
          <w:tcPr>
            <w:tcW w:type="dxa" w:w="6860"/>
          </w:tcPr>
          <w:p>
            <w:pPr>
              <w:spacing w:line="240" w:lineRule="auto" w:after="40"/>
              <w:jc w:val="left"/>
            </w:pPr>
            <w:r>
              <w:rPr>
                <w:rFonts w:ascii="Times New Roman" w:hAnsi="Times New Roman" w:eastAsia="Times New Roman"/>
                <w:b w:val="0"/>
                <w:i w:val="0"/>
                <w:sz w:val="21"/>
              </w:rPr>
              <w:t>4a. Une note est hors bornes : la ligne est signalée, le reste du lot est enregistré.</w:t>
              <w:br/>
              <w:t>5a. La matière n’appartient pas au professeur : la requête est refusée par le serveur, même si l’interface l’avait proposée.</w:t>
            </w:r>
          </w:p>
        </w:tc>
      </w:tr>
      <w:tr>
        <w:tc>
          <w:tcPr>
            <w:tcW w:type="dxa" w:w="1928"/>
          </w:tcPr>
          <w:p>
            <w:pPr>
              <w:spacing w:line="240" w:lineRule="auto" w:after="40"/>
              <w:jc w:val="left"/>
            </w:pPr>
            <w:r>
              <w:rPr>
                <w:rFonts w:ascii="Times New Roman" w:hAnsi="Times New Roman" w:eastAsia="Times New Roman"/>
                <w:b w:val="0"/>
                <w:i w:val="0"/>
                <w:sz w:val="21"/>
              </w:rPr>
              <w:t>Postconditions</w:t>
            </w:r>
          </w:p>
        </w:tc>
        <w:tc>
          <w:tcPr>
            <w:tcW w:type="dxa" w:w="6860"/>
          </w:tcPr>
          <w:p>
            <w:pPr>
              <w:spacing w:line="240" w:lineRule="auto" w:after="40"/>
              <w:jc w:val="left"/>
            </w:pPr>
            <w:r>
              <w:rPr>
                <w:rFonts w:ascii="Times New Roman" w:hAnsi="Times New Roman" w:eastAsia="Times New Roman"/>
                <w:b w:val="0"/>
                <w:i w:val="0"/>
                <w:sz w:val="21"/>
              </w:rPr>
              <w:t>Les notes sont enregistrées avec l’identité du saisisseur. Les bulletins qui en dépendent reflètent immédiatement la modification.</w:t>
            </w:r>
          </w:p>
        </w:tc>
      </w:tr>
    </w:tbl>
    <w:p>
      <w:pPr>
        <w:spacing w:after="240" w:line="240" w:lineRule="auto"/>
        <w:jc w:val="right"/>
      </w:pPr>
      <w:r>
        <w:rPr>
          <w:rFonts w:ascii="Times New Roman" w:hAnsi="Times New Roman" w:eastAsia="Times New Roman"/>
          <w:b w:val="0"/>
          <w:i/>
          <w:color w:val="444444"/>
          <w:sz w:val="20"/>
        </w:rPr>
        <w:t>Source : Les auteurs</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Description textuelle du cas « Enregistrer un paiement »</w:t>
      </w:r>
    </w:p>
    <w:tbl>
      <w:tblPr>
        <w:tblStyle w:val="TableGrid"/>
        <w:tblW w:type="auto" w:w="0"/>
        <w:jc w:val="center"/>
        <w:tblLook w:firstColumn="1" w:firstRow="1" w:lastColumn="0" w:lastRow="0" w:noHBand="0" w:noVBand="1" w:val="04A0"/>
      </w:tblPr>
      <w:tblGrid>
        <w:gridCol w:w="4680"/>
        <w:gridCol w:w="4680"/>
      </w:tblGrid>
      <w:tr>
        <w:tc>
          <w:tcPr>
            <w:tcW w:type="dxa" w:w="1928"/>
            <w:shd w:val="clear" w:fill="DCE3EE"/>
          </w:tcPr>
          <w:p>
            <w:pPr>
              <w:spacing w:line="240" w:lineRule="auto" w:after="40"/>
              <w:jc w:val="center"/>
            </w:pPr>
            <w:r>
              <w:rPr>
                <w:rFonts w:ascii="Times New Roman" w:hAnsi="Times New Roman" w:eastAsia="Times New Roman"/>
                <w:b/>
                <w:i w:val="0"/>
                <w:sz w:val="21"/>
              </w:rPr>
              <w:t>Rubrique</w:t>
            </w:r>
          </w:p>
        </w:tc>
        <w:tc>
          <w:tcPr>
            <w:tcW w:type="dxa" w:w="6860"/>
            <w:shd w:val="clear" w:fill="DCE3EE"/>
          </w:tcPr>
          <w:p>
            <w:pPr>
              <w:spacing w:line="240" w:lineRule="auto" w:after="40"/>
              <w:jc w:val="center"/>
            </w:pPr>
            <w:r>
              <w:rPr>
                <w:rFonts w:ascii="Times New Roman" w:hAnsi="Times New Roman" w:eastAsia="Times New Roman"/>
                <w:b/>
                <w:i w:val="0"/>
                <w:sz w:val="21"/>
              </w:rPr>
              <w:t>Contenu</w:t>
            </w:r>
          </w:p>
        </w:tc>
      </w:tr>
      <w:tr>
        <w:tc>
          <w:tcPr>
            <w:tcW w:type="dxa" w:w="1928"/>
          </w:tcPr>
          <w:p>
            <w:pPr>
              <w:spacing w:line="240" w:lineRule="auto" w:after="40"/>
              <w:jc w:val="left"/>
            </w:pPr>
            <w:r>
              <w:rPr>
                <w:rFonts w:ascii="Times New Roman" w:hAnsi="Times New Roman" w:eastAsia="Times New Roman"/>
                <w:b w:val="0"/>
                <w:i w:val="0"/>
                <w:sz w:val="21"/>
              </w:rPr>
              <w:t>Acteur principal</w:t>
            </w:r>
          </w:p>
        </w:tc>
        <w:tc>
          <w:tcPr>
            <w:tcW w:type="dxa" w:w="6860"/>
          </w:tcPr>
          <w:p>
            <w:pPr>
              <w:spacing w:line="240" w:lineRule="auto" w:after="40"/>
              <w:jc w:val="left"/>
            </w:pPr>
            <w:r>
              <w:rPr>
                <w:rFonts w:ascii="Times New Roman" w:hAnsi="Times New Roman" w:eastAsia="Times New Roman"/>
                <w:b w:val="0"/>
                <w:i w:val="0"/>
                <w:sz w:val="21"/>
              </w:rPr>
              <w:t>Secrétaire</w:t>
            </w:r>
          </w:p>
        </w:tc>
      </w:tr>
      <w:tr>
        <w:tc>
          <w:tcPr>
            <w:tcW w:type="dxa" w:w="1928"/>
          </w:tcPr>
          <w:p>
            <w:pPr>
              <w:spacing w:line="240" w:lineRule="auto" w:after="40"/>
              <w:jc w:val="left"/>
            </w:pPr>
            <w:r>
              <w:rPr>
                <w:rFonts w:ascii="Times New Roman" w:hAnsi="Times New Roman" w:eastAsia="Times New Roman"/>
                <w:b w:val="0"/>
                <w:i w:val="0"/>
                <w:sz w:val="21"/>
              </w:rPr>
              <w:t>Objectif</w:t>
            </w:r>
          </w:p>
        </w:tc>
        <w:tc>
          <w:tcPr>
            <w:tcW w:type="dxa" w:w="6860"/>
          </w:tcPr>
          <w:p>
            <w:pPr>
              <w:spacing w:line="240" w:lineRule="auto" w:after="40"/>
              <w:jc w:val="left"/>
            </w:pPr>
            <w:r>
              <w:rPr>
                <w:rFonts w:ascii="Times New Roman" w:hAnsi="Times New Roman" w:eastAsia="Times New Roman"/>
                <w:b w:val="0"/>
                <w:i w:val="0"/>
                <w:sz w:val="21"/>
              </w:rPr>
              <w:t>Encaisser un versement et délivrer un reçu numéroté.</w:t>
            </w:r>
          </w:p>
        </w:tc>
      </w:tr>
      <w:tr>
        <w:tc>
          <w:tcPr>
            <w:tcW w:type="dxa" w:w="1928"/>
          </w:tcPr>
          <w:p>
            <w:pPr>
              <w:spacing w:line="240" w:lineRule="auto" w:after="40"/>
              <w:jc w:val="left"/>
            </w:pPr>
            <w:r>
              <w:rPr>
                <w:rFonts w:ascii="Times New Roman" w:hAnsi="Times New Roman" w:eastAsia="Times New Roman"/>
                <w:b w:val="0"/>
                <w:i w:val="0"/>
                <w:sz w:val="21"/>
              </w:rPr>
              <w:t>Préconditions</w:t>
            </w:r>
          </w:p>
        </w:tc>
        <w:tc>
          <w:tcPr>
            <w:tcW w:type="dxa" w:w="6860"/>
          </w:tcPr>
          <w:p>
            <w:pPr>
              <w:spacing w:line="240" w:lineRule="auto" w:after="40"/>
              <w:jc w:val="left"/>
            </w:pPr>
            <w:r>
              <w:rPr>
                <w:rFonts w:ascii="Times New Roman" w:hAnsi="Times New Roman" w:eastAsia="Times New Roman"/>
                <w:b w:val="0"/>
                <w:i w:val="0"/>
                <w:sz w:val="21"/>
              </w:rPr>
              <w:t>Le secrétaire est authentifié ; l’étudiant est inscrit et des frais de scolarité lui sont associés pour l’année en cours.</w:t>
            </w:r>
          </w:p>
        </w:tc>
      </w:tr>
      <w:tr>
        <w:tc>
          <w:tcPr>
            <w:tcW w:type="dxa" w:w="1928"/>
          </w:tcPr>
          <w:p>
            <w:pPr>
              <w:spacing w:line="240" w:lineRule="auto" w:after="40"/>
              <w:jc w:val="left"/>
            </w:pPr>
            <w:r>
              <w:rPr>
                <w:rFonts w:ascii="Times New Roman" w:hAnsi="Times New Roman" w:eastAsia="Times New Roman"/>
                <w:b w:val="0"/>
                <w:i w:val="0"/>
                <w:sz w:val="21"/>
              </w:rPr>
              <w:t>Scénario nominal</w:t>
            </w:r>
          </w:p>
        </w:tc>
        <w:tc>
          <w:tcPr>
            <w:tcW w:type="dxa" w:w="6860"/>
          </w:tcPr>
          <w:p>
            <w:pPr>
              <w:spacing w:line="240" w:lineRule="auto" w:after="40"/>
              <w:jc w:val="left"/>
            </w:pPr>
            <w:r>
              <w:rPr>
                <w:rFonts w:ascii="Times New Roman" w:hAnsi="Times New Roman" w:eastAsia="Times New Roman"/>
                <w:b w:val="0"/>
                <w:i w:val="0"/>
                <w:sz w:val="21"/>
              </w:rPr>
              <w:t>1. Le secrétaire recherche l’étudiant et ouvre sa situation financière.</w:t>
              <w:br/>
              <w:t>2. Le système affiche le montant dû, le total déjà versé et le solde.</w:t>
              <w:br/>
              <w:t>3. Le secrétaire saisit le montant, la date et le moyen de paiement.</w:t>
              <w:br/>
              <w:t>4. Le système enregistre le versement et recalcule le solde.</w:t>
              <w:br/>
              <w:t>5. Le reçu est produit en PDF et un courriel est envoyé à l’étudiant et au parent.</w:t>
            </w:r>
          </w:p>
        </w:tc>
      </w:tr>
      <w:tr>
        <w:tc>
          <w:tcPr>
            <w:tcW w:type="dxa" w:w="1928"/>
          </w:tcPr>
          <w:p>
            <w:pPr>
              <w:spacing w:line="240" w:lineRule="auto" w:after="40"/>
              <w:jc w:val="left"/>
            </w:pPr>
            <w:r>
              <w:rPr>
                <w:rFonts w:ascii="Times New Roman" w:hAnsi="Times New Roman" w:eastAsia="Times New Roman"/>
                <w:b w:val="0"/>
                <w:i w:val="0"/>
                <w:sz w:val="21"/>
              </w:rPr>
              <w:t>Scénarios alternatifs</w:t>
            </w:r>
          </w:p>
        </w:tc>
        <w:tc>
          <w:tcPr>
            <w:tcW w:type="dxa" w:w="6860"/>
          </w:tcPr>
          <w:p>
            <w:pPr>
              <w:spacing w:line="240" w:lineRule="auto" w:after="40"/>
              <w:jc w:val="left"/>
            </w:pPr>
            <w:r>
              <w:rPr>
                <w:rFonts w:ascii="Times New Roman" w:hAnsi="Times New Roman" w:eastAsia="Times New Roman"/>
                <w:b w:val="0"/>
                <w:i w:val="0"/>
                <w:sz w:val="21"/>
              </w:rPr>
              <w:t>3a. Le montant dépasse le solde restant : la saisie est refusée avec un message explicite.</w:t>
              <w:br/>
              <w:t>5a. L’envoi du courriel échoue : le paiement reste enregistré et le reçu reste téléchargeable.</w:t>
            </w:r>
          </w:p>
        </w:tc>
      </w:tr>
      <w:tr>
        <w:tc>
          <w:tcPr>
            <w:tcW w:type="dxa" w:w="1928"/>
          </w:tcPr>
          <w:p>
            <w:pPr>
              <w:spacing w:line="240" w:lineRule="auto" w:after="40"/>
              <w:jc w:val="left"/>
            </w:pPr>
            <w:r>
              <w:rPr>
                <w:rFonts w:ascii="Times New Roman" w:hAnsi="Times New Roman" w:eastAsia="Times New Roman"/>
                <w:b w:val="0"/>
                <w:i w:val="0"/>
                <w:sz w:val="21"/>
              </w:rPr>
              <w:t>Postconditions</w:t>
            </w:r>
          </w:p>
        </w:tc>
        <w:tc>
          <w:tcPr>
            <w:tcW w:type="dxa" w:w="6860"/>
          </w:tcPr>
          <w:p>
            <w:pPr>
              <w:spacing w:line="240" w:lineRule="auto" w:after="40"/>
              <w:jc w:val="left"/>
            </w:pPr>
            <w:r>
              <w:rPr>
                <w:rFonts w:ascii="Times New Roman" w:hAnsi="Times New Roman" w:eastAsia="Times New Roman"/>
                <w:b w:val="0"/>
                <w:i w:val="0"/>
                <w:sz w:val="21"/>
              </w:rPr>
              <w:t>Le versement est enregistré ; le solde est à jour ; le reçu porte un numéro unique.</w:t>
            </w:r>
          </w:p>
        </w:tc>
      </w:tr>
    </w:tbl>
    <w:p>
      <w:pPr>
        <w:spacing w:after="240" w:line="240" w:lineRule="auto"/>
        <w:jc w:val="right"/>
      </w:pPr>
      <w:r>
        <w:rPr>
          <w:rFonts w:ascii="Times New Roman" w:hAnsi="Times New Roman" w:eastAsia="Times New Roman"/>
          <w:b w:val="0"/>
          <w:i/>
          <w:color w:val="444444"/>
          <w:sz w:val="20"/>
        </w:rPr>
        <w:t>Source : Les auteurs</w:t>
      </w:r>
    </w:p>
    <w:p>
      <w:pPr>
        <w:pStyle w:val="Heading3"/>
        <w:jc w:val="left"/>
      </w:pPr>
      <w:r>
        <w:rPr>
          <w:rFonts w:ascii="Times New Roman" w:hAnsi="Times New Roman" w:eastAsia="Times New Roman"/>
          <w:b/>
          <w:i w:val="0"/>
          <w:color w:val="2E4474"/>
          <w:sz w:val="24"/>
        </w:rPr>
        <w:t>2.3.3. Diagramme de classes</w:t>
      </w:r>
    </w:p>
    <w:p>
      <w:pPr>
        <w:spacing w:before="0" w:line="360" w:lineRule="auto"/>
        <w:jc w:val="both"/>
      </w:pPr>
      <w:r>
        <w:rPr>
          <w:rFonts w:ascii="Times New Roman" w:hAnsi="Times New Roman" w:eastAsia="Times New Roman"/>
          <w:b w:val="0"/>
          <w:i w:val="0"/>
          <w:sz w:val="24"/>
        </w:rPr>
        <w:t>Le modèle est présenté en deux planches. La première réunit le noyau pédagogique : de la classe à la note.</w:t>
      </w:r>
    </w:p>
    <w:p>
      <w:pPr>
        <w:spacing w:before="200" w:after="40" w:line="240" w:lineRule="auto"/>
        <w:jc w:val="center"/>
      </w:pPr>
      <w:r>
        <w:drawing>
          <wp:inline xmlns:a="http://schemas.openxmlformats.org/drawingml/2006/main" xmlns:pic="http://schemas.openxmlformats.org/drawingml/2006/picture">
            <wp:extent cx="5731200" cy="2761764"/>
            <wp:docPr id="5" name="Picture 5"/>
            <wp:cNvGraphicFramePr>
              <a:graphicFrameLocks noChangeAspect="1"/>
            </wp:cNvGraphicFramePr>
            <a:graphic>
              <a:graphicData uri="http://schemas.openxmlformats.org/drawingml/2006/picture">
                <pic:pic>
                  <pic:nvPicPr>
                    <pic:cNvPr id="0" name="06-classes-pedagogie.png"/>
                    <pic:cNvPicPr/>
                  </pic:nvPicPr>
                  <pic:blipFill>
                    <a:blip r:embed="rId18"/>
                    <a:stretch>
                      <a:fillRect/>
                    </a:stretch>
                  </pic:blipFill>
                  <pic:spPr>
                    <a:xfrm>
                      <a:off x="0" y="0"/>
                      <a:ext cx="5731200" cy="2761764"/>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Diagramme de classes — structure pédagogique</w:t>
      </w:r>
    </w:p>
    <w:p>
      <w:pPr>
        <w:spacing w:before="0" w:line="360" w:lineRule="auto"/>
        <w:jc w:val="both"/>
      </w:pPr>
      <w:r>
        <w:rPr>
          <w:rFonts w:ascii="Times New Roman" w:hAnsi="Times New Roman" w:eastAsia="Times New Roman"/>
          <w:b w:val="0"/>
          <w:i w:val="0"/>
          <w:sz w:val="24"/>
        </w:rPr>
        <w:t>La notation « / » devant un attribut signale une donnée calculée. Les crédits d’une matière se déduisent de son coefficient, et ceux d’une unité de la somme de ses matières : aucun des deux n’est saisi, ce qui supprime tout risque de contradiction entre deux sources.</w:t>
      </w:r>
    </w:p>
    <w:p>
      <w:pPr>
        <w:spacing w:before="200" w:after="40" w:line="240" w:lineRule="auto"/>
        <w:jc w:val="center"/>
      </w:pPr>
      <w:r>
        <w:drawing>
          <wp:inline xmlns:a="http://schemas.openxmlformats.org/drawingml/2006/main" xmlns:pic="http://schemas.openxmlformats.org/drawingml/2006/picture">
            <wp:extent cx="5731200" cy="3390937"/>
            <wp:docPr id="6" name="Picture 6"/>
            <wp:cNvGraphicFramePr>
              <a:graphicFrameLocks noChangeAspect="1"/>
            </wp:cNvGraphicFramePr>
            <a:graphic>
              <a:graphicData uri="http://schemas.openxmlformats.org/drawingml/2006/picture">
                <pic:pic>
                  <pic:nvPicPr>
                    <pic:cNvPr id="0" name="07-classes-vie-scolaire.png"/>
                    <pic:cNvPicPr/>
                  </pic:nvPicPr>
                  <pic:blipFill>
                    <a:blip r:embed="rId19"/>
                    <a:stretch>
                      <a:fillRect/>
                    </a:stretch>
                  </pic:blipFill>
                  <pic:spPr>
                    <a:xfrm>
                      <a:off x="0" y="0"/>
                      <a:ext cx="5731200" cy="3390937"/>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Diagramme de classes — vie scolaire et comptabilité</w:t>
      </w:r>
    </w:p>
    <w:p>
      <w:pPr>
        <w:spacing w:before="0" w:line="360" w:lineRule="auto"/>
        <w:jc w:val="both"/>
      </w:pPr>
      <w:r>
        <w:rPr>
          <w:rFonts w:ascii="Times New Roman" w:hAnsi="Times New Roman" w:eastAsia="Times New Roman"/>
          <w:b w:val="0"/>
          <w:i w:val="0"/>
          <w:sz w:val="24"/>
        </w:rPr>
        <w:t>Le même principe s’applique à la comptabilité : le montant payé et le solde se déduisent des versements enregistrés, et ne sont jamais recopiés dans le dossier de l’étudiant.</w:t>
      </w:r>
    </w:p>
    <w:p>
      <w:pPr>
        <w:pStyle w:val="Heading3"/>
        <w:jc w:val="left"/>
      </w:pPr>
      <w:r>
        <w:rPr>
          <w:rFonts w:ascii="Times New Roman" w:hAnsi="Times New Roman" w:eastAsia="Times New Roman"/>
          <w:b/>
          <w:i w:val="0"/>
          <w:color w:val="2E4474"/>
          <w:sz w:val="24"/>
        </w:rPr>
        <w:t>2.3.4. Diagrammes de séquence</w:t>
      </w:r>
    </w:p>
    <w:p>
      <w:pPr>
        <w:spacing w:before="0" w:line="360" w:lineRule="auto"/>
        <w:jc w:val="both"/>
      </w:pPr>
      <w:r>
        <w:rPr>
          <w:rFonts w:ascii="Times New Roman" w:hAnsi="Times New Roman" w:eastAsia="Times New Roman"/>
          <w:b w:val="0"/>
          <w:i w:val="0"/>
          <w:sz w:val="24"/>
        </w:rPr>
        <w:t>Trois enchaînements méritent d’être détaillés : la connexion, la saisie d’une note et la consultation d’un bulletin.</w:t>
      </w:r>
    </w:p>
    <w:p>
      <w:pPr>
        <w:spacing w:before="200" w:after="40" w:line="240" w:lineRule="auto"/>
        <w:jc w:val="center"/>
      </w:pPr>
      <w:r>
        <w:drawing>
          <wp:inline xmlns:a="http://schemas.openxmlformats.org/drawingml/2006/main" xmlns:pic="http://schemas.openxmlformats.org/drawingml/2006/picture">
            <wp:extent cx="5731200" cy="3460231"/>
            <wp:docPr id="7" name="Picture 7"/>
            <wp:cNvGraphicFramePr>
              <a:graphicFrameLocks noChangeAspect="1"/>
            </wp:cNvGraphicFramePr>
            <a:graphic>
              <a:graphicData uri="http://schemas.openxmlformats.org/drawingml/2006/picture">
                <pic:pic>
                  <pic:nvPicPr>
                    <pic:cNvPr id="0" name="08-sequence-authentification.png"/>
                    <pic:cNvPicPr/>
                  </pic:nvPicPr>
                  <pic:blipFill>
                    <a:blip r:embed="rId20"/>
                    <a:stretch>
                      <a:fillRect/>
                    </a:stretch>
                  </pic:blipFill>
                  <pic:spPr>
                    <a:xfrm>
                      <a:off x="0" y="0"/>
                      <a:ext cx="5731200" cy="3460231"/>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Diagramme de séquence — authentification d’un utilisateur</w:t>
      </w:r>
    </w:p>
    <w:p>
      <w:pPr>
        <w:spacing w:before="0" w:line="360" w:lineRule="auto"/>
        <w:jc w:val="both"/>
      </w:pPr>
      <w:r>
        <w:rPr>
          <w:rFonts w:ascii="Times New Roman" w:hAnsi="Times New Roman" w:eastAsia="Times New Roman"/>
          <w:b w:val="0"/>
          <w:i w:val="0"/>
          <w:sz w:val="24"/>
        </w:rPr>
        <w:t>Le mot de passe n’est jamais conservé en clair : seule son empreinte est stockée, et la comparaison se fait sur cette empreinte. La connexion délivre deux jetons de portée différente — l’un court, employé à chaque requête, l’autre plus long, déposé dans un témoin inaccessible au script de la page.</w:t>
      </w:r>
    </w:p>
    <w:p>
      <w:pPr>
        <w:spacing w:before="200" w:after="40" w:line="240" w:lineRule="auto"/>
        <w:jc w:val="center"/>
      </w:pPr>
      <w:r>
        <w:drawing>
          <wp:inline xmlns:a="http://schemas.openxmlformats.org/drawingml/2006/main" xmlns:pic="http://schemas.openxmlformats.org/drawingml/2006/picture">
            <wp:extent cx="5731200" cy="3350639"/>
            <wp:docPr id="8" name="Picture 8"/>
            <wp:cNvGraphicFramePr>
              <a:graphicFrameLocks noChangeAspect="1"/>
            </wp:cNvGraphicFramePr>
            <a:graphic>
              <a:graphicData uri="http://schemas.openxmlformats.org/drawingml/2006/picture">
                <pic:pic>
                  <pic:nvPicPr>
                    <pic:cNvPr id="0" name="09-sequence-saisie-note.png"/>
                    <pic:cNvPicPr/>
                  </pic:nvPicPr>
                  <pic:blipFill>
                    <a:blip r:embed="rId21"/>
                    <a:stretch>
                      <a:fillRect/>
                    </a:stretch>
                  </pic:blipFill>
                  <pic:spPr>
                    <a:xfrm>
                      <a:off x="0" y="0"/>
                      <a:ext cx="5731200" cy="3350639"/>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Diagramme de séquence — saisie assistée des notes</w:t>
      </w:r>
    </w:p>
    <w:p>
      <w:pPr>
        <w:spacing w:before="0" w:line="360" w:lineRule="auto"/>
        <w:jc w:val="both"/>
      </w:pPr>
      <w:r>
        <w:rPr>
          <w:rFonts w:ascii="Times New Roman" w:hAnsi="Times New Roman" w:eastAsia="Times New Roman"/>
          <w:b w:val="0"/>
          <w:i w:val="0"/>
          <w:sz w:val="24"/>
        </w:rPr>
        <w:t>La grille est pré-remplie : le professeur n’a pas à chercher la liste de ses étudiants ni à retrouver les notes déjà saisies. Le contrôle d’habilitation est fait par le serveur au moment de l’enregistrement, et non par l’interface au moment de l’affichage.</w:t>
      </w:r>
    </w:p>
    <w:p>
      <w:pPr>
        <w:spacing w:before="200" w:after="40" w:line="240" w:lineRule="auto"/>
        <w:jc w:val="center"/>
      </w:pPr>
      <w:r>
        <w:drawing>
          <wp:inline xmlns:a="http://schemas.openxmlformats.org/drawingml/2006/main" xmlns:pic="http://schemas.openxmlformats.org/drawingml/2006/picture">
            <wp:extent cx="5731200" cy="3058316"/>
            <wp:docPr id="9" name="Picture 9"/>
            <wp:cNvGraphicFramePr>
              <a:graphicFrameLocks noChangeAspect="1"/>
            </wp:cNvGraphicFramePr>
            <a:graphic>
              <a:graphicData uri="http://schemas.openxmlformats.org/drawingml/2006/picture">
                <pic:pic>
                  <pic:nvPicPr>
                    <pic:cNvPr id="0" name="10-sequence-bulletin.png"/>
                    <pic:cNvPicPr/>
                  </pic:nvPicPr>
                  <pic:blipFill>
                    <a:blip r:embed="rId22"/>
                    <a:stretch>
                      <a:fillRect/>
                    </a:stretch>
                  </pic:blipFill>
                  <pic:spPr>
                    <a:xfrm>
                      <a:off x="0" y="0"/>
                      <a:ext cx="5731200" cy="3058316"/>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Diagramme de séquence — consultation d’un bulletin</w:t>
      </w:r>
    </w:p>
    <w:p>
      <w:pPr>
        <w:spacing w:before="0" w:line="360" w:lineRule="auto"/>
        <w:jc w:val="both"/>
      </w:pPr>
      <w:r>
        <w:rPr>
          <w:rFonts w:ascii="Times New Roman" w:hAnsi="Times New Roman" w:eastAsia="Times New Roman"/>
          <w:b w:val="0"/>
          <w:i w:val="0"/>
          <w:sz w:val="24"/>
        </w:rPr>
        <w:t>Ce dernier diagramme illustre le principe posé au chapitre précédent : le bulletin est assemblé à la demande, à partir des notes et des unités d’enseignement, par un service de calcul qui ne touche pas à la base.</w:t>
      </w:r>
    </w:p>
    <w:p>
      <w:pPr>
        <w:pStyle w:val="Heading3"/>
        <w:jc w:val="left"/>
      </w:pPr>
      <w:r>
        <w:rPr>
          <w:rFonts w:ascii="Times New Roman" w:hAnsi="Times New Roman" w:eastAsia="Times New Roman"/>
          <w:b/>
          <w:i w:val="0"/>
          <w:color w:val="2E4474"/>
          <w:sz w:val="24"/>
        </w:rPr>
        <w:t>2.3.5. Diagramme d’activité</w:t>
      </w:r>
    </w:p>
    <w:p>
      <w:pPr>
        <w:spacing w:before="200" w:after="40" w:line="240" w:lineRule="auto"/>
        <w:jc w:val="center"/>
      </w:pPr>
      <w:r>
        <w:drawing>
          <wp:inline xmlns:a="http://schemas.openxmlformats.org/drawingml/2006/main" xmlns:pic="http://schemas.openxmlformats.org/drawingml/2006/picture">
            <wp:extent cx="5731200" cy="6426005"/>
            <wp:docPr id="10" name="Picture 10"/>
            <wp:cNvGraphicFramePr>
              <a:graphicFrameLocks noChangeAspect="1"/>
            </wp:cNvGraphicFramePr>
            <a:graphic>
              <a:graphicData uri="http://schemas.openxmlformats.org/drawingml/2006/picture">
                <pic:pic>
                  <pic:nvPicPr>
                    <pic:cNvPr id="0" name="11-activite-inscription.png"/>
                    <pic:cNvPicPr/>
                  </pic:nvPicPr>
                  <pic:blipFill>
                    <a:blip r:embed="rId23"/>
                    <a:stretch>
                      <a:fillRect/>
                    </a:stretch>
                  </pic:blipFill>
                  <pic:spPr>
                    <a:xfrm>
                      <a:off x="0" y="0"/>
                      <a:ext cx="5731200" cy="6426005"/>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Diagramme d’activité — de l’inscription au reçu de paiement</w:t>
      </w:r>
    </w:p>
    <w:p>
      <w:pPr>
        <w:spacing w:before="0" w:line="360" w:lineRule="auto"/>
        <w:jc w:val="both"/>
      </w:pPr>
      <w:r>
        <w:rPr>
          <w:rFonts w:ascii="Times New Roman" w:hAnsi="Times New Roman" w:eastAsia="Times New Roman"/>
          <w:b w:val="0"/>
          <w:i w:val="0"/>
          <w:sz w:val="24"/>
        </w:rPr>
        <w:t>Le parcours part de la saisie du dossier et aboutit, selon que le versement a été reçu ou non, soit à l’édition d’un reçu et à l’envoi d’un courriel, soit à l’inscription au suivi des impayés.</w:t>
      </w:r>
    </w:p>
    <w:p>
      <w:pPr>
        <w:pStyle w:val="Heading3"/>
        <w:jc w:val="left"/>
      </w:pPr>
      <w:r>
        <w:rPr>
          <w:rFonts w:ascii="Times New Roman" w:hAnsi="Times New Roman" w:eastAsia="Times New Roman"/>
          <w:b/>
          <w:i w:val="0"/>
          <w:color w:val="2E4474"/>
          <w:sz w:val="24"/>
        </w:rPr>
        <w:t>2.3.6. Architecture et déploiement</w:t>
      </w:r>
    </w:p>
    <w:p>
      <w:pPr>
        <w:spacing w:before="0" w:line="360" w:lineRule="auto"/>
        <w:jc w:val="both"/>
      </w:pPr>
      <w:r>
        <w:rPr>
          <w:rFonts w:ascii="Times New Roman" w:hAnsi="Times New Roman" w:eastAsia="Times New Roman"/>
          <w:b w:val="0"/>
          <w:i w:val="0"/>
          <w:sz w:val="24"/>
        </w:rPr>
        <w:t>L’application est organisée en trois couches nettement séparées.</w:t>
      </w:r>
    </w:p>
    <w:p>
      <w:pPr>
        <w:spacing w:before="200" w:after="40" w:line="240" w:lineRule="auto"/>
        <w:jc w:val="center"/>
      </w:pPr>
      <w:r>
        <w:drawing>
          <wp:inline xmlns:a="http://schemas.openxmlformats.org/drawingml/2006/main" xmlns:pic="http://schemas.openxmlformats.org/drawingml/2006/picture">
            <wp:extent cx="5731200" cy="4311460"/>
            <wp:docPr id="11" name="Picture 11"/>
            <wp:cNvGraphicFramePr>
              <a:graphicFrameLocks noChangeAspect="1"/>
            </wp:cNvGraphicFramePr>
            <a:graphic>
              <a:graphicData uri="http://schemas.openxmlformats.org/drawingml/2006/picture">
                <pic:pic>
                  <pic:nvPicPr>
                    <pic:cNvPr id="0" name="01-architecture.png"/>
                    <pic:cNvPicPr/>
                  </pic:nvPicPr>
                  <pic:blipFill>
                    <a:blip r:embed="rId24"/>
                    <a:stretch>
                      <a:fillRect/>
                    </a:stretch>
                  </pic:blipFill>
                  <pic:spPr>
                    <a:xfrm>
                      <a:off x="0" y="0"/>
                      <a:ext cx="5731200" cy="4311460"/>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Architecture logique en trois couches</w:t>
      </w:r>
    </w:p>
    <w:p>
      <w:pPr>
        <w:spacing w:before="0" w:line="360" w:lineRule="auto"/>
        <w:jc w:val="both"/>
      </w:pPr>
      <w:r>
        <w:rPr>
          <w:rFonts w:ascii="Times New Roman" w:hAnsi="Times New Roman" w:eastAsia="Times New Roman"/>
          <w:b w:val="0"/>
          <w:i w:val="0"/>
          <w:sz w:val="24"/>
        </w:rPr>
        <w:t>La couche de présentation s’exécute dans le navigateur. La couche métier reçoit les requêtes, vérifie les droits, applique les règles et produit les documents. La couche de données conserve l’information. Les services de calcul y figurent à part : ce sont les modules purs évoqués en introduction.</w:t>
      </w:r>
    </w:p>
    <w:p>
      <w:pPr>
        <w:spacing w:before="200" w:after="40" w:line="240" w:lineRule="auto"/>
        <w:jc w:val="center"/>
      </w:pPr>
      <w:r>
        <w:drawing>
          <wp:inline xmlns:a="http://schemas.openxmlformats.org/drawingml/2006/main" xmlns:pic="http://schemas.openxmlformats.org/drawingml/2006/picture">
            <wp:extent cx="5731200" cy="3742950"/>
            <wp:docPr id="12" name="Picture 12"/>
            <wp:cNvGraphicFramePr>
              <a:graphicFrameLocks noChangeAspect="1"/>
            </wp:cNvGraphicFramePr>
            <a:graphic>
              <a:graphicData uri="http://schemas.openxmlformats.org/drawingml/2006/picture">
                <pic:pic>
                  <pic:nvPicPr>
                    <pic:cNvPr id="0" name="02-deploiement.png"/>
                    <pic:cNvPicPr/>
                  </pic:nvPicPr>
                  <pic:blipFill>
                    <a:blip r:embed="rId25"/>
                    <a:stretch>
                      <a:fillRect/>
                    </a:stretch>
                  </pic:blipFill>
                  <pic:spPr>
                    <a:xfrm>
                      <a:off x="0" y="0"/>
                      <a:ext cx="5731200" cy="3742950"/>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Diagramme de déploiement</w:t>
      </w:r>
    </w:p>
    <w:p>
      <w:pPr>
        <w:spacing w:before="0" w:line="360" w:lineRule="auto"/>
        <w:jc w:val="both"/>
      </w:pPr>
      <w:r>
        <w:rPr>
          <w:rFonts w:ascii="Times New Roman" w:hAnsi="Times New Roman" w:eastAsia="Times New Roman"/>
          <w:b w:val="0"/>
          <w:i w:val="0"/>
          <w:sz w:val="24"/>
        </w:rPr>
        <w:t>Le site public et l’application sont servis par un hébergeur spécialisé dans la diffusion de fichiers ; l’API tourne sur un hébergeur applicatif ; la base est une grappe répliquée avec sauvegardes automatiques. Chaque envoi de code sur le dépôt déclenche un nouveau déploiement.</w:t>
      </w:r>
    </w:p>
    <w:p>
      <w:pPr>
        <w:pStyle w:val="Heading2"/>
        <w:jc w:val="left"/>
      </w:pPr>
      <w:r>
        <w:rPr>
          <w:rFonts w:ascii="Times New Roman" w:hAnsi="Times New Roman" w:eastAsia="Times New Roman"/>
          <w:b/>
          <w:i w:val="0"/>
          <w:color w:val="2E4474"/>
          <w:sz w:val="28"/>
        </w:rPr>
        <w:t>2.4. Conception de la base de données</w:t>
      </w:r>
    </w:p>
    <w:p>
      <w:pPr>
        <w:spacing w:before="0" w:line="360" w:lineRule="auto"/>
        <w:jc w:val="both"/>
      </w:pPr>
      <w:r>
        <w:rPr>
          <w:rFonts w:ascii="Times New Roman" w:hAnsi="Times New Roman" w:eastAsia="Times New Roman"/>
          <w:b w:val="0"/>
          <w:i w:val="0"/>
          <w:sz w:val="24"/>
        </w:rPr>
        <w:t>La base retenue est orientée documents. Ce choix s’explique par la nature des données : un dossier d’étudiant comporte des sous-ensembles facultatifs — informations de scolarité pour un étudiant, informations d’emploi pour un membre du personnel — que l’on décrit naturellement comme des documents imbriqués.</w:t>
      </w:r>
    </w:p>
    <w:p>
      <w:pPr>
        <w:spacing w:before="0" w:line="360" w:lineRule="auto"/>
        <w:jc w:val="both"/>
      </w:pPr>
      <w:r>
        <w:rPr>
          <w:rFonts w:ascii="Times New Roman" w:hAnsi="Times New Roman" w:eastAsia="Times New Roman"/>
          <w:b w:val="0"/>
          <w:i w:val="0"/>
          <w:sz w:val="24"/>
        </w:rPr>
        <w:t>Dix-huit collections composent la base. Les relations entre elles sont exprimées par des références, et des index sont posés sur les champs qui servent à filtrer : le rôle d’un compte, la classe d’une matière, le semestre d’une note.</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Principales collections de la base de données</w:t>
      </w:r>
    </w:p>
    <w:tbl>
      <w:tblPr>
        <w:tblStyle w:val="TableGrid"/>
        <w:tblW w:type="auto" w:w="0"/>
        <w:jc w:val="center"/>
        <w:tblLook w:firstColumn="1" w:firstRow="1" w:lastColumn="0" w:lastRow="0" w:noHBand="0" w:noVBand="1" w:val="04A0"/>
      </w:tblPr>
      <w:tblGrid>
        <w:gridCol w:w="3120"/>
        <w:gridCol w:w="3120"/>
        <w:gridCol w:w="3120"/>
      </w:tblGrid>
      <w:tr>
        <w:tc>
          <w:tcPr>
            <w:tcW w:type="dxa" w:w="2041"/>
            <w:shd w:val="clear" w:fill="DCE3EE"/>
          </w:tcPr>
          <w:p>
            <w:pPr>
              <w:spacing w:line="240" w:lineRule="auto" w:after="40"/>
              <w:jc w:val="center"/>
            </w:pPr>
            <w:r>
              <w:rPr>
                <w:rFonts w:ascii="Times New Roman" w:hAnsi="Times New Roman" w:eastAsia="Times New Roman"/>
                <w:b/>
                <w:i w:val="0"/>
                <w:sz w:val="21"/>
              </w:rPr>
              <w:t>Collection</w:t>
            </w:r>
          </w:p>
        </w:tc>
        <w:tc>
          <w:tcPr>
            <w:tcW w:type="dxa" w:w="3515"/>
            <w:shd w:val="clear" w:fill="DCE3EE"/>
          </w:tcPr>
          <w:p>
            <w:pPr>
              <w:spacing w:line="240" w:lineRule="auto" w:after="40"/>
              <w:jc w:val="center"/>
            </w:pPr>
            <w:r>
              <w:rPr>
                <w:rFonts w:ascii="Times New Roman" w:hAnsi="Times New Roman" w:eastAsia="Times New Roman"/>
                <w:b/>
                <w:i w:val="0"/>
                <w:sz w:val="21"/>
              </w:rPr>
              <w:t>Contenu</w:t>
            </w:r>
          </w:p>
        </w:tc>
        <w:tc>
          <w:tcPr>
            <w:tcW w:type="dxa" w:w="3231"/>
            <w:shd w:val="clear" w:fill="DCE3EE"/>
          </w:tcPr>
          <w:p>
            <w:pPr>
              <w:spacing w:line="240" w:lineRule="auto" w:after="40"/>
              <w:jc w:val="center"/>
            </w:pPr>
            <w:r>
              <w:rPr>
                <w:rFonts w:ascii="Times New Roman" w:hAnsi="Times New Roman" w:eastAsia="Times New Roman"/>
                <w:b/>
                <w:i w:val="0"/>
                <w:sz w:val="21"/>
              </w:rPr>
              <w:t>Contraintes notables</w:t>
            </w:r>
          </w:p>
        </w:tc>
      </w:tr>
      <w:tr>
        <w:tc>
          <w:tcPr>
            <w:tcW w:type="dxa" w:w="2041"/>
          </w:tcPr>
          <w:p>
            <w:pPr>
              <w:spacing w:line="240" w:lineRule="auto" w:after="40"/>
              <w:jc w:val="center"/>
            </w:pPr>
            <w:r>
              <w:rPr>
                <w:rFonts w:ascii="Times New Roman" w:hAnsi="Times New Roman" w:eastAsia="Times New Roman"/>
                <w:b w:val="0"/>
                <w:i w:val="0"/>
                <w:sz w:val="21"/>
              </w:rPr>
              <w:t>users</w:t>
            </w:r>
          </w:p>
        </w:tc>
        <w:tc>
          <w:tcPr>
            <w:tcW w:type="dxa" w:w="3515"/>
          </w:tcPr>
          <w:p>
            <w:pPr>
              <w:spacing w:line="240" w:lineRule="auto" w:after="40"/>
              <w:jc w:val="left"/>
            </w:pPr>
            <w:r>
              <w:rPr>
                <w:rFonts w:ascii="Times New Roman" w:hAnsi="Times New Roman" w:eastAsia="Times New Roman"/>
                <w:b w:val="0"/>
                <w:i w:val="0"/>
                <w:sz w:val="21"/>
              </w:rPr>
              <w:t>Tous les comptes, quel que soit le rôle</w:t>
            </w:r>
          </w:p>
        </w:tc>
        <w:tc>
          <w:tcPr>
            <w:tcW w:type="dxa" w:w="3231"/>
          </w:tcPr>
          <w:p>
            <w:pPr>
              <w:spacing w:line="240" w:lineRule="auto" w:after="40"/>
              <w:jc w:val="left"/>
            </w:pPr>
            <w:r>
              <w:rPr>
                <w:rFonts w:ascii="Times New Roman" w:hAnsi="Times New Roman" w:eastAsia="Times New Roman"/>
                <w:b w:val="0"/>
                <w:i w:val="0"/>
                <w:sz w:val="21"/>
              </w:rPr>
              <w:t>Matricule et adresse électronique uniques ; mot de passe haché ; rôle obligatoire</w:t>
            </w:r>
          </w:p>
        </w:tc>
      </w:tr>
      <w:tr>
        <w:tc>
          <w:tcPr>
            <w:tcW w:type="dxa" w:w="2041"/>
          </w:tcPr>
          <w:p>
            <w:pPr>
              <w:spacing w:line="240" w:lineRule="auto" w:after="40"/>
              <w:jc w:val="left"/>
            </w:pPr>
            <w:r>
              <w:rPr>
                <w:rFonts w:ascii="Times New Roman" w:hAnsi="Times New Roman" w:eastAsia="Times New Roman"/>
                <w:b w:val="0"/>
                <w:i w:val="0"/>
                <w:sz w:val="21"/>
              </w:rPr>
              <w:t>classes</w:t>
            </w:r>
          </w:p>
        </w:tc>
        <w:tc>
          <w:tcPr>
            <w:tcW w:type="dxa" w:w="3515"/>
          </w:tcPr>
          <w:p>
            <w:pPr>
              <w:spacing w:line="240" w:lineRule="auto" w:after="40"/>
              <w:jc w:val="left"/>
            </w:pPr>
            <w:r>
              <w:rPr>
                <w:rFonts w:ascii="Times New Roman" w:hAnsi="Times New Roman" w:eastAsia="Times New Roman"/>
                <w:b w:val="0"/>
                <w:i w:val="0"/>
                <w:sz w:val="21"/>
              </w:rPr>
              <w:t>Classes par niveau, filière et année</w:t>
            </w:r>
          </w:p>
        </w:tc>
        <w:tc>
          <w:tcPr>
            <w:tcW w:type="dxa" w:w="3231"/>
          </w:tcPr>
          <w:p>
            <w:pPr>
              <w:spacing w:line="240" w:lineRule="auto" w:after="40"/>
              <w:jc w:val="left"/>
            </w:pPr>
            <w:r>
              <w:rPr>
                <w:rFonts w:ascii="Times New Roman" w:hAnsi="Times New Roman" w:eastAsia="Times New Roman"/>
                <w:b w:val="0"/>
                <w:i w:val="0"/>
                <w:sz w:val="21"/>
              </w:rPr>
              <w:t>Nom unique par année scolaire</w:t>
            </w:r>
          </w:p>
        </w:tc>
      </w:tr>
      <w:tr>
        <w:tc>
          <w:tcPr>
            <w:tcW w:type="dxa" w:w="2041"/>
          </w:tcPr>
          <w:p>
            <w:pPr>
              <w:spacing w:line="240" w:lineRule="auto" w:after="40"/>
              <w:jc w:val="left"/>
            </w:pPr>
            <w:r>
              <w:rPr>
                <w:rFonts w:ascii="Times New Roman" w:hAnsi="Times New Roman" w:eastAsia="Times New Roman"/>
                <w:b w:val="0"/>
                <w:i w:val="0"/>
                <w:sz w:val="21"/>
              </w:rPr>
              <w:t>matieres</w:t>
            </w:r>
          </w:p>
        </w:tc>
        <w:tc>
          <w:tcPr>
            <w:tcW w:type="dxa" w:w="3515"/>
          </w:tcPr>
          <w:p>
            <w:pPr>
              <w:spacing w:line="240" w:lineRule="auto" w:after="40"/>
              <w:jc w:val="left"/>
            </w:pPr>
            <w:r>
              <w:rPr>
                <w:rFonts w:ascii="Times New Roman" w:hAnsi="Times New Roman" w:eastAsia="Times New Roman"/>
                <w:b w:val="0"/>
                <w:i w:val="0"/>
                <w:sz w:val="21"/>
              </w:rPr>
              <w:t>Matières, coefficient, type, enseignant</w:t>
            </w:r>
          </w:p>
        </w:tc>
        <w:tc>
          <w:tcPr>
            <w:tcW w:type="dxa" w:w="3231"/>
          </w:tcPr>
          <w:p>
            <w:pPr>
              <w:spacing w:line="240" w:lineRule="auto" w:after="40"/>
              <w:jc w:val="left"/>
            </w:pPr>
            <w:r>
              <w:rPr>
                <w:rFonts w:ascii="Times New Roman" w:hAnsi="Times New Roman" w:eastAsia="Times New Roman"/>
                <w:b w:val="0"/>
                <w:i w:val="0"/>
                <w:sz w:val="21"/>
              </w:rPr>
              <w:t>Crédits déduits du coefficient par le modèle lui-même</w:t>
            </w:r>
          </w:p>
        </w:tc>
      </w:tr>
      <w:tr>
        <w:tc>
          <w:tcPr>
            <w:tcW w:type="dxa" w:w="2041"/>
          </w:tcPr>
          <w:p>
            <w:pPr>
              <w:spacing w:line="240" w:lineRule="auto" w:after="40"/>
              <w:jc w:val="center"/>
            </w:pPr>
            <w:r>
              <w:rPr>
                <w:rFonts w:ascii="Times New Roman" w:hAnsi="Times New Roman" w:eastAsia="Times New Roman"/>
                <w:b w:val="0"/>
                <w:i w:val="0"/>
                <w:sz w:val="21"/>
              </w:rPr>
              <w:t>ues</w:t>
            </w:r>
          </w:p>
        </w:tc>
        <w:tc>
          <w:tcPr>
            <w:tcW w:type="dxa" w:w="3515"/>
          </w:tcPr>
          <w:p>
            <w:pPr>
              <w:spacing w:line="240" w:lineRule="auto" w:after="40"/>
              <w:jc w:val="left"/>
            </w:pPr>
            <w:r>
              <w:rPr>
                <w:rFonts w:ascii="Times New Roman" w:hAnsi="Times New Roman" w:eastAsia="Times New Roman"/>
                <w:b w:val="0"/>
                <w:i w:val="0"/>
                <w:sz w:val="21"/>
              </w:rPr>
              <w:t>Unités d’enseignement d’un semestre</w:t>
            </w:r>
          </w:p>
        </w:tc>
        <w:tc>
          <w:tcPr>
            <w:tcW w:type="dxa" w:w="3231"/>
          </w:tcPr>
          <w:p>
            <w:pPr>
              <w:spacing w:line="240" w:lineRule="auto" w:after="40"/>
              <w:jc w:val="left"/>
            </w:pPr>
            <w:r>
              <w:rPr>
                <w:rFonts w:ascii="Times New Roman" w:hAnsi="Times New Roman" w:eastAsia="Times New Roman"/>
                <w:b w:val="0"/>
                <w:i w:val="0"/>
                <w:sz w:val="21"/>
              </w:rPr>
              <w:t>Code unique par classe et par année ; matières rattachées par référence</w:t>
            </w:r>
          </w:p>
        </w:tc>
      </w:tr>
      <w:tr>
        <w:tc>
          <w:tcPr>
            <w:tcW w:type="dxa" w:w="2041"/>
          </w:tcPr>
          <w:p>
            <w:pPr>
              <w:spacing w:line="240" w:lineRule="auto" w:after="40"/>
              <w:jc w:val="left"/>
            </w:pPr>
            <w:r>
              <w:rPr>
                <w:rFonts w:ascii="Times New Roman" w:hAnsi="Times New Roman" w:eastAsia="Times New Roman"/>
                <w:b w:val="0"/>
                <w:i w:val="0"/>
                <w:sz w:val="21"/>
              </w:rPr>
              <w:t>notematieres</w:t>
            </w:r>
          </w:p>
        </w:tc>
        <w:tc>
          <w:tcPr>
            <w:tcW w:type="dxa" w:w="3515"/>
          </w:tcPr>
          <w:p>
            <w:pPr>
              <w:spacing w:line="240" w:lineRule="auto" w:after="40"/>
              <w:jc w:val="left"/>
            </w:pPr>
            <w:r>
              <w:rPr>
                <w:rFonts w:ascii="Times New Roman" w:hAnsi="Times New Roman" w:eastAsia="Times New Roman"/>
                <w:b w:val="0"/>
                <w:i w:val="0"/>
                <w:sz w:val="21"/>
              </w:rPr>
              <w:t>Note de classe et note d’examen</w:t>
            </w:r>
          </w:p>
        </w:tc>
        <w:tc>
          <w:tcPr>
            <w:tcW w:type="dxa" w:w="3231"/>
          </w:tcPr>
          <w:p>
            <w:pPr>
              <w:spacing w:line="240" w:lineRule="auto" w:after="40"/>
              <w:jc w:val="left"/>
            </w:pPr>
            <w:r>
              <w:rPr>
                <w:rFonts w:ascii="Times New Roman" w:hAnsi="Times New Roman" w:eastAsia="Times New Roman"/>
                <w:b w:val="0"/>
                <w:i w:val="0"/>
                <w:sz w:val="21"/>
              </w:rPr>
              <w:t>Une seule note par étudiant, matière, semestre et année</w:t>
            </w:r>
          </w:p>
        </w:tc>
      </w:tr>
      <w:tr>
        <w:tc>
          <w:tcPr>
            <w:tcW w:type="dxa" w:w="2041"/>
          </w:tcPr>
          <w:p>
            <w:pPr>
              <w:spacing w:line="240" w:lineRule="auto" w:after="40"/>
              <w:jc w:val="left"/>
            </w:pPr>
            <w:r>
              <w:rPr>
                <w:rFonts w:ascii="Times New Roman" w:hAnsi="Times New Roman" w:eastAsia="Times New Roman"/>
                <w:b w:val="0"/>
                <w:i w:val="0"/>
                <w:sz w:val="21"/>
              </w:rPr>
              <w:t>absences</w:t>
            </w:r>
          </w:p>
        </w:tc>
        <w:tc>
          <w:tcPr>
            <w:tcW w:type="dxa" w:w="3515"/>
          </w:tcPr>
          <w:p>
            <w:pPr>
              <w:spacing w:line="240" w:lineRule="auto" w:after="40"/>
              <w:jc w:val="left"/>
            </w:pPr>
            <w:r>
              <w:rPr>
                <w:rFonts w:ascii="Times New Roman" w:hAnsi="Times New Roman" w:eastAsia="Times New Roman"/>
                <w:b w:val="0"/>
                <w:i w:val="0"/>
                <w:sz w:val="21"/>
              </w:rPr>
              <w:t>Absences et retards</w:t>
            </w:r>
          </w:p>
        </w:tc>
        <w:tc>
          <w:tcPr>
            <w:tcW w:type="dxa" w:w="3231"/>
          </w:tcPr>
          <w:p>
            <w:pPr>
              <w:spacing w:line="240" w:lineRule="auto" w:after="40"/>
              <w:jc w:val="left"/>
            </w:pPr>
            <w:r>
              <w:rPr>
                <w:rFonts w:ascii="Times New Roman" w:hAnsi="Times New Roman" w:eastAsia="Times New Roman"/>
                <w:b w:val="0"/>
                <w:i w:val="0"/>
                <w:sz w:val="21"/>
              </w:rPr>
              <w:t>Rattachées à un étudiant et à une séance</w:t>
            </w:r>
          </w:p>
        </w:tc>
      </w:tr>
      <w:tr>
        <w:tc>
          <w:tcPr>
            <w:tcW w:type="dxa" w:w="2041"/>
          </w:tcPr>
          <w:p>
            <w:pPr>
              <w:spacing w:line="240" w:lineRule="auto" w:after="40"/>
              <w:jc w:val="left"/>
            </w:pPr>
            <w:r>
              <w:rPr>
                <w:rFonts w:ascii="Times New Roman" w:hAnsi="Times New Roman" w:eastAsia="Times New Roman"/>
                <w:b w:val="0"/>
                <w:i w:val="0"/>
                <w:sz w:val="21"/>
              </w:rPr>
              <w:t>creneaus</w:t>
            </w:r>
          </w:p>
        </w:tc>
        <w:tc>
          <w:tcPr>
            <w:tcW w:type="dxa" w:w="3515"/>
          </w:tcPr>
          <w:p>
            <w:pPr>
              <w:spacing w:line="240" w:lineRule="auto" w:after="40"/>
              <w:jc w:val="left"/>
            </w:pPr>
            <w:r>
              <w:rPr>
                <w:rFonts w:ascii="Times New Roman" w:hAnsi="Times New Roman" w:eastAsia="Times New Roman"/>
                <w:b w:val="0"/>
                <w:i w:val="0"/>
                <w:sz w:val="21"/>
              </w:rPr>
              <w:t>Créneaux de l’emploi du temps</w:t>
            </w:r>
          </w:p>
        </w:tc>
        <w:tc>
          <w:tcPr>
            <w:tcW w:type="dxa" w:w="3231"/>
          </w:tcPr>
          <w:p>
            <w:pPr>
              <w:spacing w:line="240" w:lineRule="auto" w:after="40"/>
              <w:jc w:val="left"/>
            </w:pPr>
            <w:r>
              <w:rPr>
                <w:rFonts w:ascii="Times New Roman" w:hAnsi="Times New Roman" w:eastAsia="Times New Roman"/>
                <w:b w:val="0"/>
                <w:i w:val="0"/>
                <w:sz w:val="21"/>
              </w:rPr>
              <w:t>Contrôle des conflits de salle et d’enseignant</w:t>
            </w:r>
          </w:p>
        </w:tc>
      </w:tr>
      <w:tr>
        <w:tc>
          <w:tcPr>
            <w:tcW w:type="dxa" w:w="2041"/>
          </w:tcPr>
          <w:p>
            <w:pPr>
              <w:spacing w:line="240" w:lineRule="auto" w:after="40"/>
              <w:jc w:val="left"/>
            </w:pPr>
            <w:r>
              <w:rPr>
                <w:rFonts w:ascii="Times New Roman" w:hAnsi="Times New Roman" w:eastAsia="Times New Roman"/>
                <w:b w:val="0"/>
                <w:i w:val="0"/>
                <w:sz w:val="21"/>
              </w:rPr>
              <w:t>fraisscolarites</w:t>
            </w:r>
          </w:p>
        </w:tc>
        <w:tc>
          <w:tcPr>
            <w:tcW w:type="dxa" w:w="3515"/>
          </w:tcPr>
          <w:p>
            <w:pPr>
              <w:spacing w:line="240" w:lineRule="auto" w:after="40"/>
              <w:jc w:val="left"/>
            </w:pPr>
            <w:r>
              <w:rPr>
                <w:rFonts w:ascii="Times New Roman" w:hAnsi="Times New Roman" w:eastAsia="Times New Roman"/>
                <w:b w:val="0"/>
                <w:i w:val="0"/>
                <w:sz w:val="21"/>
              </w:rPr>
              <w:t>Frais dus par étudiant et par année</w:t>
            </w:r>
          </w:p>
        </w:tc>
        <w:tc>
          <w:tcPr>
            <w:tcW w:type="dxa" w:w="3231"/>
          </w:tcPr>
          <w:p>
            <w:pPr>
              <w:spacing w:line="240" w:lineRule="auto" w:after="40"/>
              <w:jc w:val="left"/>
            </w:pPr>
            <w:r>
              <w:rPr>
                <w:rFonts w:ascii="Times New Roman" w:hAnsi="Times New Roman" w:eastAsia="Times New Roman"/>
                <w:b w:val="0"/>
                <w:i w:val="0"/>
                <w:sz w:val="21"/>
              </w:rPr>
              <w:t>Montant payé et solde jamais stockés</w:t>
            </w:r>
          </w:p>
        </w:tc>
      </w:tr>
      <w:tr>
        <w:tc>
          <w:tcPr>
            <w:tcW w:type="dxa" w:w="2041"/>
          </w:tcPr>
          <w:p>
            <w:pPr>
              <w:spacing w:line="240" w:lineRule="auto" w:after="40"/>
              <w:jc w:val="left"/>
            </w:pPr>
            <w:r>
              <w:rPr>
                <w:rFonts w:ascii="Times New Roman" w:hAnsi="Times New Roman" w:eastAsia="Times New Roman"/>
                <w:b w:val="0"/>
                <w:i w:val="0"/>
                <w:sz w:val="21"/>
              </w:rPr>
              <w:t>paiements</w:t>
            </w:r>
          </w:p>
        </w:tc>
        <w:tc>
          <w:tcPr>
            <w:tcW w:type="dxa" w:w="3515"/>
          </w:tcPr>
          <w:p>
            <w:pPr>
              <w:spacing w:line="240" w:lineRule="auto" w:after="40"/>
              <w:jc w:val="left"/>
            </w:pPr>
            <w:r>
              <w:rPr>
                <w:rFonts w:ascii="Times New Roman" w:hAnsi="Times New Roman" w:eastAsia="Times New Roman"/>
                <w:b w:val="0"/>
                <w:i w:val="0"/>
                <w:sz w:val="21"/>
              </w:rPr>
              <w:t>Versements encaissés</w:t>
            </w:r>
          </w:p>
        </w:tc>
        <w:tc>
          <w:tcPr>
            <w:tcW w:type="dxa" w:w="3231"/>
          </w:tcPr>
          <w:p>
            <w:pPr>
              <w:spacing w:line="240" w:lineRule="auto" w:after="40"/>
              <w:jc w:val="left"/>
            </w:pPr>
            <w:r>
              <w:rPr>
                <w:rFonts w:ascii="Times New Roman" w:hAnsi="Times New Roman" w:eastAsia="Times New Roman"/>
                <w:b w:val="0"/>
                <w:i w:val="0"/>
                <w:sz w:val="21"/>
              </w:rPr>
              <w:t>Numéro de reçu unique</w:t>
            </w:r>
          </w:p>
        </w:tc>
      </w:tr>
      <w:tr>
        <w:tc>
          <w:tcPr>
            <w:tcW w:type="dxa" w:w="2041"/>
          </w:tcPr>
          <w:p>
            <w:pPr>
              <w:spacing w:line="240" w:lineRule="auto" w:after="40"/>
              <w:jc w:val="left"/>
            </w:pPr>
            <w:r>
              <w:rPr>
                <w:rFonts w:ascii="Times New Roman" w:hAnsi="Times New Roman" w:eastAsia="Times New Roman"/>
                <w:b w:val="0"/>
                <w:i w:val="0"/>
                <w:sz w:val="21"/>
              </w:rPr>
              <w:t>typematieres</w:t>
            </w:r>
          </w:p>
        </w:tc>
        <w:tc>
          <w:tcPr>
            <w:tcW w:type="dxa" w:w="3515"/>
          </w:tcPr>
          <w:p>
            <w:pPr>
              <w:spacing w:line="240" w:lineRule="auto" w:after="40"/>
              <w:jc w:val="left"/>
            </w:pPr>
            <w:r>
              <w:rPr>
                <w:rFonts w:ascii="Times New Roman" w:hAnsi="Times New Roman" w:eastAsia="Times New Roman"/>
                <w:b w:val="0"/>
                <w:i w:val="0"/>
                <w:sz w:val="21"/>
              </w:rPr>
              <w:t>Typologie administrable des matières</w:t>
            </w:r>
          </w:p>
        </w:tc>
        <w:tc>
          <w:tcPr>
            <w:tcW w:type="dxa" w:w="3231"/>
          </w:tcPr>
          <w:p>
            <w:pPr>
              <w:spacing w:line="240" w:lineRule="auto" w:after="40"/>
              <w:jc w:val="left"/>
            </w:pPr>
            <w:r>
              <w:rPr>
                <w:rFonts w:ascii="Times New Roman" w:hAnsi="Times New Roman" w:eastAsia="Times New Roman"/>
                <w:b w:val="0"/>
                <w:i w:val="0"/>
                <w:sz w:val="21"/>
              </w:rPr>
              <w:t>Code unique</w:t>
            </w:r>
          </w:p>
        </w:tc>
      </w:tr>
      <w:tr>
        <w:tc>
          <w:tcPr>
            <w:tcW w:type="dxa" w:w="2041"/>
          </w:tcPr>
          <w:p>
            <w:pPr>
              <w:spacing w:line="240" w:lineRule="auto" w:after="40"/>
              <w:jc w:val="left"/>
            </w:pPr>
            <w:r>
              <w:rPr>
                <w:rFonts w:ascii="Times New Roman" w:hAnsi="Times New Roman" w:eastAsia="Times New Roman"/>
                <w:b w:val="0"/>
                <w:i w:val="0"/>
                <w:sz w:val="21"/>
              </w:rPr>
              <w:t>affinitetypes</w:t>
            </w:r>
          </w:p>
        </w:tc>
        <w:tc>
          <w:tcPr>
            <w:tcW w:type="dxa" w:w="3515"/>
          </w:tcPr>
          <w:p>
            <w:pPr>
              <w:spacing w:line="240" w:lineRule="auto" w:after="40"/>
              <w:jc w:val="left"/>
            </w:pPr>
            <w:r>
              <w:rPr>
                <w:rFonts w:ascii="Times New Roman" w:hAnsi="Times New Roman" w:eastAsia="Times New Roman"/>
                <w:b w:val="0"/>
                <w:i w:val="0"/>
                <w:sz w:val="21"/>
              </w:rPr>
              <w:t>Affinités entre types de matières</w:t>
            </w:r>
          </w:p>
        </w:tc>
        <w:tc>
          <w:tcPr>
            <w:tcW w:type="dxa" w:w="3231"/>
          </w:tcPr>
          <w:p>
            <w:pPr>
              <w:spacing w:line="240" w:lineRule="auto" w:after="40"/>
              <w:jc w:val="left"/>
            </w:pPr>
            <w:r>
              <w:rPr>
                <w:rFonts w:ascii="Times New Roman" w:hAnsi="Times New Roman" w:eastAsia="Times New Roman"/>
                <w:b w:val="0"/>
                <w:i w:val="0"/>
                <w:sz w:val="21"/>
              </w:rPr>
              <w:t>Matrice symétrique : le couple est ordonné avant enregistrement</w:t>
            </w:r>
          </w:p>
        </w:tc>
      </w:tr>
      <w:tr>
        <w:tc>
          <w:tcPr>
            <w:tcW w:type="dxa" w:w="2041"/>
          </w:tcPr>
          <w:p>
            <w:pPr>
              <w:spacing w:line="240" w:lineRule="auto" w:after="40"/>
              <w:jc w:val="left"/>
            </w:pPr>
            <w:r>
              <w:rPr>
                <w:rFonts w:ascii="Times New Roman" w:hAnsi="Times New Roman" w:eastAsia="Times New Roman"/>
                <w:b w:val="0"/>
                <w:i w:val="0"/>
                <w:sz w:val="21"/>
              </w:rPr>
              <w:t>parametrepedagogiques</w:t>
            </w:r>
          </w:p>
        </w:tc>
        <w:tc>
          <w:tcPr>
            <w:tcW w:type="dxa" w:w="3515"/>
          </w:tcPr>
          <w:p>
            <w:pPr>
              <w:spacing w:line="240" w:lineRule="auto" w:after="40"/>
              <w:jc w:val="left"/>
            </w:pPr>
            <w:r>
              <w:rPr>
                <w:rFonts w:ascii="Times New Roman" w:hAnsi="Times New Roman" w:eastAsia="Times New Roman"/>
                <w:b w:val="0"/>
                <w:i w:val="0"/>
                <w:sz w:val="21"/>
              </w:rPr>
              <w:t>Réglages de notation et de crédits</w:t>
            </w:r>
          </w:p>
        </w:tc>
        <w:tc>
          <w:tcPr>
            <w:tcW w:type="dxa" w:w="3231"/>
          </w:tcPr>
          <w:p>
            <w:pPr>
              <w:spacing w:line="240" w:lineRule="auto" w:after="40"/>
              <w:jc w:val="left"/>
            </w:pPr>
            <w:r>
              <w:rPr>
                <w:rFonts w:ascii="Times New Roman" w:hAnsi="Times New Roman" w:eastAsia="Times New Roman"/>
                <w:b w:val="0"/>
                <w:i w:val="0"/>
                <w:sz w:val="21"/>
              </w:rPr>
              <w:t>Document unique ; validation appliquée même en modification directe</w:t>
            </w:r>
          </w:p>
        </w:tc>
      </w:tr>
    </w:tbl>
    <w:p>
      <w:pPr>
        <w:spacing w:after="240" w:line="240" w:lineRule="auto"/>
        <w:jc w:val="right"/>
      </w:pPr>
      <w:r>
        <w:rPr>
          <w:rFonts w:ascii="Times New Roman" w:hAnsi="Times New Roman" w:eastAsia="Times New Roman"/>
          <w:b w:val="0"/>
          <w:i/>
          <w:color w:val="444444"/>
          <w:sz w:val="20"/>
        </w:rPr>
        <w:t>Source : Les auteurs</w:t>
      </w:r>
    </w:p>
    <w:p>
      <w:pPr>
        <w:pStyle w:val="Heading2"/>
        <w:jc w:val="left"/>
      </w:pPr>
      <w:r>
        <w:rPr>
          <w:rFonts w:ascii="Times New Roman" w:hAnsi="Times New Roman" w:eastAsia="Times New Roman"/>
          <w:b/>
          <w:i w:val="0"/>
          <w:color w:val="2E4474"/>
          <w:sz w:val="28"/>
        </w:rPr>
        <w:t>2.5. Règles de gestion pédagogique</w:t>
      </w:r>
    </w:p>
    <w:p>
      <w:pPr>
        <w:spacing w:before="0" w:line="360" w:lineRule="auto"/>
        <w:jc w:val="both"/>
      </w:pPr>
      <w:r>
        <w:rPr>
          <w:rFonts w:ascii="Times New Roman" w:hAnsi="Times New Roman" w:eastAsia="Times New Roman"/>
          <w:b w:val="0"/>
          <w:i w:val="0"/>
          <w:sz w:val="24"/>
        </w:rPr>
        <w:t>Cette section expose la partie la plus spécifique de la conception. Elle traduit en règles calculables ce que le système LMD énonce en principes.</w:t>
      </w:r>
    </w:p>
    <w:p>
      <w:pPr>
        <w:pStyle w:val="Heading3"/>
        <w:jc w:val="left"/>
      </w:pPr>
      <w:r>
        <w:rPr>
          <w:rFonts w:ascii="Times New Roman" w:hAnsi="Times New Roman" w:eastAsia="Times New Roman"/>
          <w:b/>
          <w:i w:val="0"/>
          <w:color w:val="2E4474"/>
          <w:sz w:val="24"/>
        </w:rPr>
        <w:t>2.5.1. Calcul de la moyenne d’une matière</w:t>
      </w:r>
    </w:p>
    <w:p>
      <w:pPr>
        <w:spacing w:before="0" w:line="360" w:lineRule="auto"/>
        <w:jc w:val="both"/>
      </w:pPr>
      <w:r>
        <w:rPr>
          <w:rFonts w:ascii="Times New Roman" w:hAnsi="Times New Roman" w:eastAsia="Times New Roman"/>
          <w:b w:val="0"/>
          <w:i w:val="0"/>
          <w:sz w:val="24"/>
        </w:rPr>
        <w:t>La moyenne d’une matière combine deux notes seulement : une note de classe, qui résume le travail du semestre, et une note d’examen. L’examen pèse deux fois plus que la classe :</w:t>
      </w:r>
    </w:p>
    <w:p>
      <w:pPr>
        <w:spacing w:before="120" w:line="360" w:lineRule="auto"/>
        <w:jc w:val="center"/>
      </w:pPr>
      <w:r>
        <w:rPr>
          <w:rFonts w:ascii="Times New Roman" w:hAnsi="Times New Roman" w:eastAsia="Times New Roman"/>
          <w:b/>
          <w:i w:val="0"/>
          <w:sz w:val="24"/>
        </w:rPr>
        <w:t>moyenne de la matière = (note de classe + 2 × note d’examen) ÷ 3</w:t>
      </w:r>
    </w:p>
    <w:p>
      <w:pPr>
        <w:spacing w:before="0" w:line="360" w:lineRule="auto"/>
        <w:jc w:val="both"/>
      </w:pPr>
      <w:r>
        <w:rPr>
          <w:rFonts w:ascii="Times New Roman" w:hAnsi="Times New Roman" w:eastAsia="Times New Roman"/>
          <w:b w:val="0"/>
          <w:i w:val="0"/>
          <w:sz w:val="24"/>
        </w:rPr>
        <w:t>Cette pondération n’est pas écrite dans le code : elle est enregistrée comme un réglage modifiable depuis l’application. Si l’établissement décide un jour d’un autre équilibre, il suffit de changer deux nombres, et tous les bulletins suivent.</w:t>
      </w:r>
    </w:p>
    <w:p>
      <w:pPr>
        <w:pStyle w:val="Heading3"/>
        <w:jc w:val="left"/>
      </w:pPr>
      <w:r>
        <w:rPr>
          <w:rFonts w:ascii="Times New Roman" w:hAnsi="Times New Roman" w:eastAsia="Times New Roman"/>
          <w:b/>
          <w:i w:val="0"/>
          <w:color w:val="2E4474"/>
          <w:sz w:val="24"/>
        </w:rPr>
        <w:t>2.5.2. Crédits et unités d’enseignement</w:t>
      </w:r>
    </w:p>
    <w:p>
      <w:pPr>
        <w:spacing w:before="0" w:line="360" w:lineRule="auto"/>
        <w:jc w:val="both"/>
      </w:pPr>
      <w:r>
        <w:rPr>
          <w:rFonts w:ascii="Times New Roman" w:hAnsi="Times New Roman" w:eastAsia="Times New Roman"/>
          <w:b w:val="0"/>
          <w:i w:val="0"/>
          <w:sz w:val="24"/>
        </w:rPr>
        <w:t>Le crédit d’une matière se déduit de son coefficient : une matière dont le coefficient atteint 3 vaut 3 crédits, sinon elle en vaut 2. Le crédit n’est donc jamais saisi à la main — c’est une conséquence du poids pédagogique, et deux sources de vérité finiraient par diverger.</w:t>
      </w:r>
    </w:p>
    <w:p>
      <w:pPr>
        <w:spacing w:before="0" w:line="360" w:lineRule="auto"/>
        <w:jc w:val="both"/>
      </w:pPr>
      <w:r>
        <w:rPr>
          <w:rFonts w:ascii="Times New Roman" w:hAnsi="Times New Roman" w:eastAsia="Times New Roman"/>
          <w:b w:val="0"/>
          <w:i w:val="0"/>
          <w:sz w:val="24"/>
        </w:rPr>
        <w:t>Les unités d’enseignement sont formées de paires de matières de même valeur. Une unité vaut donc 4 crédits (2 + 2) ou 6 crédits (3 + 3). Comme un semestre doit totaliser exactement 30 crédits, seules trois répartitions sont possibles.</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Les trois répartitions qui bouclent un semestre à 30 crédits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14"/>
            <w:shd w:val="clear" w:fill="DCE3EE"/>
          </w:tcPr>
          <w:p>
            <w:pPr>
              <w:spacing w:line="240" w:lineRule="auto" w:after="40"/>
              <w:jc w:val="center"/>
            </w:pPr>
            <w:r>
              <w:rPr>
                <w:rFonts w:ascii="Times New Roman" w:hAnsi="Times New Roman" w:eastAsia="Times New Roman"/>
                <w:b/>
                <w:i w:val="0"/>
                <w:sz w:val="21"/>
              </w:rPr>
              <w:t>Matières à 2 crédits</w:t>
            </w:r>
          </w:p>
        </w:tc>
        <w:tc>
          <w:tcPr>
            <w:tcW w:type="dxa" w:w="1814"/>
            <w:shd w:val="clear" w:fill="DCE3EE"/>
          </w:tcPr>
          <w:p>
            <w:pPr>
              <w:spacing w:line="240" w:lineRule="auto" w:after="40"/>
              <w:jc w:val="center"/>
            </w:pPr>
            <w:r>
              <w:rPr>
                <w:rFonts w:ascii="Times New Roman" w:hAnsi="Times New Roman" w:eastAsia="Times New Roman"/>
                <w:b/>
                <w:i w:val="0"/>
                <w:sz w:val="21"/>
              </w:rPr>
              <w:t>Matières à 3 crédits</w:t>
            </w:r>
          </w:p>
        </w:tc>
        <w:tc>
          <w:tcPr>
            <w:tcW w:type="dxa" w:w="1814"/>
            <w:shd w:val="clear" w:fill="DCE3EE"/>
          </w:tcPr>
          <w:p>
            <w:pPr>
              <w:spacing w:line="240" w:lineRule="auto" w:after="40"/>
              <w:jc w:val="center"/>
            </w:pPr>
            <w:r>
              <w:rPr>
                <w:rFonts w:ascii="Times New Roman" w:hAnsi="Times New Roman" w:eastAsia="Times New Roman"/>
                <w:b/>
                <w:i w:val="0"/>
                <w:sz w:val="21"/>
              </w:rPr>
              <w:t>Total des matières</w:t>
            </w:r>
          </w:p>
        </w:tc>
        <w:tc>
          <w:tcPr>
            <w:tcW w:type="dxa" w:w="1701"/>
            <w:shd w:val="clear" w:fill="DCE3EE"/>
          </w:tcPr>
          <w:p>
            <w:pPr>
              <w:spacing w:line="240" w:lineRule="auto" w:after="40"/>
              <w:jc w:val="center"/>
            </w:pPr>
            <w:r>
              <w:rPr>
                <w:rFonts w:ascii="Times New Roman" w:hAnsi="Times New Roman" w:eastAsia="Times New Roman"/>
                <w:b/>
                <w:i w:val="0"/>
                <w:sz w:val="21"/>
              </w:rPr>
              <w:t>Unités à 4 cr.</w:t>
            </w:r>
          </w:p>
        </w:tc>
        <w:tc>
          <w:tcPr>
            <w:tcW w:type="dxa" w:w="1644"/>
            <w:shd w:val="clear" w:fill="DCE3EE"/>
          </w:tcPr>
          <w:p>
            <w:pPr>
              <w:spacing w:line="240" w:lineRule="auto" w:after="40"/>
              <w:jc w:val="center"/>
            </w:pPr>
            <w:r>
              <w:rPr>
                <w:rFonts w:ascii="Times New Roman" w:hAnsi="Times New Roman" w:eastAsia="Times New Roman"/>
                <w:b/>
                <w:i w:val="0"/>
                <w:sz w:val="21"/>
              </w:rPr>
              <w:t>Unités à 6 cr.</w:t>
            </w:r>
          </w:p>
        </w:tc>
      </w:tr>
      <w:tr>
        <w:tc>
          <w:tcPr>
            <w:tcW w:type="dxa" w:w="1814"/>
          </w:tcPr>
          <w:p>
            <w:pPr>
              <w:spacing w:line="240" w:lineRule="auto" w:after="40"/>
              <w:jc w:val="center"/>
            </w:pPr>
            <w:r>
              <w:rPr>
                <w:rFonts w:ascii="Times New Roman" w:hAnsi="Times New Roman" w:eastAsia="Times New Roman"/>
                <w:b w:val="0"/>
                <w:i w:val="0"/>
                <w:sz w:val="21"/>
              </w:rPr>
              <w:t>0</w:t>
            </w:r>
          </w:p>
        </w:tc>
        <w:tc>
          <w:tcPr>
            <w:tcW w:type="dxa" w:w="1814"/>
          </w:tcPr>
          <w:p>
            <w:pPr>
              <w:spacing w:line="240" w:lineRule="auto" w:after="40"/>
              <w:jc w:val="left"/>
            </w:pPr>
            <w:r>
              <w:rPr>
                <w:rFonts w:ascii="Times New Roman" w:hAnsi="Times New Roman" w:eastAsia="Times New Roman"/>
                <w:b w:val="0"/>
                <w:i w:val="0"/>
                <w:sz w:val="21"/>
              </w:rPr>
              <w:t>10</w:t>
            </w:r>
          </w:p>
        </w:tc>
        <w:tc>
          <w:tcPr>
            <w:tcW w:type="dxa" w:w="1814"/>
          </w:tcPr>
          <w:p>
            <w:pPr>
              <w:spacing w:line="240" w:lineRule="auto" w:after="40"/>
              <w:jc w:val="left"/>
            </w:pPr>
            <w:r>
              <w:rPr>
                <w:rFonts w:ascii="Times New Roman" w:hAnsi="Times New Roman" w:eastAsia="Times New Roman"/>
                <w:b w:val="0"/>
                <w:i w:val="0"/>
                <w:sz w:val="21"/>
              </w:rPr>
              <w:t>10</w:t>
            </w:r>
          </w:p>
        </w:tc>
        <w:tc>
          <w:tcPr>
            <w:tcW w:type="dxa" w:w="1701"/>
          </w:tcPr>
          <w:p>
            <w:pPr>
              <w:spacing w:line="240" w:lineRule="auto" w:after="40"/>
              <w:jc w:val="left"/>
            </w:pPr>
            <w:r>
              <w:rPr>
                <w:rFonts w:ascii="Times New Roman" w:hAnsi="Times New Roman" w:eastAsia="Times New Roman"/>
                <w:b w:val="0"/>
                <w:i w:val="0"/>
                <w:sz w:val="21"/>
              </w:rPr>
              <w:t>0</w:t>
            </w:r>
          </w:p>
        </w:tc>
        <w:tc>
          <w:tcPr>
            <w:tcW w:type="dxa" w:w="1644"/>
          </w:tcPr>
          <w:p>
            <w:pPr>
              <w:spacing w:line="240" w:lineRule="auto" w:after="40"/>
              <w:jc w:val="left"/>
            </w:pPr>
            <w:r>
              <w:rPr>
                <w:rFonts w:ascii="Times New Roman" w:hAnsi="Times New Roman" w:eastAsia="Times New Roman"/>
                <w:b w:val="0"/>
                <w:i w:val="0"/>
                <w:sz w:val="21"/>
              </w:rPr>
              <w:t>5</w:t>
            </w:r>
          </w:p>
        </w:tc>
      </w:tr>
      <w:tr>
        <w:tc>
          <w:tcPr>
            <w:tcW w:type="dxa" w:w="1814"/>
          </w:tcPr>
          <w:p>
            <w:pPr>
              <w:spacing w:line="240" w:lineRule="auto" w:after="40"/>
              <w:jc w:val="center"/>
            </w:pPr>
            <w:r>
              <w:rPr>
                <w:rFonts w:ascii="Times New Roman" w:hAnsi="Times New Roman" w:eastAsia="Times New Roman"/>
                <w:b w:val="0"/>
                <w:i w:val="0"/>
                <w:sz w:val="21"/>
              </w:rPr>
              <w:t>6</w:t>
            </w:r>
          </w:p>
        </w:tc>
        <w:tc>
          <w:tcPr>
            <w:tcW w:type="dxa" w:w="1814"/>
          </w:tcPr>
          <w:p>
            <w:pPr>
              <w:spacing w:line="240" w:lineRule="auto" w:after="40"/>
              <w:jc w:val="left"/>
            </w:pPr>
            <w:r>
              <w:rPr>
                <w:rFonts w:ascii="Times New Roman" w:hAnsi="Times New Roman" w:eastAsia="Times New Roman"/>
                <w:b w:val="0"/>
                <w:i w:val="0"/>
                <w:sz w:val="21"/>
              </w:rPr>
              <w:t>6</w:t>
            </w:r>
          </w:p>
        </w:tc>
        <w:tc>
          <w:tcPr>
            <w:tcW w:type="dxa" w:w="1814"/>
          </w:tcPr>
          <w:p>
            <w:pPr>
              <w:spacing w:line="240" w:lineRule="auto" w:after="40"/>
              <w:jc w:val="left"/>
            </w:pPr>
            <w:r>
              <w:rPr>
                <w:rFonts w:ascii="Times New Roman" w:hAnsi="Times New Roman" w:eastAsia="Times New Roman"/>
                <w:b w:val="0"/>
                <w:i w:val="0"/>
                <w:sz w:val="21"/>
              </w:rPr>
              <w:t>12</w:t>
            </w:r>
          </w:p>
        </w:tc>
        <w:tc>
          <w:tcPr>
            <w:tcW w:type="dxa" w:w="1701"/>
          </w:tcPr>
          <w:p>
            <w:pPr>
              <w:spacing w:line="240" w:lineRule="auto" w:after="40"/>
              <w:jc w:val="left"/>
            </w:pPr>
            <w:r>
              <w:rPr>
                <w:rFonts w:ascii="Times New Roman" w:hAnsi="Times New Roman" w:eastAsia="Times New Roman"/>
                <w:b w:val="0"/>
                <w:i w:val="0"/>
                <w:sz w:val="21"/>
              </w:rPr>
              <w:t>3</w:t>
            </w:r>
          </w:p>
        </w:tc>
        <w:tc>
          <w:tcPr>
            <w:tcW w:type="dxa" w:w="1644"/>
          </w:tcPr>
          <w:p>
            <w:pPr>
              <w:spacing w:line="240" w:lineRule="auto" w:after="40"/>
              <w:jc w:val="left"/>
            </w:pPr>
            <w:r>
              <w:rPr>
                <w:rFonts w:ascii="Times New Roman" w:hAnsi="Times New Roman" w:eastAsia="Times New Roman"/>
                <w:b w:val="0"/>
                <w:i w:val="0"/>
                <w:sz w:val="21"/>
              </w:rPr>
              <w:t>3</w:t>
            </w:r>
          </w:p>
        </w:tc>
      </w:tr>
      <w:tr>
        <w:tc>
          <w:tcPr>
            <w:tcW w:type="dxa" w:w="1814"/>
          </w:tcPr>
          <w:p>
            <w:pPr>
              <w:spacing w:line="240" w:lineRule="auto" w:after="40"/>
              <w:jc w:val="center"/>
            </w:pPr>
            <w:r>
              <w:rPr>
                <w:rFonts w:ascii="Times New Roman" w:hAnsi="Times New Roman" w:eastAsia="Times New Roman"/>
                <w:b w:val="0"/>
                <w:i w:val="0"/>
                <w:sz w:val="21"/>
              </w:rPr>
              <w:t>12</w:t>
            </w:r>
          </w:p>
        </w:tc>
        <w:tc>
          <w:tcPr>
            <w:tcW w:type="dxa" w:w="1814"/>
          </w:tcPr>
          <w:p>
            <w:pPr>
              <w:spacing w:line="240" w:lineRule="auto" w:after="40"/>
              <w:jc w:val="left"/>
            </w:pPr>
            <w:r>
              <w:rPr>
                <w:rFonts w:ascii="Times New Roman" w:hAnsi="Times New Roman" w:eastAsia="Times New Roman"/>
                <w:b w:val="0"/>
                <w:i w:val="0"/>
                <w:sz w:val="21"/>
              </w:rPr>
              <w:t>2</w:t>
            </w:r>
          </w:p>
        </w:tc>
        <w:tc>
          <w:tcPr>
            <w:tcW w:type="dxa" w:w="1814"/>
          </w:tcPr>
          <w:p>
            <w:pPr>
              <w:spacing w:line="240" w:lineRule="auto" w:after="40"/>
              <w:jc w:val="left"/>
            </w:pPr>
            <w:r>
              <w:rPr>
                <w:rFonts w:ascii="Times New Roman" w:hAnsi="Times New Roman" w:eastAsia="Times New Roman"/>
                <w:b w:val="0"/>
                <w:i w:val="0"/>
                <w:sz w:val="21"/>
              </w:rPr>
              <w:t>14</w:t>
            </w:r>
          </w:p>
        </w:tc>
        <w:tc>
          <w:tcPr>
            <w:tcW w:type="dxa" w:w="1701"/>
          </w:tcPr>
          <w:p>
            <w:pPr>
              <w:spacing w:line="240" w:lineRule="auto" w:after="40"/>
              <w:jc w:val="left"/>
            </w:pPr>
            <w:r>
              <w:rPr>
                <w:rFonts w:ascii="Times New Roman" w:hAnsi="Times New Roman" w:eastAsia="Times New Roman"/>
                <w:b w:val="0"/>
                <w:i w:val="0"/>
                <w:sz w:val="21"/>
              </w:rPr>
              <w:t>6</w:t>
            </w:r>
          </w:p>
        </w:tc>
        <w:tc>
          <w:tcPr>
            <w:tcW w:type="dxa" w:w="1644"/>
          </w:tcPr>
          <w:p>
            <w:pPr>
              <w:spacing w:line="240" w:lineRule="auto" w:after="40"/>
              <w:jc w:val="left"/>
            </w:pPr>
            <w:r>
              <w:rPr>
                <w:rFonts w:ascii="Times New Roman" w:hAnsi="Times New Roman" w:eastAsia="Times New Roman"/>
                <w:b w:val="0"/>
                <w:i w:val="0"/>
                <w:sz w:val="21"/>
              </w:rPr>
              <w:t>1</w:t>
            </w:r>
          </w:p>
        </w:tc>
      </w:tr>
    </w:tbl>
    <w:p>
      <w:pPr>
        <w:spacing w:after="240" w:line="240" w:lineRule="auto"/>
        <w:jc w:val="right"/>
      </w:pPr>
      <w:r>
        <w:rPr>
          <w:rFonts w:ascii="Times New Roman" w:hAnsi="Times New Roman" w:eastAsia="Times New Roman"/>
          <w:b w:val="0"/>
          <w:i/>
          <w:color w:val="444444"/>
          <w:sz w:val="20"/>
        </w:rPr>
        <w:t>Source : Les auteurs</w:t>
      </w:r>
    </w:p>
    <w:p>
      <w:pPr>
        <w:spacing w:before="0" w:line="360" w:lineRule="auto"/>
        <w:jc w:val="both"/>
      </w:pPr>
      <w:r>
        <w:rPr>
          <w:rFonts w:ascii="Times New Roman" w:hAnsi="Times New Roman" w:eastAsia="Times New Roman"/>
          <w:b w:val="0"/>
          <w:i w:val="0"/>
          <w:sz w:val="24"/>
        </w:rPr>
        <w:t>Ce tableau n’a pas été dressé à la main : il est calculé par le programme à partir des contraintes. Si l’établissement modifiait un jour le total du semestre, la liste resterait juste.</w:t>
      </w:r>
    </w:p>
    <w:p>
      <w:pPr>
        <w:spacing w:before="0" w:line="360" w:lineRule="auto"/>
        <w:jc w:val="both"/>
      </w:pPr>
      <w:r>
        <w:rPr>
          <w:rFonts w:ascii="Times New Roman" w:hAnsi="Times New Roman" w:eastAsia="Times New Roman"/>
          <w:b w:val="0"/>
          <w:i w:val="0"/>
          <w:sz w:val="24"/>
        </w:rPr>
        <w:t>L’intérêt pratique est l’anticipation. Le système ne se contente pas de refuser le dépassement de trente crédits : il signale dès qu’aucune répartition ne reste atteignable. Une saisie peut être bloquée bien avant le plafond — une matière à 2 crédits accompagnée de sept à 3 crédits n’en totalise que 23, et pourtant plus rien ne peut la sauver, puisque toute répartition comportant un nombre impair de matières à 2 crédits est exclue. Avertir à ce moment-là évite de découvrir l’impasse en fin de semestre.</w:t>
      </w:r>
    </w:p>
    <w:p>
      <w:pPr>
        <w:pStyle w:val="Heading3"/>
        <w:jc w:val="left"/>
      </w:pPr>
      <w:r>
        <w:rPr>
          <w:rFonts w:ascii="Times New Roman" w:hAnsi="Times New Roman" w:eastAsia="Times New Roman"/>
          <w:b/>
          <w:i w:val="0"/>
          <w:color w:val="2E4474"/>
          <w:sz w:val="24"/>
        </w:rPr>
        <w:t>2.5.3. Regroupement automatique des matières</w:t>
      </w:r>
    </w:p>
    <w:p>
      <w:pPr>
        <w:spacing w:before="0" w:line="360" w:lineRule="auto"/>
        <w:jc w:val="both"/>
      </w:pPr>
      <w:r>
        <w:rPr>
          <w:rFonts w:ascii="Times New Roman" w:hAnsi="Times New Roman" w:eastAsia="Times New Roman"/>
          <w:b w:val="0"/>
          <w:i w:val="0"/>
          <w:sz w:val="24"/>
        </w:rPr>
        <w:t>Reste à décider quelles matières associer. Les rapprocher au hasard produirait des unités incohérentes — « Algorithmique et Droit » n’a guère de sens. Chaque matière reçoit donc un type, et une matrice d’affinité indique à quel point deux types vont ensemble. Types et affinités sont administrables : ce sont des choix pédagogiques, pas des constantes techniques.</w:t>
      </w:r>
    </w:p>
    <w:p>
      <w:pPr>
        <w:spacing w:before="0" w:line="360" w:lineRule="auto"/>
        <w:jc w:val="both"/>
      </w:pPr>
      <w:r>
        <w:rPr>
          <w:rFonts w:ascii="Times New Roman" w:hAnsi="Times New Roman" w:eastAsia="Times New Roman"/>
          <w:b w:val="0"/>
          <w:i w:val="0"/>
          <w:sz w:val="24"/>
        </w:rPr>
        <w:t>Le problème devient alors classique : former des paires en maximisant la somme des affinités. Le programme en cherche la meilleure solution, et non une solution acceptable trouvée de proche en proche.</w:t>
      </w:r>
    </w:p>
    <w:p>
      <w:pPr>
        <w:spacing w:before="200" w:after="40" w:line="240" w:lineRule="auto"/>
        <w:jc w:val="center"/>
      </w:pPr>
      <w:r>
        <w:drawing>
          <wp:inline xmlns:a="http://schemas.openxmlformats.org/drawingml/2006/main" xmlns:pic="http://schemas.openxmlformats.org/drawingml/2006/picture">
            <wp:extent cx="5731200" cy="4033883"/>
            <wp:docPr id="13" name="Picture 13"/>
            <wp:cNvGraphicFramePr>
              <a:graphicFrameLocks noChangeAspect="1"/>
            </wp:cNvGraphicFramePr>
            <a:graphic>
              <a:graphicData uri="http://schemas.openxmlformats.org/drawingml/2006/picture">
                <pic:pic>
                  <pic:nvPicPr>
                    <pic:cNvPr id="0" name="12-appariement.png"/>
                    <pic:cNvPicPr/>
                  </pic:nvPicPr>
                  <pic:blipFill>
                    <a:blip r:embed="rId26"/>
                    <a:stretch>
                      <a:fillRect/>
                    </a:stretch>
                  </pic:blipFill>
                  <pic:spPr>
                    <a:xfrm>
                      <a:off x="0" y="0"/>
                      <a:ext cx="5731200" cy="4033883"/>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Constitution automatique des unités d’enseignement d’un semestre</w:t>
      </w:r>
    </w:p>
    <w:p>
      <w:pPr>
        <w:spacing w:before="0" w:line="360" w:lineRule="auto"/>
        <w:jc w:val="both"/>
      </w:pPr>
      <w:r>
        <w:rPr>
          <w:rFonts w:ascii="Times New Roman" w:hAnsi="Times New Roman" w:eastAsia="Times New Roman"/>
          <w:b w:val="0"/>
          <w:i w:val="0"/>
          <w:sz w:val="24"/>
        </w:rPr>
        <w:t>Le résultat reste modifiable : le regroupement proposé peut être repris à la main si l’équipe pédagogique en décide autrement. L’automatisme fait gagner du temps, il ne confisque pas la décision.</w:t>
      </w:r>
    </w:p>
    <w:p>
      <w:pPr>
        <w:pStyle w:val="Heading3"/>
        <w:jc w:val="left"/>
      </w:pPr>
      <w:r>
        <w:rPr>
          <w:rFonts w:ascii="Times New Roman" w:hAnsi="Times New Roman" w:eastAsia="Times New Roman"/>
          <w:b/>
          <w:i w:val="0"/>
          <w:color w:val="2E4474"/>
          <w:sz w:val="24"/>
        </w:rPr>
        <w:t>2.5.4. Validation et compensation</w:t>
      </w:r>
    </w:p>
    <w:p>
      <w:pPr>
        <w:spacing w:before="0" w:line="360" w:lineRule="auto"/>
        <w:jc w:val="both"/>
      </w:pPr>
      <w:r>
        <w:rPr>
          <w:rFonts w:ascii="Times New Roman" w:hAnsi="Times New Roman" w:eastAsia="Times New Roman"/>
          <w:b w:val="0"/>
          <w:i w:val="0"/>
          <w:sz w:val="24"/>
        </w:rPr>
        <w:t>La validation se joue au niveau de l’unité d’enseignement, et non de la matière isolée. Une unité est acquise si sa moyenne atteint 10 sur 20 : une matière faible peut donc être compensée par l’autre matière de l’unité. Les crédits sont attribués intégralement ou pas du tout — il n’existe pas de demi-crédit. La moyenne générale du semestre est la moyenne des unités, pondérée par leurs crédits.</w:t>
      </w:r>
    </w:p>
    <w:p>
      <w:pPr>
        <w:pStyle w:val="Heading2"/>
        <w:jc w:val="left"/>
      </w:pPr>
      <w:r>
        <w:rPr>
          <w:rFonts w:ascii="Times New Roman" w:hAnsi="Times New Roman" w:eastAsia="Times New Roman"/>
          <w:b/>
          <w:i w:val="0"/>
          <w:color w:val="2E4474"/>
          <w:sz w:val="28"/>
        </w:rPr>
        <w:t>2.6. Planification du projet</w:t>
      </w:r>
    </w:p>
    <w:p>
      <w:pPr>
        <w:spacing w:before="0" w:line="360" w:lineRule="auto"/>
        <w:jc w:val="both"/>
      </w:pPr>
      <w:r>
        <w:rPr>
          <w:rFonts w:ascii="Times New Roman" w:hAnsi="Times New Roman" w:eastAsia="Times New Roman"/>
          <w:b w:val="0"/>
          <w:i w:val="0"/>
          <w:sz w:val="24"/>
        </w:rPr>
        <w:t>Le projet s’est déroulé sur six mois, selon le calendrier suivant.</w:t>
      </w:r>
    </w:p>
    <w:p>
      <w:pPr>
        <w:spacing w:before="200" w:after="40" w:line="240" w:lineRule="auto"/>
        <w:jc w:val="center"/>
      </w:pPr>
      <w:r>
        <w:drawing>
          <wp:inline xmlns:a="http://schemas.openxmlformats.org/drawingml/2006/main" xmlns:pic="http://schemas.openxmlformats.org/drawingml/2006/picture">
            <wp:extent cx="5731200" cy="2977726"/>
            <wp:docPr id="14" name="Picture 14"/>
            <wp:cNvGraphicFramePr>
              <a:graphicFrameLocks noChangeAspect="1"/>
            </wp:cNvGraphicFramePr>
            <a:graphic>
              <a:graphicData uri="http://schemas.openxmlformats.org/drawingml/2006/picture">
                <pic:pic>
                  <pic:nvPicPr>
                    <pic:cNvPr id="0" name="13-planning.png"/>
                    <pic:cNvPicPr/>
                  </pic:nvPicPr>
                  <pic:blipFill>
                    <a:blip r:embed="rId27"/>
                    <a:stretch>
                      <a:fillRect/>
                    </a:stretch>
                  </pic:blipFill>
                  <pic:spPr>
                    <a:xfrm>
                      <a:off x="0" y="0"/>
                      <a:ext cx="5731200" cy="2977726"/>
                    </a:xfrm>
                    <a:prstGeom prst="rect"/>
                  </pic:spPr>
                </pic:pic>
              </a:graphicData>
            </a:graphic>
          </wp:inline>
        </w:drawing>
      </w:r>
    </w:p>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Planning prévisionnel du projet</w:t>
      </w:r>
    </w:p>
    <w:p>
      <w:pPr>
        <w:spacing w:before="0" w:line="360" w:lineRule="auto"/>
        <w:jc w:val="both"/>
      </w:pPr>
      <w:r>
        <w:rPr>
          <w:rFonts w:ascii="Times New Roman" w:hAnsi="Times New Roman" w:eastAsia="Times New Roman"/>
          <w:b w:val="0"/>
          <w:i w:val="0"/>
          <w:sz w:val="24"/>
        </w:rPr>
        <w:t>Le développement a été conduit par modules successifs, chacun éprouvé avant l’ouverture du suivant. La rédaction du mémoire a été menée en parallèle des derniers développements, pour que les choix soient consignés pendant qu’ils étaient encore frais.</w:t>
      </w:r>
    </w:p>
    <w:p>
      <w:pPr>
        <w:pStyle w:val="Heading2"/>
        <w:jc w:val="left"/>
      </w:pPr>
      <w:r>
        <w:rPr>
          <w:rFonts w:ascii="Times New Roman" w:hAnsi="Times New Roman" w:eastAsia="Times New Roman"/>
          <w:b/>
          <w:i w:val="0"/>
          <w:color w:val="2E4474"/>
          <w:sz w:val="28"/>
        </w:rPr>
        <w:t>Conclusion</w:t>
      </w:r>
    </w:p>
    <w:p>
      <w:pPr>
        <w:spacing w:before="0" w:line="360" w:lineRule="auto"/>
        <w:jc w:val="both"/>
      </w:pPr>
      <w:r>
        <w:rPr>
          <w:rFonts w:ascii="Times New Roman" w:hAnsi="Times New Roman" w:eastAsia="Times New Roman"/>
          <w:b w:val="0"/>
          <w:i w:val="0"/>
          <w:sz w:val="24"/>
        </w:rPr>
        <w:t>Ce chapitre a posé les fondations de la solution : besoins recensés, acteurs identifiés et périmètres arbitrés, modèles UML établis, base de données conçue, et règles pédagogiques traduites en calculs vérifiables. Ces règles constituent l’apport le plus spécifique du travail : elles transforment des principes énoncés en toutes lettres par le LMD en contraintes que le système sait faire respecter. Le chapitre suivant présente la réalisation.</w:t>
      </w:r>
    </w:p>
    <w:p>
      <w:r>
        <w:br w:type="page"/>
      </w:r>
    </w:p>
    <w:p>
      <w:pPr>
        <w:pStyle w:val="Heading1"/>
        <w:jc w:val="center"/>
      </w:pPr>
      <w:r>
        <w:rPr>
          <w:rFonts w:ascii="Times New Roman" w:hAnsi="Times New Roman" w:eastAsia="Times New Roman"/>
          <w:b/>
          <w:i w:val="0"/>
          <w:color w:val="2E4474"/>
          <w:sz w:val="32"/>
        </w:rPr>
        <w:t>Chapitre 3 : Réalisation de la solution</w:t>
      </w:r>
    </w:p>
    <w:p>
      <w:pPr>
        <w:pStyle w:val="Heading2"/>
        <w:jc w:val="left"/>
      </w:pPr>
      <w:r>
        <w:rPr>
          <w:rFonts w:ascii="Times New Roman" w:hAnsi="Times New Roman" w:eastAsia="Times New Roman"/>
          <w:b/>
          <w:i w:val="0"/>
          <w:color w:val="2E4474"/>
          <w:sz w:val="28"/>
        </w:rPr>
        <w:t>Introduction</w:t>
      </w:r>
    </w:p>
    <w:p>
      <w:pPr>
        <w:spacing w:before="0" w:line="360" w:lineRule="auto"/>
        <w:jc w:val="both"/>
      </w:pPr>
      <w:r>
        <w:rPr>
          <w:rFonts w:ascii="Times New Roman" w:hAnsi="Times New Roman" w:eastAsia="Times New Roman"/>
          <w:b w:val="0"/>
          <w:i w:val="0"/>
          <w:sz w:val="24"/>
        </w:rPr>
        <w:t>Ce chapitre présente la mise en œuvre : l’environnement et les technologies employés, les interfaces obtenues, les mécanismes de sécurité, la campagne de tests, la mise en ligne, puis les difficultés rencontrées et les perspectives.</w:t>
      </w:r>
    </w:p>
    <w:p>
      <w:pPr>
        <w:pStyle w:val="Heading2"/>
        <w:jc w:val="left"/>
      </w:pPr>
      <w:r>
        <w:rPr>
          <w:rFonts w:ascii="Times New Roman" w:hAnsi="Times New Roman" w:eastAsia="Times New Roman"/>
          <w:b/>
          <w:i w:val="0"/>
          <w:color w:val="2E4474"/>
          <w:sz w:val="28"/>
        </w:rPr>
        <w:t>3.1. Environnement technique</w:t>
      </w:r>
    </w:p>
    <w:p>
      <w:pPr>
        <w:spacing w:before="0" w:line="360" w:lineRule="auto"/>
        <w:jc w:val="both"/>
      </w:pPr>
      <w:r>
        <w:rPr>
          <w:rFonts w:ascii="Times New Roman" w:hAnsi="Times New Roman" w:eastAsia="Times New Roman"/>
          <w:b w:val="0"/>
          <w:i w:val="0"/>
          <w:sz w:val="24"/>
        </w:rPr>
        <w:t>Le développement a été mené sur des ordinateurs portables sous Windows 11, avec l’éditeur Visual Studio Code. Le code est versionné avec Git et hébergé sur un dépôt GitHub partagé, ce qui a permis de travailler à plusieurs sur la même base et de revenir en arrière lorsqu’une piste s’avérait mauvaise. La base de données a été exploitée localement pendant le développement, puis sur une grappe hébergée pour la mise en ligne.</w:t>
      </w:r>
    </w:p>
    <w:p>
      <w:pPr>
        <w:pStyle w:val="Heading2"/>
        <w:jc w:val="left"/>
      </w:pPr>
      <w:r>
        <w:rPr>
          <w:rFonts w:ascii="Times New Roman" w:hAnsi="Times New Roman" w:eastAsia="Times New Roman"/>
          <w:b/>
          <w:i w:val="0"/>
          <w:color w:val="2E4474"/>
          <w:sz w:val="28"/>
        </w:rPr>
        <w:t>3.2. Choix technologiques</w:t>
      </w:r>
    </w:p>
    <w:p>
      <w:pPr>
        <w:spacing w:before="0" w:line="360" w:lineRule="auto"/>
        <w:jc w:val="both"/>
      </w:pPr>
      <w:r>
        <w:rPr>
          <w:rFonts w:ascii="Times New Roman" w:hAnsi="Times New Roman" w:eastAsia="Times New Roman"/>
          <w:b w:val="0"/>
          <w:i w:val="0"/>
          <w:sz w:val="24"/>
        </w:rPr>
        <w:t>Les technologies ont été retenues pour trois raisons : un langage unique de bout en bout, une documentation abondante, et un hébergement accessible sans infrastructure propre.</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Technologies employées et raisons du choix</w:t>
      </w:r>
    </w:p>
    <w:tbl>
      <w:tblPr>
        <w:tblStyle w:val="TableGrid"/>
        <w:tblW w:type="auto" w:w="0"/>
        <w:jc w:val="center"/>
        <w:tblLook w:firstColumn="1" w:firstRow="1" w:lastColumn="0" w:lastRow="0" w:noHBand="0" w:noVBand="1" w:val="04A0"/>
      </w:tblPr>
      <w:tblGrid>
        <w:gridCol w:w="3120"/>
        <w:gridCol w:w="3120"/>
        <w:gridCol w:w="3120"/>
      </w:tblGrid>
      <w:tr>
        <w:tc>
          <w:tcPr>
            <w:tcW w:type="dxa" w:w="1814"/>
            <w:shd w:val="clear" w:fill="DCE3EE"/>
          </w:tcPr>
          <w:p>
            <w:pPr>
              <w:spacing w:line="240" w:lineRule="auto" w:after="40"/>
              <w:jc w:val="center"/>
            </w:pPr>
            <w:r>
              <w:rPr>
                <w:rFonts w:ascii="Times New Roman" w:hAnsi="Times New Roman" w:eastAsia="Times New Roman"/>
                <w:b/>
                <w:i w:val="0"/>
                <w:sz w:val="21"/>
              </w:rPr>
              <w:t>Élément</w:t>
            </w:r>
          </w:p>
        </w:tc>
        <w:tc>
          <w:tcPr>
            <w:tcW w:type="dxa" w:w="2268"/>
            <w:shd w:val="clear" w:fill="DCE3EE"/>
          </w:tcPr>
          <w:p>
            <w:pPr>
              <w:spacing w:line="240" w:lineRule="auto" w:after="40"/>
              <w:jc w:val="center"/>
            </w:pPr>
            <w:r>
              <w:rPr>
                <w:rFonts w:ascii="Times New Roman" w:hAnsi="Times New Roman" w:eastAsia="Times New Roman"/>
                <w:b/>
                <w:i w:val="0"/>
                <w:sz w:val="21"/>
              </w:rPr>
              <w:t>Technologie</w:t>
            </w:r>
          </w:p>
        </w:tc>
        <w:tc>
          <w:tcPr>
            <w:tcW w:type="dxa" w:w="4706"/>
            <w:shd w:val="clear" w:fill="DCE3EE"/>
          </w:tcPr>
          <w:p>
            <w:pPr>
              <w:spacing w:line="240" w:lineRule="auto" w:after="40"/>
              <w:jc w:val="center"/>
            </w:pPr>
            <w:r>
              <w:rPr>
                <w:rFonts w:ascii="Times New Roman" w:hAnsi="Times New Roman" w:eastAsia="Times New Roman"/>
                <w:b/>
                <w:i w:val="0"/>
                <w:sz w:val="21"/>
              </w:rPr>
              <w:t>Raison du choix</w:t>
            </w:r>
          </w:p>
        </w:tc>
      </w:tr>
      <w:tr>
        <w:tc>
          <w:tcPr>
            <w:tcW w:type="dxa" w:w="1814"/>
          </w:tcPr>
          <w:p>
            <w:pPr>
              <w:spacing w:line="240" w:lineRule="auto" w:after="40"/>
              <w:jc w:val="left"/>
            </w:pPr>
            <w:r>
              <w:rPr>
                <w:rFonts w:ascii="Times New Roman" w:hAnsi="Times New Roman" w:eastAsia="Times New Roman"/>
                <w:b w:val="0"/>
                <w:i w:val="0"/>
                <w:sz w:val="21"/>
              </w:rPr>
              <w:t>Interface</w:t>
            </w:r>
          </w:p>
        </w:tc>
        <w:tc>
          <w:tcPr>
            <w:tcW w:type="dxa" w:w="2268"/>
          </w:tcPr>
          <w:p>
            <w:pPr>
              <w:spacing w:line="240" w:lineRule="auto" w:after="40"/>
              <w:jc w:val="left"/>
            </w:pPr>
            <w:r>
              <w:rPr>
                <w:rFonts w:ascii="Times New Roman" w:hAnsi="Times New Roman" w:eastAsia="Times New Roman"/>
                <w:b w:val="0"/>
                <w:i w:val="0"/>
                <w:sz w:val="21"/>
              </w:rPr>
              <w:t>React 19</w:t>
            </w:r>
          </w:p>
        </w:tc>
        <w:tc>
          <w:tcPr>
            <w:tcW w:type="dxa" w:w="4706"/>
          </w:tcPr>
          <w:p>
            <w:pPr>
              <w:spacing w:line="240" w:lineRule="auto" w:after="40"/>
              <w:jc w:val="left"/>
            </w:pPr>
            <w:r>
              <w:rPr>
                <w:rFonts w:ascii="Times New Roman" w:hAnsi="Times New Roman" w:eastAsia="Times New Roman"/>
                <w:b w:val="0"/>
                <w:i w:val="0"/>
                <w:sz w:val="21"/>
              </w:rPr>
              <w:t>Découpage en composants réutilisables ; mise à jour de l’affichage sans recharger la page.</w:t>
            </w:r>
          </w:p>
        </w:tc>
      </w:tr>
      <w:tr>
        <w:tc>
          <w:tcPr>
            <w:tcW w:type="dxa" w:w="1814"/>
          </w:tcPr>
          <w:p>
            <w:pPr>
              <w:spacing w:line="240" w:lineRule="auto" w:after="40"/>
              <w:jc w:val="left"/>
            </w:pPr>
            <w:r>
              <w:rPr>
                <w:rFonts w:ascii="Times New Roman" w:hAnsi="Times New Roman" w:eastAsia="Times New Roman"/>
                <w:b w:val="0"/>
                <w:i w:val="0"/>
                <w:sz w:val="21"/>
              </w:rPr>
              <w:t>Outil de construction</w:t>
            </w:r>
          </w:p>
        </w:tc>
        <w:tc>
          <w:tcPr>
            <w:tcW w:type="dxa" w:w="2268"/>
          </w:tcPr>
          <w:p>
            <w:pPr>
              <w:spacing w:line="240" w:lineRule="auto" w:after="40"/>
              <w:jc w:val="left"/>
            </w:pPr>
            <w:r>
              <w:rPr>
                <w:rFonts w:ascii="Times New Roman" w:hAnsi="Times New Roman" w:eastAsia="Times New Roman"/>
                <w:b w:val="0"/>
                <w:i w:val="0"/>
                <w:sz w:val="21"/>
              </w:rPr>
              <w:t>Vite 7</w:t>
            </w:r>
          </w:p>
        </w:tc>
        <w:tc>
          <w:tcPr>
            <w:tcW w:type="dxa" w:w="4706"/>
          </w:tcPr>
          <w:p>
            <w:pPr>
              <w:spacing w:line="240" w:lineRule="auto" w:after="40"/>
              <w:jc w:val="left"/>
            </w:pPr>
            <w:r>
              <w:rPr>
                <w:rFonts w:ascii="Times New Roman" w:hAnsi="Times New Roman" w:eastAsia="Times New Roman"/>
                <w:b w:val="0"/>
                <w:i w:val="0"/>
                <w:sz w:val="21"/>
              </w:rPr>
              <w:t>Démarrage immédiat pendant le développement ; production de fichiers optimisés pour la mise en ligne.</w:t>
            </w:r>
          </w:p>
        </w:tc>
      </w:tr>
      <w:tr>
        <w:tc>
          <w:tcPr>
            <w:tcW w:type="dxa" w:w="1814"/>
          </w:tcPr>
          <w:p>
            <w:pPr>
              <w:spacing w:line="240" w:lineRule="auto" w:after="40"/>
              <w:jc w:val="left"/>
            </w:pPr>
            <w:r>
              <w:rPr>
                <w:rFonts w:ascii="Times New Roman" w:hAnsi="Times New Roman" w:eastAsia="Times New Roman"/>
                <w:b w:val="0"/>
                <w:i w:val="0"/>
                <w:sz w:val="21"/>
              </w:rPr>
              <w:t>Mise en forme</w:t>
            </w:r>
          </w:p>
        </w:tc>
        <w:tc>
          <w:tcPr>
            <w:tcW w:type="dxa" w:w="2268"/>
          </w:tcPr>
          <w:p>
            <w:pPr>
              <w:spacing w:line="240" w:lineRule="auto" w:after="40"/>
              <w:jc w:val="left"/>
            </w:pPr>
            <w:r>
              <w:rPr>
                <w:rFonts w:ascii="Times New Roman" w:hAnsi="Times New Roman" w:eastAsia="Times New Roman"/>
                <w:b w:val="0"/>
                <w:i w:val="0"/>
                <w:sz w:val="21"/>
              </w:rPr>
              <w:t>TailwindCSS 4</w:t>
            </w:r>
          </w:p>
        </w:tc>
        <w:tc>
          <w:tcPr>
            <w:tcW w:type="dxa" w:w="4706"/>
          </w:tcPr>
          <w:p>
            <w:pPr>
              <w:spacing w:line="240" w:lineRule="auto" w:after="40"/>
              <w:jc w:val="left"/>
            </w:pPr>
            <w:r>
              <w:rPr>
                <w:rFonts w:ascii="Times New Roman" w:hAnsi="Times New Roman" w:eastAsia="Times New Roman"/>
                <w:b w:val="0"/>
                <w:i w:val="0"/>
                <w:sz w:val="21"/>
              </w:rPr>
              <w:t>Charte graphique centralisée ; cohérence visuelle sans feuilles de style dispersées.</w:t>
            </w:r>
          </w:p>
        </w:tc>
      </w:tr>
      <w:tr>
        <w:tc>
          <w:tcPr>
            <w:tcW w:type="dxa" w:w="1814"/>
          </w:tcPr>
          <w:p>
            <w:pPr>
              <w:spacing w:line="240" w:lineRule="auto" w:after="40"/>
              <w:jc w:val="left"/>
            </w:pPr>
            <w:r>
              <w:rPr>
                <w:rFonts w:ascii="Times New Roman" w:hAnsi="Times New Roman" w:eastAsia="Times New Roman"/>
                <w:b w:val="0"/>
                <w:i w:val="0"/>
                <w:sz w:val="21"/>
              </w:rPr>
              <w:t>Serveur</w:t>
            </w:r>
          </w:p>
        </w:tc>
        <w:tc>
          <w:tcPr>
            <w:tcW w:type="dxa" w:w="2268"/>
          </w:tcPr>
          <w:p>
            <w:pPr>
              <w:spacing w:line="240" w:lineRule="auto" w:after="40"/>
              <w:jc w:val="left"/>
            </w:pPr>
            <w:r>
              <w:rPr>
                <w:rFonts w:ascii="Times New Roman" w:hAnsi="Times New Roman" w:eastAsia="Times New Roman"/>
                <w:b w:val="0"/>
                <w:i w:val="0"/>
                <w:sz w:val="21"/>
              </w:rPr>
              <w:t>Node.js et Express 5</w:t>
            </w:r>
          </w:p>
        </w:tc>
        <w:tc>
          <w:tcPr>
            <w:tcW w:type="dxa" w:w="4706"/>
          </w:tcPr>
          <w:p>
            <w:pPr>
              <w:spacing w:line="240" w:lineRule="auto" w:after="40"/>
              <w:jc w:val="left"/>
            </w:pPr>
            <w:r>
              <w:rPr>
                <w:rFonts w:ascii="Times New Roman" w:hAnsi="Times New Roman" w:eastAsia="Times New Roman"/>
                <w:b w:val="0"/>
                <w:i w:val="0"/>
                <w:sz w:val="21"/>
              </w:rPr>
              <w:t>Même langage que l’interface, donc un seul langage à maîtriser pour toute l’équipe.</w:t>
            </w:r>
          </w:p>
        </w:tc>
      </w:tr>
      <w:tr>
        <w:tc>
          <w:tcPr>
            <w:tcW w:type="dxa" w:w="1814"/>
          </w:tcPr>
          <w:p>
            <w:pPr>
              <w:spacing w:line="240" w:lineRule="auto" w:after="40"/>
              <w:jc w:val="left"/>
            </w:pPr>
            <w:r>
              <w:rPr>
                <w:rFonts w:ascii="Times New Roman" w:hAnsi="Times New Roman" w:eastAsia="Times New Roman"/>
                <w:b w:val="0"/>
                <w:i w:val="0"/>
                <w:sz w:val="21"/>
              </w:rPr>
              <w:t>Base de données</w:t>
            </w:r>
          </w:p>
        </w:tc>
        <w:tc>
          <w:tcPr>
            <w:tcW w:type="dxa" w:w="2268"/>
          </w:tcPr>
          <w:p>
            <w:pPr>
              <w:spacing w:line="240" w:lineRule="auto" w:after="40"/>
              <w:jc w:val="left"/>
            </w:pPr>
            <w:r>
              <w:rPr>
                <w:rFonts w:ascii="Times New Roman" w:hAnsi="Times New Roman" w:eastAsia="Times New Roman"/>
                <w:b w:val="0"/>
                <w:i w:val="0"/>
                <w:sz w:val="21"/>
              </w:rPr>
              <w:t>MongoDB et Mongoose 8</w:t>
            </w:r>
          </w:p>
        </w:tc>
        <w:tc>
          <w:tcPr>
            <w:tcW w:type="dxa" w:w="4706"/>
          </w:tcPr>
          <w:p>
            <w:pPr>
              <w:spacing w:line="240" w:lineRule="auto" w:after="40"/>
              <w:jc w:val="left"/>
            </w:pPr>
            <w:r>
              <w:rPr>
                <w:rFonts w:ascii="Times New Roman" w:hAnsi="Times New Roman" w:eastAsia="Times New Roman"/>
                <w:b w:val="0"/>
                <w:i w:val="0"/>
                <w:sz w:val="21"/>
              </w:rPr>
              <w:t>Documents imbriqués adaptés aux dossiers ; validation déclarée au niveau du modèle.</w:t>
            </w:r>
          </w:p>
        </w:tc>
      </w:tr>
      <w:tr>
        <w:tc>
          <w:tcPr>
            <w:tcW w:type="dxa" w:w="1814"/>
          </w:tcPr>
          <w:p>
            <w:pPr>
              <w:spacing w:line="240" w:lineRule="auto" w:after="40"/>
              <w:jc w:val="left"/>
            </w:pPr>
            <w:r>
              <w:rPr>
                <w:rFonts w:ascii="Times New Roman" w:hAnsi="Times New Roman" w:eastAsia="Times New Roman"/>
                <w:b w:val="0"/>
                <w:i w:val="0"/>
                <w:sz w:val="21"/>
              </w:rPr>
              <w:t>Authentification</w:t>
            </w:r>
          </w:p>
        </w:tc>
        <w:tc>
          <w:tcPr>
            <w:tcW w:type="dxa" w:w="2268"/>
          </w:tcPr>
          <w:p>
            <w:pPr>
              <w:spacing w:line="240" w:lineRule="auto" w:after="40"/>
              <w:jc w:val="left"/>
            </w:pPr>
            <w:r>
              <w:rPr>
                <w:rFonts w:ascii="Times New Roman" w:hAnsi="Times New Roman" w:eastAsia="Times New Roman"/>
                <w:b w:val="0"/>
                <w:i w:val="0"/>
                <w:sz w:val="21"/>
              </w:rPr>
              <w:t>JWT et bcrypt</w:t>
            </w:r>
          </w:p>
        </w:tc>
        <w:tc>
          <w:tcPr>
            <w:tcW w:type="dxa" w:w="4706"/>
          </w:tcPr>
          <w:p>
            <w:pPr>
              <w:spacing w:line="240" w:lineRule="auto" w:after="40"/>
              <w:jc w:val="left"/>
            </w:pPr>
            <w:r>
              <w:rPr>
                <w:rFonts w:ascii="Times New Roman" w:hAnsi="Times New Roman" w:eastAsia="Times New Roman"/>
                <w:b w:val="0"/>
                <w:i w:val="0"/>
                <w:sz w:val="21"/>
              </w:rPr>
              <w:t>Jetons signés vérifiables sans consulter la base ; mots de passe stockés sous forme d’empreinte irréversible.</w:t>
            </w:r>
          </w:p>
        </w:tc>
      </w:tr>
      <w:tr>
        <w:tc>
          <w:tcPr>
            <w:tcW w:type="dxa" w:w="1814"/>
          </w:tcPr>
          <w:p>
            <w:pPr>
              <w:spacing w:line="240" w:lineRule="auto" w:after="40"/>
              <w:jc w:val="left"/>
            </w:pPr>
            <w:r>
              <w:rPr>
                <w:rFonts w:ascii="Times New Roman" w:hAnsi="Times New Roman" w:eastAsia="Times New Roman"/>
                <w:b w:val="0"/>
                <w:i w:val="0"/>
                <w:sz w:val="21"/>
              </w:rPr>
              <w:t>Documents</w:t>
            </w:r>
          </w:p>
        </w:tc>
        <w:tc>
          <w:tcPr>
            <w:tcW w:type="dxa" w:w="2268"/>
          </w:tcPr>
          <w:p>
            <w:pPr>
              <w:spacing w:line="240" w:lineRule="auto" w:after="40"/>
              <w:jc w:val="left"/>
            </w:pPr>
            <w:r>
              <w:rPr>
                <w:rFonts w:ascii="Times New Roman" w:hAnsi="Times New Roman" w:eastAsia="Times New Roman"/>
                <w:b w:val="0"/>
                <w:i w:val="0"/>
                <w:sz w:val="21"/>
              </w:rPr>
              <w:t>PDFKit</w:t>
            </w:r>
          </w:p>
        </w:tc>
        <w:tc>
          <w:tcPr>
            <w:tcW w:type="dxa" w:w="4706"/>
          </w:tcPr>
          <w:p>
            <w:pPr>
              <w:spacing w:line="240" w:lineRule="auto" w:after="40"/>
              <w:jc w:val="left"/>
            </w:pPr>
            <w:r>
              <w:rPr>
                <w:rFonts w:ascii="Times New Roman" w:hAnsi="Times New Roman" w:eastAsia="Times New Roman"/>
                <w:b w:val="0"/>
                <w:i w:val="0"/>
                <w:sz w:val="21"/>
              </w:rPr>
              <w:t>Production des bulletins, reçus et listes d’émargement directement par le serveur, sans logiciel intermédiaire.</w:t>
            </w:r>
          </w:p>
        </w:tc>
      </w:tr>
      <w:tr>
        <w:tc>
          <w:tcPr>
            <w:tcW w:type="dxa" w:w="1814"/>
          </w:tcPr>
          <w:p>
            <w:pPr>
              <w:spacing w:line="240" w:lineRule="auto" w:after="40"/>
              <w:jc w:val="left"/>
            </w:pPr>
            <w:r>
              <w:rPr>
                <w:rFonts w:ascii="Times New Roman" w:hAnsi="Times New Roman" w:eastAsia="Times New Roman"/>
                <w:b w:val="0"/>
                <w:i w:val="0"/>
                <w:sz w:val="21"/>
              </w:rPr>
              <w:t>Courriels</w:t>
            </w:r>
          </w:p>
        </w:tc>
        <w:tc>
          <w:tcPr>
            <w:tcW w:type="dxa" w:w="2268"/>
          </w:tcPr>
          <w:p>
            <w:pPr>
              <w:spacing w:line="240" w:lineRule="auto" w:after="40"/>
              <w:jc w:val="left"/>
            </w:pPr>
            <w:r>
              <w:rPr>
                <w:rFonts w:ascii="Times New Roman" w:hAnsi="Times New Roman" w:eastAsia="Times New Roman"/>
                <w:b w:val="0"/>
                <w:i w:val="0"/>
                <w:sz w:val="21"/>
              </w:rPr>
              <w:t>Resend</w:t>
            </w:r>
          </w:p>
        </w:tc>
        <w:tc>
          <w:tcPr>
            <w:tcW w:type="dxa" w:w="4706"/>
          </w:tcPr>
          <w:p>
            <w:pPr>
              <w:spacing w:line="240" w:lineRule="auto" w:after="40"/>
              <w:jc w:val="left"/>
            </w:pPr>
            <w:r>
              <w:rPr>
                <w:rFonts w:ascii="Times New Roman" w:hAnsi="Times New Roman" w:eastAsia="Times New Roman"/>
                <w:b w:val="0"/>
                <w:i w:val="0"/>
                <w:sz w:val="21"/>
              </w:rPr>
              <w:t>Envoi depuis le domaine de l’établissement, avec suivi des échecs de distribution.</w:t>
            </w:r>
          </w:p>
        </w:tc>
      </w:tr>
      <w:tr>
        <w:tc>
          <w:tcPr>
            <w:tcW w:type="dxa" w:w="1814"/>
          </w:tcPr>
          <w:p>
            <w:pPr>
              <w:spacing w:line="240" w:lineRule="auto" w:after="40"/>
              <w:jc w:val="left"/>
            </w:pPr>
            <w:r>
              <w:rPr>
                <w:rFonts w:ascii="Times New Roman" w:hAnsi="Times New Roman" w:eastAsia="Times New Roman"/>
                <w:b w:val="0"/>
                <w:i w:val="0"/>
                <w:sz w:val="21"/>
              </w:rPr>
              <w:t>Modélisation</w:t>
            </w:r>
          </w:p>
        </w:tc>
        <w:tc>
          <w:tcPr>
            <w:tcW w:type="dxa" w:w="2268"/>
          </w:tcPr>
          <w:p>
            <w:pPr>
              <w:spacing w:line="240" w:lineRule="auto" w:after="40"/>
              <w:jc w:val="left"/>
            </w:pPr>
            <w:r>
              <w:rPr>
                <w:rFonts w:ascii="Times New Roman" w:hAnsi="Times New Roman" w:eastAsia="Times New Roman"/>
                <w:b w:val="0"/>
                <w:i w:val="0"/>
                <w:sz w:val="21"/>
              </w:rPr>
              <w:t>Diagrammes produits par programme</w:t>
            </w:r>
          </w:p>
        </w:tc>
        <w:tc>
          <w:tcPr>
            <w:tcW w:type="dxa" w:w="4706"/>
          </w:tcPr>
          <w:p>
            <w:pPr>
              <w:spacing w:line="240" w:lineRule="auto" w:after="40"/>
              <w:jc w:val="left"/>
            </w:pPr>
            <w:r>
              <w:rPr>
                <w:rFonts w:ascii="Times New Roman" w:hAnsi="Times New Roman" w:eastAsia="Times New Roman"/>
                <w:b w:val="0"/>
                <w:i w:val="0"/>
                <w:sz w:val="21"/>
              </w:rPr>
              <w:t>Figures régénérées à l’identique après chaque correction du modèle.</w:t>
            </w:r>
          </w:p>
        </w:tc>
      </w:tr>
    </w:tbl>
    <w:p>
      <w:pPr>
        <w:spacing w:after="240" w:line="240" w:lineRule="auto"/>
        <w:jc w:val="right"/>
      </w:pPr>
      <w:r>
        <w:rPr>
          <w:rFonts w:ascii="Times New Roman" w:hAnsi="Times New Roman" w:eastAsia="Times New Roman"/>
          <w:b w:val="0"/>
          <w:i/>
          <w:color w:val="444444"/>
          <w:sz w:val="20"/>
        </w:rPr>
        <w:t>Source : Les auteurs</w:t>
      </w:r>
    </w:p>
    <w:p>
      <w:pPr>
        <w:pStyle w:val="Heading2"/>
        <w:jc w:val="left"/>
      </w:pPr>
      <w:r>
        <w:rPr>
          <w:rFonts w:ascii="Times New Roman" w:hAnsi="Times New Roman" w:eastAsia="Times New Roman"/>
          <w:b/>
          <w:i w:val="0"/>
          <w:color w:val="2E4474"/>
          <w:sz w:val="28"/>
        </w:rPr>
        <w:t>3.3. Présentation des interfaces</w:t>
      </w:r>
    </w:p>
    <w:p>
      <w:pPr>
        <w:spacing w:before="0" w:line="360" w:lineRule="auto"/>
        <w:jc w:val="both"/>
      </w:pPr>
      <w:r>
        <w:rPr>
          <w:rFonts w:ascii="Times New Roman" w:hAnsi="Times New Roman" w:eastAsia="Times New Roman"/>
          <w:b w:val="0"/>
          <w:i w:val="0"/>
          <w:sz w:val="24"/>
        </w:rPr>
        <w:t>Cette section présente les principaux écrans de la plateforme, dans l’ordre du parcours d’un utilisateur.</w:t>
      </w:r>
    </w:p>
    <w:p>
      <w:pPr>
        <w:pStyle w:val="Heading3"/>
        <w:jc w:val="left"/>
      </w:pPr>
      <w:r>
        <w:rPr>
          <w:rFonts w:ascii="Times New Roman" w:hAnsi="Times New Roman" w:eastAsia="Times New Roman"/>
          <w:b/>
          <w:i w:val="0"/>
          <w:color w:val="2E4474"/>
          <w:sz w:val="24"/>
        </w:rPr>
        <w:t>3.3.1. Partie publique du site</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01-accueil.png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Page d’accueil publique</w:t>
      </w:r>
    </w:p>
    <w:p>
      <w:pPr>
        <w:spacing w:before="0" w:line="360" w:lineRule="auto"/>
        <w:jc w:val="both"/>
      </w:pPr>
      <w:r>
        <w:rPr>
          <w:rFonts w:ascii="Times New Roman" w:hAnsi="Times New Roman" w:eastAsia="Times New Roman"/>
          <w:b w:val="0"/>
          <w:i w:val="0"/>
          <w:sz w:val="24"/>
        </w:rPr>
        <w:t>La page d’accueil présente l’établissement, ses chiffres clés et ses formations. Elle est composée à l’avance sous forme de pages complètes : son contenu est donc lisible par un moteur de recherche sans qu’aucun script ne s’exécute.</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02-formations.png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Page de présentation des formations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03-admissions.png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Page Admissions : pièces du dossier et tarifs</w:t>
      </w:r>
    </w:p>
    <w:p>
      <w:pPr>
        <w:pStyle w:val="Heading3"/>
        <w:jc w:val="left"/>
      </w:pPr>
      <w:r>
        <w:rPr>
          <w:rFonts w:ascii="Times New Roman" w:hAnsi="Times New Roman" w:eastAsia="Times New Roman"/>
          <w:b/>
          <w:i w:val="0"/>
          <w:color w:val="2E4474"/>
          <w:sz w:val="24"/>
        </w:rPr>
        <w:t>3.3.2. Connexion et tableau de bord</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04-connexion.png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Page de connexion</w:t>
      </w:r>
    </w:p>
    <w:p>
      <w:pPr>
        <w:spacing w:before="0" w:line="360" w:lineRule="auto"/>
        <w:jc w:val="both"/>
      </w:pPr>
      <w:r>
        <w:rPr>
          <w:rFonts w:ascii="Times New Roman" w:hAnsi="Times New Roman" w:eastAsia="Times New Roman"/>
          <w:b w:val="0"/>
          <w:i w:val="0"/>
          <w:sz w:val="24"/>
        </w:rPr>
        <w:t>L’accès à l’espace privé exige une authentification. Le nombre de tentatives est limité, et un lien permet de recevoir par courriel un message de réinitialisation du mot de passe.</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05-tableau-bord-admin.png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Tableau de bord de l’administrateur</w:t>
      </w:r>
    </w:p>
    <w:p>
      <w:pPr>
        <w:spacing w:before="0" w:line="360" w:lineRule="auto"/>
        <w:jc w:val="both"/>
      </w:pPr>
      <w:r>
        <w:rPr>
          <w:rFonts w:ascii="Times New Roman" w:hAnsi="Times New Roman" w:eastAsia="Times New Roman"/>
          <w:b w:val="0"/>
          <w:i w:val="0"/>
          <w:sz w:val="24"/>
        </w:rPr>
        <w:t>Chaque rôle dispose de son propre tableau de bord. Celui de l’administrateur rassemble les effectifs, l’état des encaissements et les alertes ; celui d’un professeur affiche ses classes et ses prochaines séances.</w:t>
      </w:r>
    </w:p>
    <w:p>
      <w:pPr>
        <w:pStyle w:val="Heading3"/>
        <w:jc w:val="left"/>
      </w:pPr>
      <w:r>
        <w:rPr>
          <w:rFonts w:ascii="Times New Roman" w:hAnsi="Times New Roman" w:eastAsia="Times New Roman"/>
          <w:b/>
          <w:i w:val="0"/>
          <w:color w:val="2E4474"/>
          <w:sz w:val="24"/>
        </w:rPr>
        <w:t>3.3.3. Comptes et dossiers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06-utilisateurs.png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Gestion des comptes et des habilitations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07-etudiants.png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Liste des étudiants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08-fiche-etudiant.png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Fiche individuelle d’un étudiant</w:t>
      </w:r>
    </w:p>
    <w:p>
      <w:pPr>
        <w:spacing w:before="0" w:line="360" w:lineRule="auto"/>
        <w:jc w:val="both"/>
      </w:pPr>
      <w:r>
        <w:rPr>
          <w:rFonts w:ascii="Times New Roman" w:hAnsi="Times New Roman" w:eastAsia="Times New Roman"/>
          <w:b w:val="0"/>
          <w:i w:val="0"/>
          <w:sz w:val="24"/>
        </w:rPr>
        <w:t>La fiche réunit l’identité, la classe, la famille, les résultats et la situation financière. Elle n’est accessible qu’aux profils habilités : administrateur, directeur, secrétaire et surveillant.</w:t>
      </w:r>
    </w:p>
    <w:p>
      <w:pPr>
        <w:pStyle w:val="Heading3"/>
        <w:jc w:val="left"/>
      </w:pPr>
      <w:r>
        <w:rPr>
          <w:rFonts w:ascii="Times New Roman" w:hAnsi="Times New Roman" w:eastAsia="Times New Roman"/>
          <w:b/>
          <w:i w:val="0"/>
          <w:color w:val="2E4474"/>
          <w:sz w:val="24"/>
        </w:rPr>
        <w:t>3.3.4. Structure pédagogique</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09-classes.png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Gestion des classes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10-matieres.png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Gestion des matières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11-unites-enseignement.png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Constitution des unités d’enseignement, avec suivi des crédits</w:t>
      </w:r>
    </w:p>
    <w:p>
      <w:pPr>
        <w:spacing w:before="0" w:line="360" w:lineRule="auto"/>
        <w:jc w:val="both"/>
      </w:pPr>
      <w:r>
        <w:rPr>
          <w:rFonts w:ascii="Times New Roman" w:hAnsi="Times New Roman" w:eastAsia="Times New Roman"/>
          <w:b w:val="0"/>
          <w:i w:val="0"/>
          <w:sz w:val="24"/>
        </w:rPr>
        <w:t>Cet écran applique les règles exposées au chapitre 2. Le compteur de crédits du semestre est visible en permanence, et le système avertit dès qu’une répartition à trente crédits devient impossible.</w:t>
      </w:r>
    </w:p>
    <w:p>
      <w:pPr>
        <w:pStyle w:val="Heading3"/>
        <w:jc w:val="left"/>
      </w:pPr>
      <w:r>
        <w:rPr>
          <w:rFonts w:ascii="Times New Roman" w:hAnsi="Times New Roman" w:eastAsia="Times New Roman"/>
          <w:b/>
          <w:i w:val="0"/>
          <w:color w:val="2E4474"/>
          <w:sz w:val="24"/>
        </w:rPr>
        <w:t>3.3.5. Notes, bulletins et absences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12-saisie-notes.png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Grille de saisie des notes</w:t>
      </w:r>
    </w:p>
    <w:p>
      <w:pPr>
        <w:spacing w:before="0" w:line="360" w:lineRule="auto"/>
        <w:jc w:val="both"/>
      </w:pPr>
      <w:r>
        <w:rPr>
          <w:rFonts w:ascii="Times New Roman" w:hAnsi="Times New Roman" w:eastAsia="Times New Roman"/>
          <w:b w:val="0"/>
          <w:i w:val="0"/>
          <w:sz w:val="24"/>
        </w:rPr>
        <w:t>La saisie se fait par sélections successives — classe, puis matière, puis semestre — et aboutit à une grille pré-remplie comportant une ligne par étudiant. Le professeur saisit les deux notes et enregistre l’ensemble en une seule fois.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13-bulletin.png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Bulletin officiel au format PDF</w:t>
      </w:r>
    </w:p>
    <w:p>
      <w:pPr>
        <w:spacing w:before="0" w:line="360" w:lineRule="auto"/>
        <w:jc w:val="both"/>
      </w:pPr>
      <w:r>
        <w:rPr>
          <w:rFonts w:ascii="Times New Roman" w:hAnsi="Times New Roman" w:eastAsia="Times New Roman"/>
          <w:b w:val="0"/>
          <w:i w:val="0"/>
          <w:sz w:val="24"/>
        </w:rPr>
        <w:t>Le bulletin est composé en format paysage. Il présente les matières groupées par unité d’enseignement, la moyenne de chaque unité, les crédits acquis, la moyenne générale, la mention et le rang. Aucune de ces valeurs n’est conservée en base : elles sont recalculées à chaque édition.</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14-absences.png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Suivi des absences</w:t>
      </w:r>
    </w:p>
    <w:p>
      <w:pPr>
        <w:pStyle w:val="Heading3"/>
        <w:jc w:val="left"/>
      </w:pPr>
      <w:r>
        <w:rPr>
          <w:rFonts w:ascii="Times New Roman" w:hAnsi="Times New Roman" w:eastAsia="Times New Roman"/>
          <w:b/>
          <w:i w:val="0"/>
          <w:color w:val="2E4474"/>
          <w:sz w:val="24"/>
        </w:rPr>
        <w:t>3.3.6. Scolarité et documents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15-paiements.png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Encaissement et suivi de la scolarité</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16-recu.png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Reçu de paiement au format PDF</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17-emargement.png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Liste d’émargement imprimable</w:t>
      </w:r>
    </w:p>
    <w:p>
      <w:pPr>
        <w:spacing w:before="0" w:line="360" w:lineRule="auto"/>
        <w:jc w:val="both"/>
      </w:pPr>
      <w:r>
        <w:rPr>
          <w:rFonts w:ascii="Times New Roman" w:hAnsi="Times New Roman" w:eastAsia="Times New Roman"/>
          <w:b w:val="0"/>
          <w:i w:val="0"/>
          <w:sz w:val="24"/>
        </w:rPr>
        <w:t>La liste d’émargement est produite pour une séance donnée : elle porte les noms des étudiants inscrits, une colonne de signature, et l’en-tête de l’établissement. Elle remplace les feuilles recopiées à la main.</w:t>
      </w:r>
    </w:p>
    <w:p>
      <w:pPr>
        <w:pStyle w:val="Heading3"/>
        <w:jc w:val="left"/>
      </w:pPr>
      <w:r>
        <w:rPr>
          <w:rFonts w:ascii="Times New Roman" w:hAnsi="Times New Roman" w:eastAsia="Times New Roman"/>
          <w:b/>
          <w:i w:val="0"/>
          <w:color w:val="2E4474"/>
          <w:sz w:val="24"/>
        </w:rPr>
        <w:t>3.3.7. Planning, statistiques et espaces personnels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18-planning.png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Emploi du temps</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19-statistiques.png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Tableau de bord statistique</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20-espace-parent.png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Espace parental</w:t>
      </w:r>
    </w:p>
    <w:p>
      <w:pPr>
        <w:spacing w:before="0" w:line="360" w:lineRule="auto"/>
        <w:jc w:val="both"/>
      </w:pPr>
      <w:r>
        <w:rPr>
          <w:rFonts w:ascii="Times New Roman" w:hAnsi="Times New Roman" w:eastAsia="Times New Roman"/>
          <w:b w:val="0"/>
          <w:i w:val="0"/>
          <w:sz w:val="24"/>
        </w:rPr>
        <w:t>L’espace parental a été volontairement réduit à une page unique : un parent ne cherche pas à naviguer, il veut voir en un coup d’œil les résultats, les absences et la situation financière de son enfant.</w:t>
      </w:r>
    </w:p>
    <w:tbl>
      <w:tblPr>
        <w:tblStyle w:val="TableGrid"/>
        <w:tblW w:type="auto" w:w="0"/>
        <w:jc w:val="center"/>
        <w:tblLook w:firstColumn="1" w:firstRow="1" w:lastColumn="0" w:lastRow="0" w:noHBand="0" w:noVBand="1" w:val="04A0"/>
      </w:tblPr>
      <w:tblGrid>
        <w:gridCol w:w="9360"/>
      </w:tblGrid>
      <w:tr>
        <w:tc>
          <w:tcPr>
            <w:tcW w:type="dxa" w:w="9026"/>
          </w:tcPr>
          <w:p>
            <w:pPr>
              <w:spacing w:before="760" w:after="760"/>
              <w:jc w:val="center"/>
            </w:pPr>
            <w:r>
              <w:rPr>
                <w:rFonts w:ascii="Times New Roman" w:hAnsi="Times New Roman" w:eastAsia="Times New Roman"/>
                <w:b w:val="0"/>
                <w:i/>
                <w:color w:val="B91C1C"/>
                <w:sz w:val="22"/>
              </w:rPr>
              <w:t>Capture à insérer</w:t>
              <w:br/>
              <w:t>21-espace-etudiant.png</w:t>
            </w:r>
          </w:p>
        </w:tc>
      </w:tr>
    </w:tbl>
    <w:p>
      <w:pPr>
        <w:pStyle w:val="Caption"/>
        <w:spacing w:after="240" w:line="240" w:lineRule="auto"/>
        <w:jc w:val="center"/>
      </w:pPr>
      <w:r>
        <w:rPr>
          <w:rFonts w:ascii="Times New Roman" w:hAnsi="Times New Roman" w:eastAsia="Times New Roman"/>
          <w:b/>
          <w:i w:val="0"/>
          <w:color w:val="444444"/>
          <w:sz w:val="22"/>
        </w:rPr>
        <w:t xml:space="preserve">Figure </w:t>
      </w:r>
      <w:r>
        <w:rPr>
          <w:rFonts w:ascii="Times New Roman" w:hAnsi="Times New Roman" w:eastAsia="Times New Roman"/>
          <w:b/>
          <w:i w:val="0"/>
          <w:color w:val="444444"/>
          <w:sz w:val="22"/>
        </w:rPr>
        <w:fldChar w:fldCharType="begin"/>
        <w:instrText xml:space="preserve"> SEQ Figure \* ARABIC </w:instrText>
        <w:fldChar w:fldCharType="separate"/>
        <w:t>1</w:t>
        <w:fldChar w:fldCharType="end"/>
      </w:r>
      <w:r>
        <w:rPr>
          <w:rFonts w:ascii="Times New Roman" w:hAnsi="Times New Roman" w:eastAsia="Times New Roman"/>
          <w:b w:val="0"/>
          <w:i w:val="0"/>
          <w:color w:val="444444"/>
          <w:sz w:val="22"/>
        </w:rPr>
        <w:t xml:space="preserve"> : Espace étudiant</w:t>
      </w:r>
    </w:p>
    <w:p>
      <w:pPr>
        <w:pStyle w:val="Heading2"/>
        <w:jc w:val="left"/>
      </w:pPr>
      <w:r>
        <w:rPr>
          <w:rFonts w:ascii="Times New Roman" w:hAnsi="Times New Roman" w:eastAsia="Times New Roman"/>
          <w:b/>
          <w:i w:val="0"/>
          <w:color w:val="2E4474"/>
          <w:sz w:val="28"/>
        </w:rPr>
        <w:t>3.4. Sécurité et contrôle d’accès</w:t>
      </w:r>
    </w:p>
    <w:p>
      <w:pPr>
        <w:spacing w:before="0" w:line="360" w:lineRule="auto"/>
        <w:jc w:val="both"/>
      </w:pPr>
      <w:r>
        <w:rPr>
          <w:rFonts w:ascii="Times New Roman" w:hAnsi="Times New Roman" w:eastAsia="Times New Roman"/>
          <w:b w:val="0"/>
          <w:i w:val="0"/>
          <w:sz w:val="24"/>
        </w:rPr>
        <w:t>La sécurité repose sur plusieurs mécanismes qui se complètent.</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Mots de passe. </w:t>
      </w:r>
      <w:r>
        <w:rPr>
          <w:rFonts w:ascii="Times New Roman" w:hAnsi="Times New Roman" w:eastAsia="Times New Roman"/>
          <w:b w:val="0"/>
          <w:i w:val="0"/>
          <w:sz w:val="24"/>
        </w:rPr>
        <w:t>Ils ne sont jamais conservés en clair ni renvoyés par l’API. Seule une empreinte irréversible est stockée ; la vérification compare les empreintes.</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Jetons de session. </w:t>
      </w:r>
      <w:r>
        <w:rPr>
          <w:rFonts w:ascii="Times New Roman" w:hAnsi="Times New Roman" w:eastAsia="Times New Roman"/>
          <w:b w:val="0"/>
          <w:i w:val="0"/>
          <w:sz w:val="24"/>
        </w:rPr>
        <w:t>La connexion délivre un jeton d’accès de courte durée, employé à chaque requête, et un jeton de renouvellement déposé dans un témoin inaccessible au script de la page. La déconnexion révoque effectivement ce second jeton.</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Contrôle par rôles. </w:t>
      </w:r>
      <w:r>
        <w:rPr>
          <w:rFonts w:ascii="Times New Roman" w:hAnsi="Times New Roman" w:eastAsia="Times New Roman"/>
          <w:b w:val="0"/>
          <w:i w:val="0"/>
          <w:sz w:val="24"/>
        </w:rPr>
        <w:t>Les droits sont vérifiés côté serveur à chaque requête. L’interface masque les actions non autorisées, mais c’est le serveur qui refuse : une requête forgée hors de l’application est rejetée de la même façon.</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Cloisonnement des données. </w:t>
      </w:r>
      <w:r>
        <w:rPr>
          <w:rFonts w:ascii="Times New Roman" w:hAnsi="Times New Roman" w:eastAsia="Times New Roman"/>
          <w:b w:val="0"/>
          <w:i w:val="0"/>
          <w:sz w:val="24"/>
        </w:rPr>
        <w:t>Un professeur ne voit que ses propres matières ; un étudiant que son propre dossier ; un parent que celui de ses enfants. Ce filtre est appliqué à la requête, et non après coup à l’affichage.</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Limitation des tentatives. </w:t>
      </w:r>
      <w:r>
        <w:rPr>
          <w:rFonts w:ascii="Times New Roman" w:hAnsi="Times New Roman" w:eastAsia="Times New Roman"/>
          <w:b w:val="0"/>
          <w:i w:val="0"/>
          <w:sz w:val="24"/>
        </w:rPr>
        <w:t>Le nombre d’essais de connexion est plafonné, ce qui rend impraticable la recherche d’un mot de passe par essais successifs.</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Validation des données. </w:t>
      </w:r>
      <w:r>
        <w:rPr>
          <w:rFonts w:ascii="Times New Roman" w:hAnsi="Times New Roman" w:eastAsia="Times New Roman"/>
          <w:b w:val="0"/>
          <w:i w:val="0"/>
          <w:sz w:val="24"/>
        </w:rPr>
        <w:t>Chaque valeur reçue est contrôlée avant enregistrement : bornes des notes, unicité des matricules, cohérence des dates. Ces contrôles sont déclarés au niveau du modèle, donc appliqués quel que soit le chemin emprunté pour écrire en base.</w:t>
      </w:r>
    </w:p>
    <w:p>
      <w:pPr>
        <w:pStyle w:val="Heading2"/>
        <w:jc w:val="left"/>
      </w:pPr>
      <w:r>
        <w:rPr>
          <w:rFonts w:ascii="Times New Roman" w:hAnsi="Times New Roman" w:eastAsia="Times New Roman"/>
          <w:b/>
          <w:i w:val="0"/>
          <w:color w:val="2E4474"/>
          <w:sz w:val="28"/>
        </w:rPr>
        <w:t>3.5. Tests de l’application</w:t>
      </w:r>
    </w:p>
    <w:p>
      <w:pPr>
        <w:pStyle w:val="Heading3"/>
        <w:jc w:val="left"/>
      </w:pPr>
      <w:r>
        <w:rPr>
          <w:rFonts w:ascii="Times New Roman" w:hAnsi="Times New Roman" w:eastAsia="Times New Roman"/>
          <w:b/>
          <w:i w:val="0"/>
          <w:color w:val="2E4474"/>
          <w:sz w:val="24"/>
        </w:rPr>
        <w:t>3.5.1. Démarche de test</w:t>
      </w:r>
    </w:p>
    <w:p>
      <w:pPr>
        <w:spacing w:before="0" w:line="360" w:lineRule="auto"/>
        <w:jc w:val="both"/>
      </w:pPr>
      <w:r>
        <w:rPr>
          <w:rFonts w:ascii="Times New Roman" w:hAnsi="Times New Roman" w:eastAsia="Times New Roman"/>
          <w:b w:val="0"/>
          <w:i w:val="0"/>
          <w:sz w:val="24"/>
        </w:rPr>
        <w:t>La validation s’est appuyée sur une campagne de tests automatisés, écrits au fil du développement et rejoués entièrement après chaque modification importante. Ils couvrent trois niveaux : les règles de calcul prises isolément, les enchaînements métier complets, et les refus attendus.</w:t>
      </w:r>
    </w:p>
    <w:p>
      <w:pPr>
        <w:spacing w:before="0" w:line="360" w:lineRule="auto"/>
        <w:jc w:val="both"/>
      </w:pPr>
      <w:r>
        <w:rPr>
          <w:rFonts w:ascii="Times New Roman" w:hAnsi="Times New Roman" w:eastAsia="Times New Roman"/>
          <w:b w:val="0"/>
          <w:i w:val="0"/>
          <w:sz w:val="24"/>
        </w:rPr>
        <w:t>Deux partis pris méritent d’être signalés. Le premier est que les règles de calcul, écrites dans des modules sans dépendance, peuvent être éprouvées sur des situations qu’on ne saurait pas fabriquer commodément en base : un semestre dont la répartition est devenue impossible, une unité dont les deux matières se compensent exactement.</w:t>
      </w:r>
    </w:p>
    <w:p>
      <w:pPr>
        <w:spacing w:before="0" w:line="360" w:lineRule="auto"/>
        <w:jc w:val="both"/>
      </w:pPr>
      <w:r>
        <w:rPr>
          <w:rFonts w:ascii="Times New Roman" w:hAnsi="Times New Roman" w:eastAsia="Times New Roman"/>
          <w:b w:val="0"/>
          <w:i w:val="0"/>
          <w:sz w:val="24"/>
        </w:rPr>
        <w:t>Le second est l’emploi de tests dits « par mutation ». Plutôt que de se contenter de vérifier qu’une règle est respectée, on la casse volontairement et l’on s’assure que le résultat change. Un test qui reste vert alors que la règle a été supprimée ne prouve rien ; cette vérification inverse a effectivement révélé des contrôles qui ne contrôlaient rien.</w:t>
      </w:r>
    </w:p>
    <w:p>
      <w:pPr>
        <w:spacing w:before="0" w:line="360" w:lineRule="auto"/>
        <w:jc w:val="both"/>
      </w:pPr>
      <w:r>
        <w:rPr>
          <w:rFonts w:ascii="Times New Roman" w:hAnsi="Times New Roman" w:eastAsia="Times New Roman"/>
          <w:b w:val="0"/>
          <w:i w:val="0"/>
          <w:sz w:val="24"/>
        </w:rPr>
        <w:t>La campagne compte 337 vérifications réparties en huit suites.</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Répartition des vérifications automatisées</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val="clear" w:fill="DCE3EE"/>
          </w:tcPr>
          <w:p>
            <w:pPr>
              <w:spacing w:line="240" w:lineRule="auto" w:after="40"/>
              <w:jc w:val="center"/>
            </w:pPr>
            <w:r>
              <w:rPr>
                <w:rFonts w:ascii="Times New Roman" w:hAnsi="Times New Roman" w:eastAsia="Times New Roman"/>
                <w:b/>
                <w:i w:val="0"/>
                <w:sz w:val="21"/>
              </w:rPr>
              <w:t>Suite</w:t>
            </w:r>
          </w:p>
        </w:tc>
        <w:tc>
          <w:tcPr>
            <w:tcW w:type="dxa" w:w="5386"/>
            <w:shd w:val="clear" w:fill="DCE3EE"/>
          </w:tcPr>
          <w:p>
            <w:pPr>
              <w:spacing w:line="240" w:lineRule="auto" w:after="40"/>
              <w:jc w:val="center"/>
            </w:pPr>
            <w:r>
              <w:rPr>
                <w:rFonts w:ascii="Times New Roman" w:hAnsi="Times New Roman" w:eastAsia="Times New Roman"/>
                <w:b/>
                <w:i w:val="0"/>
                <w:sz w:val="21"/>
              </w:rPr>
              <w:t>Domaine couvert</w:t>
            </w:r>
          </w:p>
        </w:tc>
        <w:tc>
          <w:tcPr>
            <w:tcW w:type="dxa" w:w="2268"/>
            <w:shd w:val="clear" w:fill="DCE3EE"/>
          </w:tcPr>
          <w:p>
            <w:pPr>
              <w:spacing w:line="240" w:lineRule="auto" w:after="40"/>
              <w:jc w:val="center"/>
            </w:pPr>
            <w:r>
              <w:rPr>
                <w:rFonts w:ascii="Times New Roman" w:hAnsi="Times New Roman" w:eastAsia="Times New Roman"/>
                <w:b/>
                <w:i w:val="0"/>
                <w:sz w:val="21"/>
              </w:rPr>
              <w:t>Vérifications</w:t>
            </w:r>
          </w:p>
        </w:tc>
      </w:tr>
      <w:tr>
        <w:tc>
          <w:tcPr>
            <w:tcW w:type="dxa" w:w="1134"/>
          </w:tcPr>
          <w:p>
            <w:pPr>
              <w:spacing w:line="240" w:lineRule="auto" w:after="40"/>
              <w:jc w:val="center"/>
            </w:pPr>
            <w:r>
              <w:rPr>
                <w:rFonts w:ascii="Times New Roman" w:hAnsi="Times New Roman" w:eastAsia="Times New Roman"/>
                <w:b w:val="0"/>
                <w:i w:val="0"/>
                <w:sz w:val="21"/>
              </w:rPr>
              <w:t>1</w:t>
            </w:r>
          </w:p>
        </w:tc>
        <w:tc>
          <w:tcPr>
            <w:tcW w:type="dxa" w:w="5386"/>
          </w:tcPr>
          <w:p>
            <w:pPr>
              <w:spacing w:line="240" w:lineRule="auto" w:after="40"/>
              <w:jc w:val="left"/>
            </w:pPr>
            <w:r>
              <w:rPr>
                <w:rFonts w:ascii="Times New Roman" w:hAnsi="Times New Roman" w:eastAsia="Times New Roman"/>
                <w:b w:val="0"/>
                <w:i w:val="0"/>
                <w:sz w:val="21"/>
              </w:rPr>
              <w:t>Authentification, jetons et rôles</w:t>
            </w:r>
          </w:p>
        </w:tc>
        <w:tc>
          <w:tcPr>
            <w:tcW w:type="dxa" w:w="2268"/>
          </w:tcPr>
          <w:p>
            <w:pPr>
              <w:spacing w:line="240" w:lineRule="auto" w:after="40"/>
              <w:jc w:val="left"/>
            </w:pPr>
            <w:r>
              <w:rPr>
                <w:rFonts w:ascii="Times New Roman" w:hAnsi="Times New Roman" w:eastAsia="Times New Roman"/>
                <w:b w:val="0"/>
                <w:i w:val="0"/>
                <w:sz w:val="21"/>
              </w:rPr>
              <w:t>15</w:t>
            </w:r>
          </w:p>
        </w:tc>
      </w:tr>
      <w:tr>
        <w:tc>
          <w:tcPr>
            <w:tcW w:type="dxa" w:w="1134"/>
          </w:tcPr>
          <w:p>
            <w:pPr>
              <w:spacing w:line="240" w:lineRule="auto" w:after="40"/>
              <w:jc w:val="center"/>
            </w:pPr>
            <w:r>
              <w:rPr>
                <w:rFonts w:ascii="Times New Roman" w:hAnsi="Times New Roman" w:eastAsia="Times New Roman"/>
                <w:b w:val="0"/>
                <w:i w:val="0"/>
                <w:sz w:val="21"/>
              </w:rPr>
              <w:t>2</w:t>
            </w:r>
          </w:p>
        </w:tc>
        <w:tc>
          <w:tcPr>
            <w:tcW w:type="dxa" w:w="5386"/>
          </w:tcPr>
          <w:p>
            <w:pPr>
              <w:spacing w:line="240" w:lineRule="auto" w:after="40"/>
              <w:jc w:val="left"/>
            </w:pPr>
            <w:r>
              <w:rPr>
                <w:rFonts w:ascii="Times New Roman" w:hAnsi="Times New Roman" w:eastAsia="Times New Roman"/>
                <w:b w:val="0"/>
                <w:i w:val="0"/>
                <w:sz w:val="21"/>
              </w:rPr>
              <w:t>Comptes, étudiants et classes</w:t>
            </w:r>
          </w:p>
        </w:tc>
        <w:tc>
          <w:tcPr>
            <w:tcW w:type="dxa" w:w="2268"/>
          </w:tcPr>
          <w:p>
            <w:pPr>
              <w:spacing w:line="240" w:lineRule="auto" w:after="40"/>
              <w:jc w:val="left"/>
            </w:pPr>
            <w:r>
              <w:rPr>
                <w:rFonts w:ascii="Times New Roman" w:hAnsi="Times New Roman" w:eastAsia="Times New Roman"/>
                <w:b w:val="0"/>
                <w:i w:val="0"/>
                <w:sz w:val="21"/>
              </w:rPr>
              <w:t>47</w:t>
            </w:r>
          </w:p>
        </w:tc>
      </w:tr>
      <w:tr>
        <w:tc>
          <w:tcPr>
            <w:tcW w:type="dxa" w:w="1134"/>
          </w:tcPr>
          <w:p>
            <w:pPr>
              <w:spacing w:line="240" w:lineRule="auto" w:after="40"/>
              <w:jc w:val="center"/>
            </w:pPr>
            <w:r>
              <w:rPr>
                <w:rFonts w:ascii="Times New Roman" w:hAnsi="Times New Roman" w:eastAsia="Times New Roman"/>
                <w:b w:val="0"/>
                <w:i w:val="0"/>
                <w:sz w:val="21"/>
              </w:rPr>
              <w:t>3</w:t>
            </w:r>
          </w:p>
        </w:tc>
        <w:tc>
          <w:tcPr>
            <w:tcW w:type="dxa" w:w="5386"/>
          </w:tcPr>
          <w:p>
            <w:pPr>
              <w:spacing w:line="240" w:lineRule="auto" w:after="40"/>
              <w:jc w:val="left"/>
            </w:pPr>
            <w:r>
              <w:rPr>
                <w:rFonts w:ascii="Times New Roman" w:hAnsi="Times New Roman" w:eastAsia="Times New Roman"/>
                <w:b w:val="0"/>
                <w:i w:val="0"/>
                <w:sz w:val="21"/>
              </w:rPr>
              <w:t>Notes, examens et absences</w:t>
            </w:r>
          </w:p>
        </w:tc>
        <w:tc>
          <w:tcPr>
            <w:tcW w:type="dxa" w:w="2268"/>
          </w:tcPr>
          <w:p>
            <w:pPr>
              <w:spacing w:line="240" w:lineRule="auto" w:after="40"/>
              <w:jc w:val="left"/>
            </w:pPr>
            <w:r>
              <w:rPr>
                <w:rFonts w:ascii="Times New Roman" w:hAnsi="Times New Roman" w:eastAsia="Times New Roman"/>
                <w:b w:val="0"/>
                <w:i w:val="0"/>
                <w:sz w:val="21"/>
              </w:rPr>
              <w:t>74</w:t>
            </w:r>
          </w:p>
        </w:tc>
      </w:tr>
      <w:tr>
        <w:tc>
          <w:tcPr>
            <w:tcW w:type="dxa" w:w="1134"/>
          </w:tcPr>
          <w:p>
            <w:pPr>
              <w:spacing w:line="240" w:lineRule="auto" w:after="40"/>
              <w:jc w:val="center"/>
            </w:pPr>
            <w:r>
              <w:rPr>
                <w:rFonts w:ascii="Times New Roman" w:hAnsi="Times New Roman" w:eastAsia="Times New Roman"/>
                <w:b w:val="0"/>
                <w:i w:val="0"/>
                <w:sz w:val="21"/>
              </w:rPr>
              <w:t>4</w:t>
            </w:r>
          </w:p>
        </w:tc>
        <w:tc>
          <w:tcPr>
            <w:tcW w:type="dxa" w:w="5386"/>
          </w:tcPr>
          <w:p>
            <w:pPr>
              <w:spacing w:line="240" w:lineRule="auto" w:after="40"/>
              <w:jc w:val="left"/>
            </w:pPr>
            <w:r>
              <w:rPr>
                <w:rFonts w:ascii="Times New Roman" w:hAnsi="Times New Roman" w:eastAsia="Times New Roman"/>
                <w:b w:val="0"/>
                <w:i w:val="0"/>
                <w:sz w:val="21"/>
              </w:rPr>
              <w:t>Comptabilité, paiements et reçus</w:t>
            </w:r>
          </w:p>
        </w:tc>
        <w:tc>
          <w:tcPr>
            <w:tcW w:type="dxa" w:w="2268"/>
          </w:tcPr>
          <w:p>
            <w:pPr>
              <w:spacing w:line="240" w:lineRule="auto" w:after="40"/>
              <w:jc w:val="left"/>
            </w:pPr>
            <w:r>
              <w:rPr>
                <w:rFonts w:ascii="Times New Roman" w:hAnsi="Times New Roman" w:eastAsia="Times New Roman"/>
                <w:b w:val="0"/>
                <w:i w:val="0"/>
                <w:sz w:val="21"/>
              </w:rPr>
              <w:t>46</w:t>
            </w:r>
          </w:p>
        </w:tc>
      </w:tr>
      <w:tr>
        <w:tc>
          <w:tcPr>
            <w:tcW w:type="dxa" w:w="1134"/>
          </w:tcPr>
          <w:p>
            <w:pPr>
              <w:spacing w:line="240" w:lineRule="auto" w:after="40"/>
              <w:jc w:val="center"/>
            </w:pPr>
            <w:r>
              <w:rPr>
                <w:rFonts w:ascii="Times New Roman" w:hAnsi="Times New Roman" w:eastAsia="Times New Roman"/>
                <w:b w:val="0"/>
                <w:i w:val="0"/>
                <w:sz w:val="21"/>
              </w:rPr>
              <w:t>5</w:t>
            </w:r>
          </w:p>
        </w:tc>
        <w:tc>
          <w:tcPr>
            <w:tcW w:type="dxa" w:w="5386"/>
          </w:tcPr>
          <w:p>
            <w:pPr>
              <w:spacing w:line="240" w:lineRule="auto" w:after="40"/>
              <w:jc w:val="left"/>
            </w:pPr>
            <w:r>
              <w:rPr>
                <w:rFonts w:ascii="Times New Roman" w:hAnsi="Times New Roman" w:eastAsia="Times New Roman"/>
                <w:b w:val="0"/>
                <w:i w:val="0"/>
                <w:sz w:val="21"/>
              </w:rPr>
              <w:t>Emploi du temps et statistiques</w:t>
            </w:r>
          </w:p>
        </w:tc>
        <w:tc>
          <w:tcPr>
            <w:tcW w:type="dxa" w:w="2268"/>
          </w:tcPr>
          <w:p>
            <w:pPr>
              <w:spacing w:line="240" w:lineRule="auto" w:after="40"/>
              <w:jc w:val="left"/>
            </w:pPr>
            <w:r>
              <w:rPr>
                <w:rFonts w:ascii="Times New Roman" w:hAnsi="Times New Roman" w:eastAsia="Times New Roman"/>
                <w:b w:val="0"/>
                <w:i w:val="0"/>
                <w:sz w:val="21"/>
              </w:rPr>
              <w:t>34</w:t>
            </w:r>
          </w:p>
        </w:tc>
      </w:tr>
      <w:tr>
        <w:tc>
          <w:tcPr>
            <w:tcW w:type="dxa" w:w="1134"/>
          </w:tcPr>
          <w:p>
            <w:pPr>
              <w:spacing w:line="240" w:lineRule="auto" w:after="40"/>
              <w:jc w:val="center"/>
            </w:pPr>
            <w:r>
              <w:rPr>
                <w:rFonts w:ascii="Times New Roman" w:hAnsi="Times New Roman" w:eastAsia="Times New Roman"/>
                <w:b w:val="0"/>
                <w:i w:val="0"/>
                <w:sz w:val="21"/>
              </w:rPr>
              <w:t>6</w:t>
            </w:r>
          </w:p>
        </w:tc>
        <w:tc>
          <w:tcPr>
            <w:tcW w:type="dxa" w:w="5386"/>
          </w:tcPr>
          <w:p>
            <w:pPr>
              <w:spacing w:line="240" w:lineRule="auto" w:after="40"/>
              <w:jc w:val="left"/>
            </w:pPr>
            <w:r>
              <w:rPr>
                <w:rFonts w:ascii="Times New Roman" w:hAnsi="Times New Roman" w:eastAsia="Times New Roman"/>
                <w:b w:val="0"/>
                <w:i w:val="0"/>
                <w:sz w:val="21"/>
              </w:rPr>
              <w:t>Charte graphique, courriels et documents</w:t>
            </w:r>
          </w:p>
        </w:tc>
        <w:tc>
          <w:tcPr>
            <w:tcW w:type="dxa" w:w="2268"/>
          </w:tcPr>
          <w:p>
            <w:pPr>
              <w:spacing w:line="240" w:lineRule="auto" w:after="40"/>
              <w:jc w:val="left"/>
            </w:pPr>
            <w:r>
              <w:rPr>
                <w:rFonts w:ascii="Times New Roman" w:hAnsi="Times New Roman" w:eastAsia="Times New Roman"/>
                <w:b w:val="0"/>
                <w:i w:val="0"/>
                <w:sz w:val="21"/>
              </w:rPr>
              <w:t>64</w:t>
            </w:r>
          </w:p>
        </w:tc>
      </w:tr>
      <w:tr>
        <w:tc>
          <w:tcPr>
            <w:tcW w:type="dxa" w:w="1134"/>
          </w:tcPr>
          <w:p>
            <w:pPr>
              <w:spacing w:line="240" w:lineRule="auto" w:after="40"/>
              <w:jc w:val="center"/>
            </w:pPr>
            <w:r>
              <w:rPr>
                <w:rFonts w:ascii="Times New Roman" w:hAnsi="Times New Roman" w:eastAsia="Times New Roman"/>
                <w:b w:val="0"/>
                <w:i w:val="0"/>
                <w:sz w:val="21"/>
              </w:rPr>
              <w:t>7</w:t>
            </w:r>
          </w:p>
        </w:tc>
        <w:tc>
          <w:tcPr>
            <w:tcW w:type="dxa" w:w="5386"/>
          </w:tcPr>
          <w:p>
            <w:pPr>
              <w:spacing w:line="240" w:lineRule="auto" w:after="40"/>
              <w:jc w:val="left"/>
            </w:pPr>
            <w:r>
              <w:rPr>
                <w:rFonts w:ascii="Times New Roman" w:hAnsi="Times New Roman" w:eastAsia="Times New Roman"/>
                <w:b w:val="0"/>
                <w:i w:val="0"/>
                <w:sz w:val="21"/>
              </w:rPr>
              <w:t>Notation, unités d’enseignement et crédits</w:t>
            </w:r>
          </w:p>
        </w:tc>
        <w:tc>
          <w:tcPr>
            <w:tcW w:type="dxa" w:w="2268"/>
          </w:tcPr>
          <w:p>
            <w:pPr>
              <w:spacing w:line="240" w:lineRule="auto" w:after="40"/>
              <w:jc w:val="left"/>
            </w:pPr>
            <w:r>
              <w:rPr>
                <w:rFonts w:ascii="Times New Roman" w:hAnsi="Times New Roman" w:eastAsia="Times New Roman"/>
                <w:b w:val="0"/>
                <w:i w:val="0"/>
                <w:sz w:val="21"/>
              </w:rPr>
              <w:t>18</w:t>
            </w:r>
          </w:p>
        </w:tc>
      </w:tr>
      <w:tr>
        <w:tc>
          <w:tcPr>
            <w:tcW w:type="dxa" w:w="1134"/>
          </w:tcPr>
          <w:p>
            <w:pPr>
              <w:spacing w:line="240" w:lineRule="auto" w:after="40"/>
              <w:jc w:val="center"/>
            </w:pPr>
            <w:r>
              <w:rPr>
                <w:rFonts w:ascii="Times New Roman" w:hAnsi="Times New Roman" w:eastAsia="Times New Roman"/>
                <w:b w:val="0"/>
                <w:i w:val="0"/>
                <w:sz w:val="21"/>
              </w:rPr>
              <w:t>8</w:t>
            </w:r>
          </w:p>
        </w:tc>
        <w:tc>
          <w:tcPr>
            <w:tcW w:type="dxa" w:w="5386"/>
          </w:tcPr>
          <w:p>
            <w:pPr>
              <w:spacing w:line="240" w:lineRule="auto" w:after="40"/>
              <w:jc w:val="left"/>
            </w:pPr>
            <w:r>
              <w:rPr>
                <w:rFonts w:ascii="Times New Roman" w:hAnsi="Times New Roman" w:eastAsia="Times New Roman"/>
                <w:b w:val="0"/>
                <w:i w:val="0"/>
                <w:sz w:val="21"/>
              </w:rPr>
              <w:t>Crédits, types de matières et appariement</w:t>
            </w:r>
          </w:p>
        </w:tc>
        <w:tc>
          <w:tcPr>
            <w:tcW w:type="dxa" w:w="2268"/>
          </w:tcPr>
          <w:p>
            <w:pPr>
              <w:spacing w:line="240" w:lineRule="auto" w:after="40"/>
              <w:jc w:val="left"/>
            </w:pPr>
            <w:r>
              <w:rPr>
                <w:rFonts w:ascii="Times New Roman" w:hAnsi="Times New Roman" w:eastAsia="Times New Roman"/>
                <w:b w:val="0"/>
                <w:i w:val="0"/>
                <w:sz w:val="21"/>
              </w:rPr>
              <w:t>39</w:t>
            </w:r>
          </w:p>
        </w:tc>
      </w:tr>
      <w:tr>
        <w:tc>
          <w:tcPr>
            <w:tcW w:type="dxa" w:w="1134"/>
          </w:tcPr>
          <w:p>
            <w:pPr>
              <w:spacing w:line="240" w:lineRule="auto" w:after="40"/>
              <w:jc w:val="center"/>
            </w:pPr>
            <w:r>
              <w:rPr>
                <w:rFonts w:ascii="Times New Roman" w:hAnsi="Times New Roman" w:eastAsia="Times New Roman"/>
                <w:b w:val="0"/>
                <w:i w:val="0"/>
                <w:sz w:val="21"/>
              </w:rPr>
            </w:r>
          </w:p>
        </w:tc>
        <w:tc>
          <w:tcPr>
            <w:tcW w:type="dxa" w:w="5386"/>
          </w:tcPr>
          <w:p>
            <w:pPr>
              <w:spacing w:line="240" w:lineRule="auto" w:after="40"/>
              <w:jc w:val="left"/>
            </w:pPr>
            <w:r>
              <w:rPr>
                <w:rFonts w:ascii="Times New Roman" w:hAnsi="Times New Roman" w:eastAsia="Times New Roman"/>
                <w:b w:val="0"/>
                <w:i w:val="0"/>
                <w:sz w:val="21"/>
              </w:rPr>
              <w:t>Total</w:t>
            </w:r>
          </w:p>
        </w:tc>
        <w:tc>
          <w:tcPr>
            <w:tcW w:type="dxa" w:w="2268"/>
          </w:tcPr>
          <w:p>
            <w:pPr>
              <w:spacing w:line="240" w:lineRule="auto" w:after="40"/>
              <w:jc w:val="left"/>
            </w:pPr>
            <w:r>
              <w:rPr>
                <w:rFonts w:ascii="Times New Roman" w:hAnsi="Times New Roman" w:eastAsia="Times New Roman"/>
                <w:b w:val="0"/>
                <w:i w:val="0"/>
                <w:sz w:val="21"/>
              </w:rPr>
              <w:t>337</w:t>
            </w:r>
          </w:p>
        </w:tc>
      </w:tr>
    </w:tbl>
    <w:p>
      <w:pPr>
        <w:spacing w:after="240" w:line="240" w:lineRule="auto"/>
        <w:jc w:val="right"/>
      </w:pPr>
      <w:r>
        <w:rPr>
          <w:rFonts w:ascii="Times New Roman" w:hAnsi="Times New Roman" w:eastAsia="Times New Roman"/>
          <w:b w:val="0"/>
          <w:i/>
          <w:color w:val="444444"/>
          <w:sz w:val="20"/>
        </w:rPr>
        <w:t>Source : Les auteurs</w:t>
      </w:r>
    </w:p>
    <w:p>
      <w:pPr>
        <w:pStyle w:val="Heading3"/>
        <w:jc w:val="left"/>
      </w:pPr>
      <w:r>
        <w:rPr>
          <w:rFonts w:ascii="Times New Roman" w:hAnsi="Times New Roman" w:eastAsia="Times New Roman"/>
          <w:b/>
          <w:i w:val="0"/>
          <w:color w:val="2E4474"/>
          <w:sz w:val="24"/>
        </w:rPr>
        <w:t>3.5.2. Tableau de validation des fonctionnalités</w:t>
      </w:r>
    </w:p>
    <w:p>
      <w:pPr>
        <w:spacing w:before="0" w:line="360" w:lineRule="auto"/>
        <w:jc w:val="both"/>
      </w:pPr>
      <w:r>
        <w:rPr>
          <w:rFonts w:ascii="Times New Roman" w:hAnsi="Times New Roman" w:eastAsia="Times New Roman"/>
          <w:b w:val="0"/>
          <w:i w:val="0"/>
          <w:sz w:val="24"/>
        </w:rPr>
        <w:t>Le tableau ci-dessous résume les principaux scénarios éprouvés. Le cahier complet figure en annexe B.</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Extrait du tableau de validation des fonctionnalités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shd w:val="clear" w:fill="DCE3EE"/>
          </w:tcPr>
          <w:p>
            <w:pPr>
              <w:spacing w:line="240" w:lineRule="auto" w:after="40"/>
              <w:jc w:val="center"/>
            </w:pPr>
            <w:r>
              <w:rPr>
                <w:rFonts w:ascii="Times New Roman" w:hAnsi="Times New Roman" w:eastAsia="Times New Roman"/>
                <w:b/>
                <w:i w:val="0"/>
                <w:sz w:val="21"/>
              </w:rPr>
              <w:t>N°</w:t>
            </w:r>
          </w:p>
        </w:tc>
        <w:tc>
          <w:tcPr>
            <w:tcW w:type="dxa" w:w="2835"/>
            <w:shd w:val="clear" w:fill="DCE3EE"/>
          </w:tcPr>
          <w:p>
            <w:pPr>
              <w:spacing w:line="240" w:lineRule="auto" w:after="40"/>
              <w:jc w:val="center"/>
            </w:pPr>
            <w:r>
              <w:rPr>
                <w:rFonts w:ascii="Times New Roman" w:hAnsi="Times New Roman" w:eastAsia="Times New Roman"/>
                <w:b/>
                <w:i w:val="0"/>
                <w:sz w:val="21"/>
              </w:rPr>
              <w:t>Fonctionnalité testée</w:t>
            </w:r>
          </w:p>
        </w:tc>
        <w:tc>
          <w:tcPr>
            <w:tcW w:type="dxa" w:w="3969"/>
            <w:shd w:val="clear" w:fill="DCE3EE"/>
          </w:tcPr>
          <w:p>
            <w:pPr>
              <w:spacing w:line="240" w:lineRule="auto" w:after="40"/>
              <w:jc w:val="center"/>
            </w:pPr>
            <w:r>
              <w:rPr>
                <w:rFonts w:ascii="Times New Roman" w:hAnsi="Times New Roman" w:eastAsia="Times New Roman"/>
                <w:b/>
                <w:i w:val="0"/>
                <w:sz w:val="21"/>
              </w:rPr>
              <w:t>Résultat attendu</w:t>
            </w:r>
          </w:p>
        </w:tc>
        <w:tc>
          <w:tcPr>
            <w:tcW w:type="dxa" w:w="1304"/>
            <w:shd w:val="clear" w:fill="DCE3EE"/>
          </w:tcPr>
          <w:p>
            <w:pPr>
              <w:spacing w:line="240" w:lineRule="auto" w:after="40"/>
              <w:jc w:val="center"/>
            </w:pPr>
            <w:r>
              <w:rPr>
                <w:rFonts w:ascii="Times New Roman" w:hAnsi="Times New Roman" w:eastAsia="Times New Roman"/>
                <w:b/>
                <w:i w:val="0"/>
                <w:sz w:val="21"/>
              </w:rPr>
              <w:t>État</w:t>
            </w:r>
          </w:p>
        </w:tc>
      </w:tr>
      <w:tr>
        <w:tc>
          <w:tcPr>
            <w:tcW w:type="dxa" w:w="680"/>
          </w:tcPr>
          <w:p>
            <w:pPr>
              <w:spacing w:line="240" w:lineRule="auto" w:after="40"/>
              <w:jc w:val="center"/>
            </w:pPr>
            <w:r>
              <w:rPr>
                <w:rFonts w:ascii="Times New Roman" w:hAnsi="Times New Roman" w:eastAsia="Times New Roman"/>
                <w:b w:val="0"/>
                <w:i w:val="0"/>
                <w:sz w:val="21"/>
              </w:rPr>
              <w:t>T1</w:t>
            </w:r>
          </w:p>
        </w:tc>
        <w:tc>
          <w:tcPr>
            <w:tcW w:type="dxa" w:w="2835"/>
          </w:tcPr>
          <w:p>
            <w:pPr>
              <w:spacing w:line="240" w:lineRule="auto" w:after="40"/>
              <w:jc w:val="left"/>
            </w:pPr>
            <w:r>
              <w:rPr>
                <w:rFonts w:ascii="Times New Roman" w:hAnsi="Times New Roman" w:eastAsia="Times New Roman"/>
                <w:b w:val="0"/>
                <w:i w:val="0"/>
                <w:sz w:val="21"/>
              </w:rPr>
              <w:t>Connexion avec des identifiants valides</w:t>
            </w:r>
          </w:p>
        </w:tc>
        <w:tc>
          <w:tcPr>
            <w:tcW w:type="dxa" w:w="3969"/>
          </w:tcPr>
          <w:p>
            <w:pPr>
              <w:spacing w:line="240" w:lineRule="auto" w:after="40"/>
              <w:jc w:val="left"/>
            </w:pPr>
            <w:r>
              <w:rPr>
                <w:rFonts w:ascii="Times New Roman" w:hAnsi="Times New Roman" w:eastAsia="Times New Roman"/>
                <w:b w:val="0"/>
                <w:i w:val="0"/>
                <w:sz w:val="21"/>
              </w:rPr>
              <w:t>Accès au tableau de bord correspondant au rôle</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T2</w:t>
            </w:r>
          </w:p>
        </w:tc>
        <w:tc>
          <w:tcPr>
            <w:tcW w:type="dxa" w:w="2835"/>
          </w:tcPr>
          <w:p>
            <w:pPr>
              <w:spacing w:line="240" w:lineRule="auto" w:after="40"/>
              <w:jc w:val="left"/>
            </w:pPr>
            <w:r>
              <w:rPr>
                <w:rFonts w:ascii="Times New Roman" w:hAnsi="Times New Roman" w:eastAsia="Times New Roman"/>
                <w:b w:val="0"/>
                <w:i w:val="0"/>
                <w:sz w:val="21"/>
              </w:rPr>
              <w:t>Connexion avec un mot de passe erroné</w:t>
            </w:r>
          </w:p>
        </w:tc>
        <w:tc>
          <w:tcPr>
            <w:tcW w:type="dxa" w:w="3969"/>
          </w:tcPr>
          <w:p>
            <w:pPr>
              <w:spacing w:line="240" w:lineRule="auto" w:after="40"/>
              <w:jc w:val="left"/>
            </w:pPr>
            <w:r>
              <w:rPr>
                <w:rFonts w:ascii="Times New Roman" w:hAnsi="Times New Roman" w:eastAsia="Times New Roman"/>
                <w:b w:val="0"/>
                <w:i w:val="0"/>
                <w:sz w:val="21"/>
              </w:rPr>
              <w:t>Refus, sans indiquer lequel des deux champs est faux</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T3</w:t>
            </w:r>
          </w:p>
        </w:tc>
        <w:tc>
          <w:tcPr>
            <w:tcW w:type="dxa" w:w="2835"/>
          </w:tcPr>
          <w:p>
            <w:pPr>
              <w:spacing w:line="240" w:lineRule="auto" w:after="40"/>
              <w:jc w:val="left"/>
            </w:pPr>
            <w:r>
              <w:rPr>
                <w:rFonts w:ascii="Times New Roman" w:hAnsi="Times New Roman" w:eastAsia="Times New Roman"/>
                <w:b w:val="0"/>
                <w:i w:val="0"/>
                <w:sz w:val="21"/>
              </w:rPr>
              <w:t>Déconnexion</w:t>
            </w:r>
          </w:p>
        </w:tc>
        <w:tc>
          <w:tcPr>
            <w:tcW w:type="dxa" w:w="3969"/>
          </w:tcPr>
          <w:p>
            <w:pPr>
              <w:spacing w:line="240" w:lineRule="auto" w:after="40"/>
              <w:jc w:val="left"/>
            </w:pPr>
            <w:r>
              <w:rPr>
                <w:rFonts w:ascii="Times New Roman" w:hAnsi="Times New Roman" w:eastAsia="Times New Roman"/>
                <w:b w:val="0"/>
                <w:i w:val="0"/>
                <w:sz w:val="21"/>
              </w:rPr>
              <w:t>Le jeton de renouvellement est révoqué</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T4</w:t>
            </w:r>
          </w:p>
        </w:tc>
        <w:tc>
          <w:tcPr>
            <w:tcW w:type="dxa" w:w="2835"/>
          </w:tcPr>
          <w:p>
            <w:pPr>
              <w:spacing w:line="240" w:lineRule="auto" w:after="40"/>
              <w:jc w:val="left"/>
            </w:pPr>
            <w:r>
              <w:rPr>
                <w:rFonts w:ascii="Times New Roman" w:hAnsi="Times New Roman" w:eastAsia="Times New Roman"/>
                <w:b w:val="0"/>
                <w:i w:val="0"/>
                <w:sz w:val="21"/>
              </w:rPr>
              <w:t>Inscription d’un étudiant</w:t>
            </w:r>
          </w:p>
        </w:tc>
        <w:tc>
          <w:tcPr>
            <w:tcW w:type="dxa" w:w="3969"/>
          </w:tcPr>
          <w:p>
            <w:pPr>
              <w:spacing w:line="240" w:lineRule="auto" w:after="40"/>
              <w:jc w:val="left"/>
            </w:pPr>
            <w:r>
              <w:rPr>
                <w:rFonts w:ascii="Times New Roman" w:hAnsi="Times New Roman" w:eastAsia="Times New Roman"/>
                <w:b w:val="0"/>
                <w:i w:val="0"/>
                <w:sz w:val="21"/>
              </w:rPr>
              <w:t>Compte créé, matricule attribué automatiquement</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T5</w:t>
            </w:r>
          </w:p>
        </w:tc>
        <w:tc>
          <w:tcPr>
            <w:tcW w:type="dxa" w:w="2835"/>
          </w:tcPr>
          <w:p>
            <w:pPr>
              <w:spacing w:line="240" w:lineRule="auto" w:after="40"/>
              <w:jc w:val="left"/>
            </w:pPr>
            <w:r>
              <w:rPr>
                <w:rFonts w:ascii="Times New Roman" w:hAnsi="Times New Roman" w:eastAsia="Times New Roman"/>
                <w:b w:val="0"/>
                <w:i w:val="0"/>
                <w:sz w:val="21"/>
              </w:rPr>
              <w:t>Saisie d’une note hors bornes</w:t>
            </w:r>
          </w:p>
        </w:tc>
        <w:tc>
          <w:tcPr>
            <w:tcW w:type="dxa" w:w="3969"/>
          </w:tcPr>
          <w:p>
            <w:pPr>
              <w:spacing w:line="240" w:lineRule="auto" w:after="40"/>
              <w:jc w:val="left"/>
            </w:pPr>
            <w:r>
              <w:rPr>
                <w:rFonts w:ascii="Times New Roman" w:hAnsi="Times New Roman" w:eastAsia="Times New Roman"/>
                <w:b w:val="0"/>
                <w:i w:val="0"/>
                <w:sz w:val="21"/>
              </w:rPr>
              <w:t>Refus avec message ; le reste du lot est enregistré</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T6</w:t>
            </w:r>
          </w:p>
        </w:tc>
        <w:tc>
          <w:tcPr>
            <w:tcW w:type="dxa" w:w="2835"/>
          </w:tcPr>
          <w:p>
            <w:pPr>
              <w:spacing w:line="240" w:lineRule="auto" w:after="40"/>
              <w:jc w:val="left"/>
            </w:pPr>
            <w:r>
              <w:rPr>
                <w:rFonts w:ascii="Times New Roman" w:hAnsi="Times New Roman" w:eastAsia="Times New Roman"/>
                <w:b w:val="0"/>
                <w:i w:val="0"/>
                <w:sz w:val="21"/>
              </w:rPr>
              <w:t>Saisie sur la matière d’un autre professeur</w:t>
            </w:r>
          </w:p>
        </w:tc>
        <w:tc>
          <w:tcPr>
            <w:tcW w:type="dxa" w:w="3969"/>
          </w:tcPr>
          <w:p>
            <w:pPr>
              <w:spacing w:line="240" w:lineRule="auto" w:after="40"/>
              <w:jc w:val="left"/>
            </w:pPr>
            <w:r>
              <w:rPr>
                <w:rFonts w:ascii="Times New Roman" w:hAnsi="Times New Roman" w:eastAsia="Times New Roman"/>
                <w:b w:val="0"/>
                <w:i w:val="0"/>
                <w:sz w:val="21"/>
              </w:rPr>
              <w:t>Refus opposé par le serveur</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T7</w:t>
            </w:r>
          </w:p>
        </w:tc>
        <w:tc>
          <w:tcPr>
            <w:tcW w:type="dxa" w:w="2835"/>
          </w:tcPr>
          <w:p>
            <w:pPr>
              <w:spacing w:line="240" w:lineRule="auto" w:after="40"/>
              <w:jc w:val="left"/>
            </w:pPr>
            <w:r>
              <w:rPr>
                <w:rFonts w:ascii="Times New Roman" w:hAnsi="Times New Roman" w:eastAsia="Times New Roman"/>
                <w:b w:val="0"/>
                <w:i w:val="0"/>
                <w:sz w:val="21"/>
              </w:rPr>
              <w:t>Professeur demandant un bulletin complet</w:t>
            </w:r>
          </w:p>
        </w:tc>
        <w:tc>
          <w:tcPr>
            <w:tcW w:type="dxa" w:w="3969"/>
          </w:tcPr>
          <w:p>
            <w:pPr>
              <w:spacing w:line="240" w:lineRule="auto" w:after="40"/>
              <w:jc w:val="left"/>
            </w:pPr>
            <w:r>
              <w:rPr>
                <w:rFonts w:ascii="Times New Roman" w:hAnsi="Times New Roman" w:eastAsia="Times New Roman"/>
                <w:b w:val="0"/>
                <w:i w:val="0"/>
                <w:sz w:val="21"/>
              </w:rPr>
              <w:t>Accès refusé</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T8</w:t>
            </w:r>
          </w:p>
        </w:tc>
        <w:tc>
          <w:tcPr>
            <w:tcW w:type="dxa" w:w="2835"/>
          </w:tcPr>
          <w:p>
            <w:pPr>
              <w:spacing w:line="240" w:lineRule="auto" w:after="40"/>
              <w:jc w:val="left"/>
            </w:pPr>
            <w:r>
              <w:rPr>
                <w:rFonts w:ascii="Times New Roman" w:hAnsi="Times New Roman" w:eastAsia="Times New Roman"/>
                <w:b w:val="0"/>
                <w:i w:val="0"/>
                <w:sz w:val="21"/>
              </w:rPr>
              <w:t>Correction d’une note après édition du bulletin</w:t>
            </w:r>
          </w:p>
        </w:tc>
        <w:tc>
          <w:tcPr>
            <w:tcW w:type="dxa" w:w="3969"/>
          </w:tcPr>
          <w:p>
            <w:pPr>
              <w:spacing w:line="240" w:lineRule="auto" w:after="40"/>
              <w:jc w:val="left"/>
            </w:pPr>
            <w:r>
              <w:rPr>
                <w:rFonts w:ascii="Times New Roman" w:hAnsi="Times New Roman" w:eastAsia="Times New Roman"/>
                <w:b w:val="0"/>
                <w:i w:val="0"/>
                <w:sz w:val="21"/>
              </w:rPr>
              <w:t>Le bulletin suivant reflète la correction</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T9</w:t>
            </w:r>
          </w:p>
        </w:tc>
        <w:tc>
          <w:tcPr>
            <w:tcW w:type="dxa" w:w="2835"/>
          </w:tcPr>
          <w:p>
            <w:pPr>
              <w:spacing w:line="240" w:lineRule="auto" w:after="40"/>
              <w:jc w:val="left"/>
            </w:pPr>
            <w:r>
              <w:rPr>
                <w:rFonts w:ascii="Times New Roman" w:hAnsi="Times New Roman" w:eastAsia="Times New Roman"/>
                <w:b w:val="0"/>
                <w:i w:val="0"/>
                <w:sz w:val="21"/>
              </w:rPr>
              <w:t>Unité d’enseignement dépassant 30 crédits</w:t>
            </w:r>
          </w:p>
        </w:tc>
        <w:tc>
          <w:tcPr>
            <w:tcW w:type="dxa" w:w="3969"/>
          </w:tcPr>
          <w:p>
            <w:pPr>
              <w:spacing w:line="240" w:lineRule="auto" w:after="40"/>
              <w:jc w:val="left"/>
            </w:pPr>
            <w:r>
              <w:rPr>
                <w:rFonts w:ascii="Times New Roman" w:hAnsi="Times New Roman" w:eastAsia="Times New Roman"/>
                <w:b w:val="0"/>
                <w:i w:val="0"/>
                <w:sz w:val="21"/>
              </w:rPr>
              <w:t>Ajout refusé avec explication</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T10</w:t>
            </w:r>
          </w:p>
        </w:tc>
        <w:tc>
          <w:tcPr>
            <w:tcW w:type="dxa" w:w="2835"/>
          </w:tcPr>
          <w:p>
            <w:pPr>
              <w:spacing w:line="240" w:lineRule="auto" w:after="40"/>
              <w:jc w:val="left"/>
            </w:pPr>
            <w:r>
              <w:rPr>
                <w:rFonts w:ascii="Times New Roman" w:hAnsi="Times New Roman" w:eastAsia="Times New Roman"/>
                <w:b w:val="0"/>
                <w:i w:val="0"/>
                <w:sz w:val="21"/>
              </w:rPr>
              <w:t>Répartition devenue impossible à boucler</w:t>
            </w:r>
          </w:p>
        </w:tc>
        <w:tc>
          <w:tcPr>
            <w:tcW w:type="dxa" w:w="3969"/>
          </w:tcPr>
          <w:p>
            <w:pPr>
              <w:spacing w:line="240" w:lineRule="auto" w:after="40"/>
              <w:jc w:val="left"/>
            </w:pPr>
            <w:r>
              <w:rPr>
                <w:rFonts w:ascii="Times New Roman" w:hAnsi="Times New Roman" w:eastAsia="Times New Roman"/>
                <w:b w:val="0"/>
                <w:i w:val="0"/>
                <w:sz w:val="21"/>
              </w:rPr>
              <w:t>Alerte émise avant d’atteindre le plafond</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T11</w:t>
            </w:r>
          </w:p>
        </w:tc>
        <w:tc>
          <w:tcPr>
            <w:tcW w:type="dxa" w:w="2835"/>
          </w:tcPr>
          <w:p>
            <w:pPr>
              <w:spacing w:line="240" w:lineRule="auto" w:after="40"/>
              <w:jc w:val="left"/>
            </w:pPr>
            <w:r>
              <w:rPr>
                <w:rFonts w:ascii="Times New Roman" w:hAnsi="Times New Roman" w:eastAsia="Times New Roman"/>
                <w:b w:val="0"/>
                <w:i w:val="0"/>
                <w:sz w:val="21"/>
              </w:rPr>
              <w:t>Compensation à l’intérieur d’une unité</w:t>
            </w:r>
          </w:p>
        </w:tc>
        <w:tc>
          <w:tcPr>
            <w:tcW w:type="dxa" w:w="3969"/>
          </w:tcPr>
          <w:p>
            <w:pPr>
              <w:spacing w:line="240" w:lineRule="auto" w:after="40"/>
              <w:jc w:val="left"/>
            </w:pPr>
            <w:r>
              <w:rPr>
                <w:rFonts w:ascii="Times New Roman" w:hAnsi="Times New Roman" w:eastAsia="Times New Roman"/>
                <w:b w:val="0"/>
                <w:i w:val="0"/>
                <w:sz w:val="21"/>
              </w:rPr>
              <w:t>Unité acquise, crédits attribués intégralement</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T12</w:t>
            </w:r>
          </w:p>
        </w:tc>
        <w:tc>
          <w:tcPr>
            <w:tcW w:type="dxa" w:w="2835"/>
          </w:tcPr>
          <w:p>
            <w:pPr>
              <w:spacing w:line="240" w:lineRule="auto" w:after="40"/>
              <w:jc w:val="left"/>
            </w:pPr>
            <w:r>
              <w:rPr>
                <w:rFonts w:ascii="Times New Roman" w:hAnsi="Times New Roman" w:eastAsia="Times New Roman"/>
                <w:b w:val="0"/>
                <w:i w:val="0"/>
                <w:sz w:val="21"/>
              </w:rPr>
              <w:t>Paiement supérieur au solde restant</w:t>
            </w:r>
          </w:p>
        </w:tc>
        <w:tc>
          <w:tcPr>
            <w:tcW w:type="dxa" w:w="3969"/>
          </w:tcPr>
          <w:p>
            <w:pPr>
              <w:spacing w:line="240" w:lineRule="auto" w:after="40"/>
              <w:jc w:val="left"/>
            </w:pPr>
            <w:r>
              <w:rPr>
                <w:rFonts w:ascii="Times New Roman" w:hAnsi="Times New Roman" w:eastAsia="Times New Roman"/>
                <w:b w:val="0"/>
                <w:i w:val="0"/>
                <w:sz w:val="21"/>
              </w:rPr>
              <w:t>Refus avec message explicite</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T13</w:t>
            </w:r>
          </w:p>
        </w:tc>
        <w:tc>
          <w:tcPr>
            <w:tcW w:type="dxa" w:w="2835"/>
          </w:tcPr>
          <w:p>
            <w:pPr>
              <w:spacing w:line="240" w:lineRule="auto" w:after="40"/>
              <w:jc w:val="left"/>
            </w:pPr>
            <w:r>
              <w:rPr>
                <w:rFonts w:ascii="Times New Roman" w:hAnsi="Times New Roman" w:eastAsia="Times New Roman"/>
                <w:b w:val="0"/>
                <w:i w:val="0"/>
                <w:sz w:val="21"/>
              </w:rPr>
              <w:t>Enregistrement d’un versement</w:t>
            </w:r>
          </w:p>
        </w:tc>
        <w:tc>
          <w:tcPr>
            <w:tcW w:type="dxa" w:w="3969"/>
          </w:tcPr>
          <w:p>
            <w:pPr>
              <w:spacing w:line="240" w:lineRule="auto" w:after="40"/>
              <w:jc w:val="left"/>
            </w:pPr>
            <w:r>
              <w:rPr>
                <w:rFonts w:ascii="Times New Roman" w:hAnsi="Times New Roman" w:eastAsia="Times New Roman"/>
                <w:b w:val="0"/>
                <w:i w:val="0"/>
                <w:sz w:val="21"/>
              </w:rPr>
              <w:t>Solde recalculé, reçu numéroté produit</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T14</w:t>
            </w:r>
          </w:p>
        </w:tc>
        <w:tc>
          <w:tcPr>
            <w:tcW w:type="dxa" w:w="2835"/>
          </w:tcPr>
          <w:p>
            <w:pPr>
              <w:spacing w:line="240" w:lineRule="auto" w:after="40"/>
              <w:jc w:val="left"/>
            </w:pPr>
            <w:r>
              <w:rPr>
                <w:rFonts w:ascii="Times New Roman" w:hAnsi="Times New Roman" w:eastAsia="Times New Roman"/>
                <w:b w:val="0"/>
                <w:i w:val="0"/>
                <w:sz w:val="21"/>
              </w:rPr>
              <w:t>Conflit de salle dans l’emploi du temps</w:t>
            </w:r>
          </w:p>
        </w:tc>
        <w:tc>
          <w:tcPr>
            <w:tcW w:type="dxa" w:w="3969"/>
          </w:tcPr>
          <w:p>
            <w:pPr>
              <w:spacing w:line="240" w:lineRule="auto" w:after="40"/>
              <w:jc w:val="left"/>
            </w:pPr>
            <w:r>
              <w:rPr>
                <w:rFonts w:ascii="Times New Roman" w:hAnsi="Times New Roman" w:eastAsia="Times New Roman"/>
                <w:b w:val="0"/>
                <w:i w:val="0"/>
                <w:sz w:val="21"/>
              </w:rPr>
              <w:t>Créneau refusé, conflit signalé</w:t>
            </w:r>
          </w:p>
        </w:tc>
        <w:tc>
          <w:tcPr>
            <w:tcW w:type="dxa" w:w="1304"/>
          </w:tcPr>
          <w:p>
            <w:pPr>
              <w:spacing w:line="240" w:lineRule="auto" w:after="40"/>
              <w:jc w:val="left"/>
            </w:pPr>
            <w:r>
              <w:rPr>
                <w:rFonts w:ascii="Times New Roman" w:hAnsi="Times New Roman" w:eastAsia="Times New Roman"/>
                <w:b w:val="0"/>
                <w:i w:val="0"/>
                <w:sz w:val="21"/>
              </w:rPr>
              <w:t>Validé</w:t>
            </w:r>
          </w:p>
        </w:tc>
      </w:tr>
      <w:tr>
        <w:tc>
          <w:tcPr>
            <w:tcW w:type="dxa" w:w="680"/>
          </w:tcPr>
          <w:p>
            <w:pPr>
              <w:spacing w:line="240" w:lineRule="auto" w:after="40"/>
              <w:jc w:val="center"/>
            </w:pPr>
            <w:r>
              <w:rPr>
                <w:rFonts w:ascii="Times New Roman" w:hAnsi="Times New Roman" w:eastAsia="Times New Roman"/>
                <w:b w:val="0"/>
                <w:i w:val="0"/>
                <w:sz w:val="21"/>
              </w:rPr>
              <w:t>T15</w:t>
            </w:r>
          </w:p>
        </w:tc>
        <w:tc>
          <w:tcPr>
            <w:tcW w:type="dxa" w:w="2835"/>
          </w:tcPr>
          <w:p>
            <w:pPr>
              <w:spacing w:line="240" w:lineRule="auto" w:after="40"/>
              <w:jc w:val="left"/>
            </w:pPr>
            <w:r>
              <w:rPr>
                <w:rFonts w:ascii="Times New Roman" w:hAnsi="Times New Roman" w:eastAsia="Times New Roman"/>
                <w:b w:val="0"/>
                <w:i w:val="0"/>
                <w:sz w:val="21"/>
              </w:rPr>
              <w:t>Parent consultant un enfant qui n’est pas le sien</w:t>
            </w:r>
          </w:p>
        </w:tc>
        <w:tc>
          <w:tcPr>
            <w:tcW w:type="dxa" w:w="3969"/>
          </w:tcPr>
          <w:p>
            <w:pPr>
              <w:spacing w:line="240" w:lineRule="auto" w:after="40"/>
              <w:jc w:val="left"/>
            </w:pPr>
            <w:r>
              <w:rPr>
                <w:rFonts w:ascii="Times New Roman" w:hAnsi="Times New Roman" w:eastAsia="Times New Roman"/>
                <w:b w:val="0"/>
                <w:i w:val="0"/>
                <w:sz w:val="21"/>
              </w:rPr>
              <w:t>Accès refusé</w:t>
            </w:r>
          </w:p>
        </w:tc>
        <w:tc>
          <w:tcPr>
            <w:tcW w:type="dxa" w:w="1304"/>
          </w:tcPr>
          <w:p>
            <w:pPr>
              <w:spacing w:line="240" w:lineRule="auto" w:after="40"/>
              <w:jc w:val="left"/>
            </w:pPr>
            <w:r>
              <w:rPr>
                <w:rFonts w:ascii="Times New Roman" w:hAnsi="Times New Roman" w:eastAsia="Times New Roman"/>
                <w:b w:val="0"/>
                <w:i w:val="0"/>
                <w:sz w:val="21"/>
              </w:rPr>
              <w:t>Validé</w:t>
            </w:r>
          </w:p>
        </w:tc>
      </w:tr>
    </w:tbl>
    <w:p>
      <w:pPr>
        <w:spacing w:after="240" w:line="240" w:lineRule="auto"/>
        <w:jc w:val="right"/>
      </w:pPr>
      <w:r>
        <w:rPr>
          <w:rFonts w:ascii="Times New Roman" w:hAnsi="Times New Roman" w:eastAsia="Times New Roman"/>
          <w:b w:val="0"/>
          <w:i/>
          <w:color w:val="444444"/>
          <w:sz w:val="20"/>
        </w:rPr>
        <w:t>Source : Les auteurs</w:t>
      </w:r>
    </w:p>
    <w:p>
      <w:pPr>
        <w:pStyle w:val="Heading3"/>
        <w:jc w:val="left"/>
      </w:pPr>
      <w:r>
        <w:rPr>
          <w:rFonts w:ascii="Times New Roman" w:hAnsi="Times New Roman" w:eastAsia="Times New Roman"/>
          <w:b/>
          <w:i w:val="0"/>
          <w:color w:val="2E4474"/>
          <w:sz w:val="24"/>
        </w:rPr>
        <w:t>3.5.3. Évaluation des performances</w:t>
      </w:r>
    </w:p>
    <w:p>
      <w:pPr>
        <w:spacing w:before="0" w:line="360" w:lineRule="auto"/>
        <w:jc w:val="both"/>
      </w:pPr>
      <w:r>
        <w:rPr>
          <w:rFonts w:ascii="Times New Roman" w:hAnsi="Times New Roman" w:eastAsia="Times New Roman"/>
          <w:b w:val="0"/>
          <w:i w:val="0"/>
          <w:sz w:val="24"/>
        </w:rPr>
        <w:t>Les temps de réponse ont été mesurés sur un jeu de données représentatif. Les opérations courantes — affichage d’une liste, recherche, enregistrement d’un formulaire — restent sous la seconde. La production d’un document PDF demande moins de deux secondes. Les listes volumineuses sont paginées et les champs interrogés sont indexés, de sorte que le temps de réponse ne se dégrade pas quand les effectifs augmentent.</w:t>
      </w:r>
    </w:p>
    <w:p>
      <w:pPr>
        <w:pStyle w:val="Heading2"/>
        <w:jc w:val="left"/>
      </w:pPr>
      <w:r>
        <w:rPr>
          <w:rFonts w:ascii="Times New Roman" w:hAnsi="Times New Roman" w:eastAsia="Times New Roman"/>
          <w:b/>
          <w:i w:val="0"/>
          <w:color w:val="2E4474"/>
          <w:sz w:val="28"/>
        </w:rPr>
        <w:t>3.6. Mise en ligne et visibilité</w:t>
      </w:r>
    </w:p>
    <w:p>
      <w:pPr>
        <w:spacing w:before="0" w:line="360" w:lineRule="auto"/>
        <w:jc w:val="both"/>
      </w:pPr>
      <w:r>
        <w:rPr>
          <w:rFonts w:ascii="Times New Roman" w:hAnsi="Times New Roman" w:eastAsia="Times New Roman"/>
          <w:b w:val="0"/>
          <w:i w:val="0"/>
          <w:sz w:val="24"/>
        </w:rPr>
        <w:t>La plateforme est déployée et accessible publiquement. Le site et l’application sont servis depuis un nom de domaine propre à l’établissement, et l’API depuis un sous-domaine dédié. Les échanges sont chiffrés de bout en bout.</w:t>
      </w:r>
    </w:p>
    <w:p>
      <w:pPr>
        <w:spacing w:before="0" w:line="360" w:lineRule="auto"/>
        <w:jc w:val="both"/>
      </w:pPr>
      <w:r>
        <w:rPr>
          <w:rFonts w:ascii="Times New Roman" w:hAnsi="Times New Roman" w:eastAsia="Times New Roman"/>
          <w:b w:val="0"/>
          <w:i w:val="0"/>
          <w:sz w:val="24"/>
        </w:rPr>
        <w:t>Un soin particulier a été porté à la visibilité de la partie publique. Les pages sont composées à l’avance, ce qui les rend lisibles sans exécution de script ; un plan de site et un fichier d’instructions destiné aux robots sont produits automatiquement à chaque construction ; les informations de l’établissement — adresse, coordonnées, formations, reconnaissances — sont exprimées sous une forme structurée que les moteurs de recherche savent interpréter. Un résumé factuel est également publié à l’intention des moteurs de réponse générative, de plus en plus utilisés pour ce type de recherche.</w:t>
      </w:r>
    </w:p>
    <w:p>
      <w:pPr>
        <w:pStyle w:val="Heading2"/>
        <w:jc w:val="left"/>
      </w:pPr>
      <w:r>
        <w:rPr>
          <w:rFonts w:ascii="Times New Roman" w:hAnsi="Times New Roman" w:eastAsia="Times New Roman"/>
          <w:b/>
          <w:i w:val="0"/>
          <w:color w:val="2E4474"/>
          <w:sz w:val="28"/>
        </w:rPr>
        <w:t>3.7. Difficultés rencontrées</w:t>
      </w:r>
    </w:p>
    <w:p>
      <w:pPr>
        <w:spacing w:before="0" w:line="360" w:lineRule="auto"/>
        <w:jc w:val="both"/>
      </w:pPr>
      <w:r>
        <w:rPr>
          <w:rFonts w:ascii="Times New Roman" w:hAnsi="Times New Roman" w:eastAsia="Times New Roman"/>
          <w:b w:val="0"/>
          <w:i w:val="0"/>
          <w:sz w:val="24"/>
        </w:rPr>
        <w:t>La réalisation a rencontré des obstacles d’ordre technique, méthodologique et organisationnel.</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Difficultés techniques. </w:t>
      </w:r>
      <w:r>
        <w:rPr>
          <w:rFonts w:ascii="Times New Roman" w:hAnsi="Times New Roman" w:eastAsia="Times New Roman"/>
          <w:b w:val="0"/>
          <w:i w:val="0"/>
          <w:sz w:val="24"/>
        </w:rPr>
        <w:t>La séparation du site et de l’API sur deux hébergements distincts a posé un problème de session que rien ne signalait : les témoins de connexion étaient bien déposés, mais le navigateur refusait de les renvoyer parce que les deux adresses n’étaient pas considérées comme un même site. Le symptôme — une déconnexion apparemment aléatoire — était très éloigné de la cause.</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Cohérence des règles. </w:t>
      </w:r>
      <w:r>
        <w:rPr>
          <w:rFonts w:ascii="Times New Roman" w:hAnsi="Times New Roman" w:eastAsia="Times New Roman"/>
          <w:b w:val="0"/>
          <w:i w:val="0"/>
          <w:sz w:val="24"/>
        </w:rPr>
        <w:t>Le regroupement automatique des matières a d’abord semblé fonctionner alors qu’il ne s’appuyait sur rien : le champ décrivant le type d’une matière ne portait pas le nom attendu, et toutes les matières retombaient silencieusement sur un appariement par défaut. Seule une vérification portant sur des données réelles l’a mis au jour.</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Difficultés méthodologiques. </w:t>
      </w:r>
      <w:r>
        <w:rPr>
          <w:rFonts w:ascii="Times New Roman" w:hAnsi="Times New Roman" w:eastAsia="Times New Roman"/>
          <w:b w:val="0"/>
          <w:i w:val="0"/>
          <w:sz w:val="24"/>
        </w:rPr>
        <w:t>Certains besoins exprimés oralement se sont révélés contradictoires une fois écrits. La matrice d’affinité entre types de matières, notamment, comportait sept couples déclarés dans un sens et dans l’autre avec des valeurs différentes ; il a fallu trancher chacun.</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Difficultés organisationnelles. </w:t>
      </w:r>
      <w:r>
        <w:rPr>
          <w:rFonts w:ascii="Times New Roman" w:hAnsi="Times New Roman" w:eastAsia="Times New Roman"/>
          <w:b w:val="0"/>
          <w:i w:val="0"/>
          <w:sz w:val="24"/>
        </w:rPr>
        <w:t>Mener ce projet en parallèle des autres enseignements a exigé une discipline de planification, et le travail à plusieurs sur une même base de code a supposé des conventions communes.</w:t>
      </w:r>
    </w:p>
    <w:p>
      <w:pPr>
        <w:pStyle w:val="Heading2"/>
        <w:jc w:val="left"/>
      </w:pPr>
      <w:r>
        <w:rPr>
          <w:rFonts w:ascii="Times New Roman" w:hAnsi="Times New Roman" w:eastAsia="Times New Roman"/>
          <w:b/>
          <w:i w:val="0"/>
          <w:color w:val="2E4474"/>
          <w:sz w:val="28"/>
        </w:rPr>
        <w:t>3.8. Perspectives d’amélioration</w:t>
      </w:r>
    </w:p>
    <w:p>
      <w:pPr>
        <w:spacing w:after="60" w:line="360" w:lineRule="auto"/>
        <w:ind w:left="454" w:hanging="283"/>
        <w:jc w:val="both"/>
      </w:pPr>
      <w:r>
        <w:rPr>
          <w:rFonts w:ascii="Times New Roman" w:hAnsi="Times New Roman" w:eastAsia="Times New Roman"/>
          <w:b w:val="0"/>
          <w:i w:val="0"/>
          <w:sz w:val="24"/>
        </w:rPr>
        <w:t>— notification par message court des résultats et des échéances de paiement, la couverture téléphonique étant plus répandue que l’accès à une boîte électronique ;</w:t>
      </w:r>
    </w:p>
    <w:p>
      <w:pPr>
        <w:spacing w:after="60" w:line="360" w:lineRule="auto"/>
        <w:ind w:left="454" w:hanging="283"/>
        <w:jc w:val="both"/>
      </w:pPr>
      <w:r>
        <w:rPr>
          <w:rFonts w:ascii="Times New Roman" w:hAnsi="Times New Roman" w:eastAsia="Times New Roman"/>
          <w:b w:val="0"/>
          <w:i w:val="0"/>
          <w:sz w:val="24"/>
        </w:rPr>
        <w:t>— application mobile compagnon pour les étudiants et les parents, fonctionnant partiellement hors connexion ;</w:t>
      </w:r>
    </w:p>
    <w:p>
      <w:pPr>
        <w:spacing w:after="60" w:line="360" w:lineRule="auto"/>
        <w:ind w:left="454" w:hanging="283"/>
        <w:jc w:val="both"/>
      </w:pPr>
      <w:r>
        <w:rPr>
          <w:rFonts w:ascii="Times New Roman" w:hAnsi="Times New Roman" w:eastAsia="Times New Roman"/>
          <w:b w:val="0"/>
          <w:i w:val="0"/>
          <w:sz w:val="24"/>
        </w:rPr>
        <w:t>— reprise automatisée des archives des années précédentes, aujourd’hui sur support papier ;</w:t>
      </w:r>
    </w:p>
    <w:p>
      <w:pPr>
        <w:spacing w:after="60" w:line="360" w:lineRule="auto"/>
        <w:ind w:left="454" w:hanging="283"/>
        <w:jc w:val="both"/>
      </w:pPr>
      <w:r>
        <w:rPr>
          <w:rFonts w:ascii="Times New Roman" w:hAnsi="Times New Roman" w:eastAsia="Times New Roman"/>
          <w:b w:val="0"/>
          <w:i w:val="0"/>
          <w:sz w:val="24"/>
        </w:rPr>
        <w:t>— module d’aide à la décision pour la direction : suivi des taux de réussite par filière et par matière, détection précoce des décrochages ;</w:t>
      </w:r>
    </w:p>
    <w:p>
      <w:pPr>
        <w:spacing w:after="60" w:line="360" w:lineRule="auto"/>
        <w:ind w:left="454" w:hanging="283"/>
        <w:jc w:val="both"/>
      </w:pPr>
      <w:r>
        <w:rPr>
          <w:rFonts w:ascii="Times New Roman" w:hAnsi="Times New Roman" w:eastAsia="Times New Roman"/>
          <w:b w:val="0"/>
          <w:i w:val="0"/>
          <w:sz w:val="24"/>
        </w:rPr>
        <w:t>— délivrance d’attestations et de relevés de notes signés numériquement, vérifiables par un tiers ;</w:t>
      </w:r>
    </w:p>
    <w:p>
      <w:pPr>
        <w:spacing w:after="60" w:line="360" w:lineRule="auto"/>
        <w:ind w:left="454" w:hanging="283"/>
        <w:jc w:val="both"/>
      </w:pPr>
      <w:r>
        <w:rPr>
          <w:rFonts w:ascii="Times New Roman" w:hAnsi="Times New Roman" w:eastAsia="Times New Roman"/>
          <w:b w:val="0"/>
          <w:i w:val="0"/>
          <w:sz w:val="24"/>
        </w:rPr>
        <w:t>— extension à la gestion des ressources humaines : contrats, services d’enseignement et rémunérations.</w:t>
      </w:r>
    </w:p>
    <w:p>
      <w:pPr>
        <w:pStyle w:val="Heading2"/>
        <w:jc w:val="left"/>
      </w:pPr>
      <w:r>
        <w:rPr>
          <w:rFonts w:ascii="Times New Roman" w:hAnsi="Times New Roman" w:eastAsia="Times New Roman"/>
          <w:b/>
          <w:i w:val="0"/>
          <w:color w:val="2E4474"/>
          <w:sz w:val="28"/>
        </w:rPr>
        <w:t>Conclusion</w:t>
      </w:r>
    </w:p>
    <w:p>
      <w:pPr>
        <w:spacing w:before="0" w:line="360" w:lineRule="auto"/>
        <w:jc w:val="both"/>
      </w:pPr>
      <w:r>
        <w:rPr>
          <w:rFonts w:ascii="Times New Roman" w:hAnsi="Times New Roman" w:eastAsia="Times New Roman"/>
          <w:b w:val="0"/>
          <w:i w:val="0"/>
          <w:sz w:val="24"/>
        </w:rPr>
        <w:t>Ce chapitre a présenté une application complète, sécurisée, éprouvée par 337 vérifications automatisées et effectivement mise en ligne. Les difficultés rencontrées ont été de deux natures : des erreurs techniques dont le symptôme était éloigné de la cause, et des besoins dont la contradiction n’est apparue qu’à l’écriture. Les unes comme les autres ont été instructives.</w:t>
      </w:r>
    </w:p>
    <w:p>
      <w:r>
        <w:br w:type="page"/>
      </w:r>
    </w:p>
    <w:p>
      <w:pPr>
        <w:pStyle w:val="Heading1"/>
        <w:jc w:val="center"/>
      </w:pPr>
      <w:r>
        <w:rPr>
          <w:rFonts w:ascii="Times New Roman" w:hAnsi="Times New Roman" w:eastAsia="Times New Roman"/>
          <w:b/>
          <w:i w:val="0"/>
          <w:color w:val="2E4474"/>
          <w:sz w:val="32"/>
        </w:rPr>
        <w:t>Conclusion générale</w:t>
      </w:r>
    </w:p>
    <w:p>
      <w:pPr>
        <w:spacing w:before="0" w:line="360" w:lineRule="auto"/>
        <w:jc w:val="both"/>
      </w:pPr>
      <w:r>
        <w:rPr>
          <w:rFonts w:ascii="Times New Roman" w:hAnsi="Times New Roman" w:eastAsia="Times New Roman"/>
          <w:b w:val="0"/>
          <w:i w:val="0"/>
          <w:sz w:val="24"/>
        </w:rPr>
        <w:t>Ce projet tutoré est parti d’un problème concret et largement répandu dans les établissements privés d’enseignement supérieur : une information dispersée entre des supports qui ne communiquent pas, d’où des lenteurs, des erreurs de recopie, une traçabilité inexistante et l’impossibilité, pour une famille, de consulter une situation sans se déplacer.</w:t>
      </w:r>
    </w:p>
    <w:p>
      <w:pPr>
        <w:spacing w:before="0" w:line="360" w:lineRule="auto"/>
        <w:jc w:val="both"/>
      </w:pPr>
      <w:r>
        <w:rPr>
          <w:rFonts w:ascii="Times New Roman" w:hAnsi="Times New Roman" w:eastAsia="Times New Roman"/>
          <w:b w:val="0"/>
          <w:i w:val="0"/>
          <w:sz w:val="24"/>
        </w:rPr>
        <w:t>Partant du cas de TechnoLAB-ISTA, nous avons conçu et réalisé une plateforme web couvrant le parcours complet d’un étudiant : inscription et dossier administratif, classes, matières et unités d’enseignement, saisie des notes et édition des bulletins, absences, emploi du temps, frais de scolarité et reçus, espaces personnels pour les étudiants et leurs familles.</w:t>
      </w:r>
    </w:p>
    <w:p>
      <w:pPr>
        <w:spacing w:before="0" w:line="360" w:lineRule="auto"/>
        <w:jc w:val="both"/>
      </w:pPr>
      <w:r>
        <w:rPr>
          <w:rFonts w:ascii="Times New Roman" w:hAnsi="Times New Roman" w:eastAsia="Times New Roman"/>
          <w:b w:val="0"/>
          <w:i w:val="0"/>
          <w:sz w:val="24"/>
        </w:rPr>
        <w:t>La démarche a suivi les étapes de l’ingénierie des systèmes d’information : étude de l’existant, formalisation des besoins, modélisation UML, conception de la base de données, développement incrémental, puis tests, déploiement et mise en ligne. Les résultats sont conformes aux objectifs fixés : l’application fonctionne, distingue sept profils métier, produit ses documents officiels au format PDF et est accessible en ligne.</w:t>
      </w:r>
    </w:p>
    <w:p>
      <w:pPr>
        <w:spacing w:before="0" w:line="360" w:lineRule="auto"/>
        <w:jc w:val="both"/>
      </w:pPr>
      <w:r>
        <w:rPr>
          <w:rFonts w:ascii="Times New Roman" w:hAnsi="Times New Roman" w:eastAsia="Times New Roman"/>
          <w:b w:val="0"/>
          <w:i w:val="0"/>
          <w:sz w:val="24"/>
        </w:rPr>
        <w:t>Deux apports nous paraissent mériter d’être soulignés, parce qu’ils dépassent la simple informatisation de procédures existantes.</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Le calcul plutôt que le stockage. </w:t>
      </w:r>
      <w:r>
        <w:rPr>
          <w:rFonts w:ascii="Times New Roman" w:hAnsi="Times New Roman" w:eastAsia="Times New Roman"/>
          <w:b w:val="0"/>
          <w:i w:val="0"/>
          <w:sz w:val="24"/>
        </w:rPr>
        <w:t>Aucun résultat dérivé n’est conservé : ni moyenne, ni total de crédits, ni solde. Tous sont reconstitués à la demande. Cette décision, prise tôt, supprime une catégorie entière de défauts — celle des documents qui contredisent les données dont ils sont censés découler.</w:t>
      </w:r>
    </w:p>
    <w:p>
      <w:pPr>
        <w:spacing w:after="60" w:line="360" w:lineRule="auto"/>
        <w:ind w:left="454"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La traduction des règles LMD en contraintes vérifiables. </w:t>
      </w:r>
      <w:r>
        <w:rPr>
          <w:rFonts w:ascii="Times New Roman" w:hAnsi="Times New Roman" w:eastAsia="Times New Roman"/>
          <w:b w:val="0"/>
          <w:i w:val="0"/>
          <w:sz w:val="24"/>
        </w:rPr>
        <w:t>Le calcul automatique des crédits, l’énumération des seules répartitions qui bouclent un semestre à trente, l’avertissement émis dès qu’aucune ne reste atteignable et le regroupement des matières par affinité transforment en garde-fous des principes jusque-là tenus de tête.</w:t>
      </w:r>
    </w:p>
    <w:p>
      <w:pPr>
        <w:spacing w:before="0" w:line="360" w:lineRule="auto"/>
        <w:jc w:val="both"/>
      </w:pPr>
      <w:r>
        <w:rPr>
          <w:rFonts w:ascii="Times New Roman" w:hAnsi="Times New Roman" w:eastAsia="Times New Roman"/>
          <w:b w:val="0"/>
          <w:i w:val="0"/>
          <w:sz w:val="24"/>
        </w:rPr>
        <w:t>Le travail comporte aussi des limites, qui dessinent la suite. Les archives des années antérieures restent à reprendre. La notification par message court, plus adaptée au contexte que le courriel, n’est pas encore en place. Une application mobile et un module d’aide à la décision restent à construire. Enfin, l’appropriation par les équipes suppose un accompagnement qui dépasse le cadre de ce projet.</w:t>
      </w:r>
    </w:p>
    <w:p>
      <w:pPr>
        <w:spacing w:before="0" w:line="360" w:lineRule="auto"/>
        <w:jc w:val="both"/>
      </w:pPr>
      <w:r>
        <w:rPr>
          <w:rFonts w:ascii="Times New Roman" w:hAnsi="Times New Roman" w:eastAsia="Times New Roman"/>
          <w:b w:val="0"/>
          <w:i w:val="0"/>
          <w:sz w:val="24"/>
        </w:rPr>
        <w:t>Au-delà du logiciel produit, ce projet nous a permis de mettre en œuvre l’ensemble des compétences de la formation sur un cas réel, avec ses contraintes propres et ses arbitrages. Il nous a surtout appris qu’un système d’information ne se juge pas à ce qu’il permet de faire, mais à ce qu’il empêche de faire de travers.</w:t>
      </w:r>
    </w:p>
    <w:p>
      <w:r>
        <w:br w:type="page"/>
      </w:r>
    </w:p>
    <w:p>
      <w:pPr>
        <w:pStyle w:val="Heading1"/>
        <w:jc w:val="center"/>
      </w:pPr>
      <w:r>
        <w:rPr>
          <w:rFonts w:ascii="Times New Roman" w:hAnsi="Times New Roman" w:eastAsia="Times New Roman"/>
          <w:b/>
          <w:i w:val="0"/>
          <w:color w:val="2E4474"/>
          <w:sz w:val="32"/>
        </w:rPr>
        <w:t>Références bibliographiques</w:t>
      </w:r>
    </w:p>
    <w:p>
      <w:pPr>
        <w:spacing w:before="0" w:line="276" w:lineRule="auto" w:after="160"/>
        <w:ind w:left="567" w:hanging="567"/>
        <w:jc w:val="both"/>
      </w:pPr>
      <w:r>
        <w:rPr>
          <w:rFonts w:ascii="Times New Roman" w:hAnsi="Times New Roman" w:eastAsia="Times New Roman"/>
          <w:b w:val="0"/>
          <w:i w:val="0"/>
          <w:sz w:val="24"/>
        </w:rPr>
        <w:t>Banks, A. et Porcello, E. (2020). Learning React: Modern Patterns for Developing React Apps (2ᵉ éd.). O’Reilly Media.</w:t>
      </w:r>
    </w:p>
    <w:p>
      <w:pPr>
        <w:spacing w:before="0" w:line="276" w:lineRule="auto" w:after="160"/>
        <w:ind w:left="567" w:hanging="567"/>
        <w:jc w:val="both"/>
      </w:pPr>
      <w:r>
        <w:rPr>
          <w:rFonts w:ascii="Times New Roman" w:hAnsi="Times New Roman" w:eastAsia="Times New Roman"/>
          <w:b w:val="0"/>
          <w:i w:val="0"/>
          <w:sz w:val="24"/>
        </w:rPr>
        <w:t>Booch, G., Rumbaugh, J. et Jacobson, I. (2005). The Unified Modeling Language User Guide (2ᵉ éd.). Addison-Wesley.</w:t>
      </w:r>
    </w:p>
    <w:p>
      <w:pPr>
        <w:spacing w:before="0" w:line="276" w:lineRule="auto" w:after="160"/>
        <w:ind w:left="567" w:hanging="567"/>
        <w:jc w:val="both"/>
      </w:pPr>
      <w:r>
        <w:rPr>
          <w:rFonts w:ascii="Times New Roman" w:hAnsi="Times New Roman" w:eastAsia="Times New Roman"/>
          <w:b w:val="0"/>
          <w:i w:val="0"/>
          <w:sz w:val="24"/>
        </w:rPr>
        <w:t>Bradshaw, S., Brazil, E. et Chodorow, K. (2019). MongoDB: The Definitive Guide (3ᵉ éd.). O’Reilly Media.</w:t>
      </w:r>
    </w:p>
    <w:p>
      <w:pPr>
        <w:spacing w:before="0" w:line="276" w:lineRule="auto" w:after="160"/>
        <w:ind w:left="567" w:hanging="567"/>
        <w:jc w:val="both"/>
      </w:pPr>
      <w:r>
        <w:rPr>
          <w:rFonts w:ascii="Times New Roman" w:hAnsi="Times New Roman" w:eastAsia="Times New Roman"/>
          <w:b w:val="0"/>
          <w:i w:val="0"/>
          <w:sz w:val="24"/>
        </w:rPr>
        <w:t>Commission européenne. (2015). Guide d’utilisation ECTS. Office des publications de l’Union européenne.</w:t>
      </w:r>
    </w:p>
    <w:p>
      <w:pPr>
        <w:spacing w:before="0" w:line="276" w:lineRule="auto" w:after="160"/>
        <w:ind w:left="567" w:hanging="567"/>
        <w:jc w:val="both"/>
      </w:pPr>
      <w:r>
        <w:rPr>
          <w:rFonts w:ascii="Times New Roman" w:hAnsi="Times New Roman" w:eastAsia="Times New Roman"/>
          <w:b w:val="0"/>
          <w:i w:val="0"/>
          <w:sz w:val="24"/>
        </w:rPr>
        <w:t>Fowler, M. (2018). Refactoring: Improving the Design of Existing Code (2ᵉ éd.). Addison-Wesley.</w:t>
      </w:r>
    </w:p>
    <w:p>
      <w:pPr>
        <w:spacing w:before="0" w:line="276" w:lineRule="auto" w:after="160"/>
        <w:ind w:left="567" w:hanging="567"/>
        <w:jc w:val="both"/>
      </w:pPr>
      <w:r>
        <w:rPr>
          <w:rFonts w:ascii="Times New Roman" w:hAnsi="Times New Roman" w:eastAsia="Times New Roman"/>
          <w:b w:val="0"/>
          <w:i w:val="0"/>
          <w:sz w:val="24"/>
        </w:rPr>
        <w:t>Fowler, M. et Scott, K. (2004). UML Distilled: A Brief Guide to the Standard Object Modeling Language (3ᵉ éd.). Addison-Wesley.</w:t>
      </w:r>
    </w:p>
    <w:p>
      <w:pPr>
        <w:spacing w:before="0" w:line="276" w:lineRule="auto" w:after="160"/>
        <w:ind w:left="567" w:hanging="567"/>
        <w:jc w:val="both"/>
      </w:pPr>
      <w:r>
        <w:rPr>
          <w:rFonts w:ascii="Times New Roman" w:hAnsi="Times New Roman" w:eastAsia="Times New Roman"/>
          <w:b w:val="0"/>
          <w:i w:val="0"/>
          <w:sz w:val="24"/>
        </w:rPr>
        <w:t>Jones, M., Bradley, J. et Sakimura, N. (2015). JSON Web Token (JWT), RFC 7519. Internet Engineering Task Force.</w:t>
      </w:r>
    </w:p>
    <w:p>
      <w:pPr>
        <w:spacing w:before="0" w:line="276" w:lineRule="auto" w:after="160"/>
        <w:ind w:left="567" w:hanging="567"/>
        <w:jc w:val="both"/>
      </w:pPr>
      <w:r>
        <w:rPr>
          <w:rFonts w:ascii="Times New Roman" w:hAnsi="Times New Roman" w:eastAsia="Times New Roman"/>
          <w:b w:val="0"/>
          <w:i w:val="0"/>
          <w:sz w:val="24"/>
        </w:rPr>
        <w:t>Kuhn, H. W. (1955). The Hungarian Method for the Assignment Problem. Naval Research Logistics Quarterly, 2(1-2), 83-97.</w:t>
      </w:r>
    </w:p>
    <w:p>
      <w:pPr>
        <w:spacing w:before="0" w:line="276" w:lineRule="auto" w:after="160"/>
        <w:ind w:left="567" w:hanging="567"/>
        <w:jc w:val="both"/>
      </w:pPr>
      <w:r>
        <w:rPr>
          <w:rFonts w:ascii="Times New Roman" w:hAnsi="Times New Roman" w:eastAsia="Times New Roman"/>
          <w:b w:val="0"/>
          <w:i w:val="0"/>
          <w:sz w:val="24"/>
        </w:rPr>
        <w:t>Ministère de l’Enseignement Supérieur et de la Recherche Scientifique. (s.d.). Textes relatifs à l’organisation du système Licence-Master-Doctorat. République du Mali.</w:t>
      </w:r>
    </w:p>
    <w:p>
      <w:pPr>
        <w:spacing w:before="0" w:line="276" w:lineRule="auto" w:after="160"/>
        <w:ind w:left="567" w:hanging="567"/>
        <w:jc w:val="both"/>
      </w:pPr>
      <w:r>
        <w:rPr>
          <w:rFonts w:ascii="Times New Roman" w:hAnsi="Times New Roman" w:eastAsia="Times New Roman"/>
          <w:b w:val="0"/>
          <w:i w:val="0"/>
          <w:sz w:val="24"/>
        </w:rPr>
        <w:t>Provos, N. et Mazières, D. (1999). A Future-Adaptable Password Scheme. Actes de la conférence USENIX Annual Technical Conference.</w:t>
      </w:r>
    </w:p>
    <w:p>
      <w:pPr>
        <w:spacing w:before="0" w:line="276" w:lineRule="auto" w:after="160"/>
        <w:ind w:left="567" w:hanging="567"/>
        <w:jc w:val="both"/>
      </w:pPr>
      <w:r>
        <w:rPr>
          <w:rFonts w:ascii="Times New Roman" w:hAnsi="Times New Roman" w:eastAsia="Times New Roman"/>
          <w:b w:val="0"/>
          <w:i w:val="0"/>
          <w:sz w:val="24"/>
        </w:rPr>
        <w:t>Roques, P. (2018). UML 2 par la pratique : études de cas et exercices corrigés (8ᵉ éd.). Eyrolles.</w:t>
      </w:r>
    </w:p>
    <w:p>
      <w:pPr>
        <w:spacing w:before="0" w:line="276" w:lineRule="auto" w:after="160"/>
        <w:ind w:left="567" w:hanging="567"/>
        <w:jc w:val="both"/>
      </w:pPr>
      <w:r>
        <w:rPr>
          <w:rFonts w:ascii="Times New Roman" w:hAnsi="Times New Roman" w:eastAsia="Times New Roman"/>
          <w:b w:val="0"/>
          <w:i w:val="0"/>
          <w:sz w:val="24"/>
        </w:rPr>
        <w:t>TechnoLAB-ISTA. (s.d.). Guide de rédaction du Projet Tutoré de fin de cycle. Document interne.</w:t>
      </w:r>
    </w:p>
    <w:p>
      <w:r>
        <w:br w:type="page"/>
      </w:r>
    </w:p>
    <w:p>
      <w:pPr>
        <w:pStyle w:val="Heading1"/>
        <w:jc w:val="center"/>
      </w:pPr>
      <w:r>
        <w:rPr>
          <w:rFonts w:ascii="Times New Roman" w:hAnsi="Times New Roman" w:eastAsia="Times New Roman"/>
          <w:b/>
          <w:i w:val="0"/>
          <w:color w:val="2E4474"/>
          <w:sz w:val="32"/>
        </w:rPr>
        <w:t>Annexes</w:t>
      </w:r>
    </w:p>
    <w:p>
      <w:pPr>
        <w:pStyle w:val="Heading2"/>
        <w:jc w:val="left"/>
      </w:pPr>
      <w:r>
        <w:rPr>
          <w:rFonts w:ascii="Times New Roman" w:hAnsi="Times New Roman" w:eastAsia="Times New Roman"/>
          <w:b/>
          <w:i w:val="0"/>
          <w:color w:val="2E4474"/>
          <w:sz w:val="28"/>
        </w:rPr>
        <w:t>Annexe A — Besoins fonctionnels détaillés</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Besoins fonctionnels détaillés</w:t>
      </w:r>
    </w:p>
    <w:tbl>
      <w:tblPr>
        <w:tblStyle w:val="TableGrid"/>
        <w:tblW w:type="auto" w:w="0"/>
        <w:jc w:val="center"/>
        <w:tblLook w:firstColumn="1" w:firstRow="1" w:lastColumn="0" w:lastRow="0" w:noHBand="0" w:noVBand="1" w:val="04A0"/>
      </w:tblPr>
      <w:tblGrid>
        <w:gridCol w:w="3120"/>
        <w:gridCol w:w="3120"/>
        <w:gridCol w:w="3120"/>
      </w:tblGrid>
      <w:tr>
        <w:tc>
          <w:tcPr>
            <w:tcW w:type="dxa" w:w="680"/>
            <w:shd w:val="clear" w:fill="DCE3EE"/>
          </w:tcPr>
          <w:p>
            <w:pPr>
              <w:spacing w:line="240" w:lineRule="auto" w:after="40"/>
              <w:jc w:val="center"/>
            </w:pPr>
            <w:r>
              <w:rPr>
                <w:rFonts w:ascii="Times New Roman" w:hAnsi="Times New Roman" w:eastAsia="Times New Roman"/>
                <w:b/>
                <w:i w:val="0"/>
                <w:sz w:val="21"/>
              </w:rPr>
              <w:t>N°</w:t>
            </w:r>
          </w:p>
        </w:tc>
        <w:tc>
          <w:tcPr>
            <w:tcW w:type="dxa" w:w="2154"/>
            <w:shd w:val="clear" w:fill="DCE3EE"/>
          </w:tcPr>
          <w:p>
            <w:pPr>
              <w:spacing w:line="240" w:lineRule="auto" w:after="40"/>
              <w:jc w:val="center"/>
            </w:pPr>
            <w:r>
              <w:rPr>
                <w:rFonts w:ascii="Times New Roman" w:hAnsi="Times New Roman" w:eastAsia="Times New Roman"/>
                <w:b/>
                <w:i w:val="0"/>
                <w:sz w:val="21"/>
              </w:rPr>
              <w:t>Besoin fonctionnel</w:t>
            </w:r>
          </w:p>
        </w:tc>
        <w:tc>
          <w:tcPr>
            <w:tcW w:type="dxa" w:w="5953"/>
            <w:shd w:val="clear" w:fill="DCE3EE"/>
          </w:tcPr>
          <w:p>
            <w:pPr>
              <w:spacing w:line="240" w:lineRule="auto" w:after="40"/>
              <w:jc w:val="center"/>
            </w:pPr>
            <w:r>
              <w:rPr>
                <w:rFonts w:ascii="Times New Roman" w:hAnsi="Times New Roman" w:eastAsia="Times New Roman"/>
                <w:b/>
                <w:i w:val="0"/>
                <w:sz w:val="21"/>
              </w:rPr>
              <w:t>Description détaillée</w:t>
            </w:r>
          </w:p>
        </w:tc>
      </w:tr>
      <w:tr>
        <w:tc>
          <w:tcPr>
            <w:tcW w:type="dxa" w:w="680"/>
          </w:tcPr>
          <w:p>
            <w:pPr>
              <w:spacing w:line="240" w:lineRule="auto" w:after="40"/>
              <w:jc w:val="center"/>
            </w:pPr>
            <w:r>
              <w:rPr>
                <w:rFonts w:ascii="Times New Roman" w:hAnsi="Times New Roman" w:eastAsia="Times New Roman"/>
                <w:b w:val="0"/>
                <w:i w:val="0"/>
                <w:sz w:val="21"/>
              </w:rPr>
              <w:t>BF1</w:t>
            </w:r>
          </w:p>
        </w:tc>
        <w:tc>
          <w:tcPr>
            <w:tcW w:type="dxa" w:w="2154"/>
          </w:tcPr>
          <w:p>
            <w:pPr>
              <w:spacing w:line="240" w:lineRule="auto" w:after="40"/>
              <w:jc w:val="left"/>
            </w:pPr>
            <w:r>
              <w:rPr>
                <w:rFonts w:ascii="Times New Roman" w:hAnsi="Times New Roman" w:eastAsia="Times New Roman"/>
                <w:b w:val="0"/>
                <w:i w:val="0"/>
                <w:sz w:val="21"/>
              </w:rPr>
              <w:t>Authentifier les utilisateurs</w:t>
            </w:r>
          </w:p>
        </w:tc>
        <w:tc>
          <w:tcPr>
            <w:tcW w:type="dxa" w:w="5953"/>
          </w:tcPr>
          <w:p>
            <w:pPr>
              <w:spacing w:line="240" w:lineRule="auto" w:after="40"/>
              <w:jc w:val="left"/>
            </w:pPr>
            <w:r>
              <w:rPr>
                <w:rFonts w:ascii="Times New Roman" w:hAnsi="Times New Roman" w:eastAsia="Times New Roman"/>
                <w:b w:val="0"/>
                <w:i w:val="0"/>
                <w:sz w:val="21"/>
              </w:rPr>
              <w:t>Connexion par adresse électronique et mot de passe ; empreinte irréversible du mot de passe ; limitation des tentatives ; réinitialisation par courriel ; déconnexion révoquant le jeton.</w:t>
            </w:r>
          </w:p>
        </w:tc>
      </w:tr>
      <w:tr>
        <w:tc>
          <w:tcPr>
            <w:tcW w:type="dxa" w:w="680"/>
          </w:tcPr>
          <w:p>
            <w:pPr>
              <w:spacing w:line="240" w:lineRule="auto" w:after="40"/>
              <w:jc w:val="center"/>
            </w:pPr>
            <w:r>
              <w:rPr>
                <w:rFonts w:ascii="Times New Roman" w:hAnsi="Times New Roman" w:eastAsia="Times New Roman"/>
                <w:b w:val="0"/>
                <w:i w:val="0"/>
                <w:sz w:val="21"/>
              </w:rPr>
              <w:t>BF2</w:t>
            </w:r>
          </w:p>
        </w:tc>
        <w:tc>
          <w:tcPr>
            <w:tcW w:type="dxa" w:w="2154"/>
          </w:tcPr>
          <w:p>
            <w:pPr>
              <w:spacing w:line="240" w:lineRule="auto" w:after="40"/>
              <w:jc w:val="left"/>
            </w:pPr>
            <w:r>
              <w:rPr>
                <w:rFonts w:ascii="Times New Roman" w:hAnsi="Times New Roman" w:eastAsia="Times New Roman"/>
                <w:b w:val="0"/>
                <w:i w:val="0"/>
                <w:sz w:val="21"/>
              </w:rPr>
              <w:t>Gérer les comptes et les rôles</w:t>
            </w:r>
          </w:p>
        </w:tc>
        <w:tc>
          <w:tcPr>
            <w:tcW w:type="dxa" w:w="5953"/>
          </w:tcPr>
          <w:p>
            <w:pPr>
              <w:spacing w:line="240" w:lineRule="auto" w:after="40"/>
              <w:jc w:val="left"/>
            </w:pPr>
            <w:r>
              <w:rPr>
                <w:rFonts w:ascii="Times New Roman" w:hAnsi="Times New Roman" w:eastAsia="Times New Roman"/>
                <w:b w:val="0"/>
                <w:i w:val="0"/>
                <w:sz w:val="21"/>
              </w:rPr>
              <w:t>Créer, modifier, activer et désactiver un compte ; attribuer un rôle parmi sept ; respecter la délégation : le secrétariat gère les étudiants et les parents, la direction gère le personnel, seul un administrateur agit sur un administrateur.</w:t>
            </w:r>
          </w:p>
        </w:tc>
      </w:tr>
      <w:tr>
        <w:tc>
          <w:tcPr>
            <w:tcW w:type="dxa" w:w="680"/>
          </w:tcPr>
          <w:p>
            <w:pPr>
              <w:spacing w:line="240" w:lineRule="auto" w:after="40"/>
              <w:jc w:val="center"/>
            </w:pPr>
            <w:r>
              <w:rPr>
                <w:rFonts w:ascii="Times New Roman" w:hAnsi="Times New Roman" w:eastAsia="Times New Roman"/>
                <w:b w:val="0"/>
                <w:i w:val="0"/>
                <w:sz w:val="21"/>
              </w:rPr>
              <w:t>BF3</w:t>
            </w:r>
          </w:p>
        </w:tc>
        <w:tc>
          <w:tcPr>
            <w:tcW w:type="dxa" w:w="2154"/>
          </w:tcPr>
          <w:p>
            <w:pPr>
              <w:spacing w:line="240" w:lineRule="auto" w:after="40"/>
              <w:jc w:val="left"/>
            </w:pPr>
            <w:r>
              <w:rPr>
                <w:rFonts w:ascii="Times New Roman" w:hAnsi="Times New Roman" w:eastAsia="Times New Roman"/>
                <w:b w:val="0"/>
                <w:i w:val="0"/>
                <w:sz w:val="21"/>
              </w:rPr>
              <w:t>Gérer les étudiants</w:t>
            </w:r>
          </w:p>
        </w:tc>
        <w:tc>
          <w:tcPr>
            <w:tcW w:type="dxa" w:w="5953"/>
          </w:tcPr>
          <w:p>
            <w:pPr>
              <w:spacing w:line="240" w:lineRule="auto" w:after="40"/>
              <w:jc w:val="left"/>
            </w:pPr>
            <w:r>
              <w:rPr>
                <w:rFonts w:ascii="Times New Roman" w:hAnsi="Times New Roman" w:eastAsia="Times New Roman"/>
                <w:b w:val="0"/>
                <w:i w:val="0"/>
                <w:sz w:val="21"/>
              </w:rPr>
              <w:t>Dossier complet : identité, date et lieu de naissance, nationalité, coordonnées, famille, classe, année d’inscription, statut ; matricule généré automatiquement selon le rôle ; fiche d’inscription en PDF.</w:t>
            </w:r>
          </w:p>
        </w:tc>
      </w:tr>
      <w:tr>
        <w:tc>
          <w:tcPr>
            <w:tcW w:type="dxa" w:w="680"/>
          </w:tcPr>
          <w:p>
            <w:pPr>
              <w:spacing w:line="240" w:lineRule="auto" w:after="40"/>
              <w:jc w:val="center"/>
            </w:pPr>
            <w:r>
              <w:rPr>
                <w:rFonts w:ascii="Times New Roman" w:hAnsi="Times New Roman" w:eastAsia="Times New Roman"/>
                <w:b w:val="0"/>
                <w:i w:val="0"/>
                <w:sz w:val="21"/>
              </w:rPr>
              <w:t>BF4</w:t>
            </w:r>
          </w:p>
        </w:tc>
        <w:tc>
          <w:tcPr>
            <w:tcW w:type="dxa" w:w="2154"/>
          </w:tcPr>
          <w:p>
            <w:pPr>
              <w:spacing w:line="240" w:lineRule="auto" w:after="40"/>
              <w:jc w:val="left"/>
            </w:pPr>
            <w:r>
              <w:rPr>
                <w:rFonts w:ascii="Times New Roman" w:hAnsi="Times New Roman" w:eastAsia="Times New Roman"/>
                <w:b w:val="0"/>
                <w:i w:val="0"/>
                <w:sz w:val="21"/>
              </w:rPr>
              <w:t>Gérer les classes</w:t>
            </w:r>
          </w:p>
        </w:tc>
        <w:tc>
          <w:tcPr>
            <w:tcW w:type="dxa" w:w="5953"/>
          </w:tcPr>
          <w:p>
            <w:pPr>
              <w:spacing w:line="240" w:lineRule="auto" w:after="40"/>
              <w:jc w:val="left"/>
            </w:pPr>
            <w:r>
              <w:rPr>
                <w:rFonts w:ascii="Times New Roman" w:hAnsi="Times New Roman" w:eastAsia="Times New Roman"/>
                <w:b w:val="0"/>
                <w:i w:val="0"/>
                <w:sz w:val="21"/>
              </w:rPr>
              <w:t>Création par niveau (DUT1 à M2), filière et année scolaire ; capacité ; professeur principal ; activation et désactivation.</w:t>
            </w:r>
          </w:p>
        </w:tc>
      </w:tr>
      <w:tr>
        <w:tc>
          <w:tcPr>
            <w:tcW w:type="dxa" w:w="680"/>
          </w:tcPr>
          <w:p>
            <w:pPr>
              <w:spacing w:line="240" w:lineRule="auto" w:after="40"/>
              <w:jc w:val="center"/>
            </w:pPr>
            <w:r>
              <w:rPr>
                <w:rFonts w:ascii="Times New Roman" w:hAnsi="Times New Roman" w:eastAsia="Times New Roman"/>
                <w:b w:val="0"/>
                <w:i w:val="0"/>
                <w:sz w:val="21"/>
              </w:rPr>
              <w:t>BF5</w:t>
            </w:r>
          </w:p>
        </w:tc>
        <w:tc>
          <w:tcPr>
            <w:tcW w:type="dxa" w:w="2154"/>
          </w:tcPr>
          <w:p>
            <w:pPr>
              <w:spacing w:line="240" w:lineRule="auto" w:after="40"/>
              <w:jc w:val="left"/>
            </w:pPr>
            <w:r>
              <w:rPr>
                <w:rFonts w:ascii="Times New Roman" w:hAnsi="Times New Roman" w:eastAsia="Times New Roman"/>
                <w:b w:val="0"/>
                <w:i w:val="0"/>
                <w:sz w:val="21"/>
              </w:rPr>
              <w:t>Gérer les matières</w:t>
            </w:r>
          </w:p>
        </w:tc>
        <w:tc>
          <w:tcPr>
            <w:tcW w:type="dxa" w:w="5953"/>
          </w:tcPr>
          <w:p>
            <w:pPr>
              <w:spacing w:line="240" w:lineRule="auto" w:after="40"/>
              <w:jc w:val="left"/>
            </w:pPr>
            <w:r>
              <w:rPr>
                <w:rFonts w:ascii="Times New Roman" w:hAnsi="Times New Roman" w:eastAsia="Times New Roman"/>
                <w:b w:val="0"/>
                <w:i w:val="0"/>
                <w:sz w:val="21"/>
              </w:rPr>
              <w:t>Code, intitulé, coefficient de 1 à 10, type, semestre, enseignant responsable, classe de rattachement ; crédits déduits automatiquement du coefficient.</w:t>
            </w:r>
          </w:p>
        </w:tc>
      </w:tr>
      <w:tr>
        <w:tc>
          <w:tcPr>
            <w:tcW w:type="dxa" w:w="680"/>
          </w:tcPr>
          <w:p>
            <w:pPr>
              <w:spacing w:line="240" w:lineRule="auto" w:after="40"/>
              <w:jc w:val="center"/>
            </w:pPr>
            <w:r>
              <w:rPr>
                <w:rFonts w:ascii="Times New Roman" w:hAnsi="Times New Roman" w:eastAsia="Times New Roman"/>
                <w:b w:val="0"/>
                <w:i w:val="0"/>
                <w:sz w:val="21"/>
              </w:rPr>
              <w:t>BF6</w:t>
            </w:r>
          </w:p>
        </w:tc>
        <w:tc>
          <w:tcPr>
            <w:tcW w:type="dxa" w:w="2154"/>
          </w:tcPr>
          <w:p>
            <w:pPr>
              <w:spacing w:line="240" w:lineRule="auto" w:after="40"/>
              <w:jc w:val="left"/>
            </w:pPr>
            <w:r>
              <w:rPr>
                <w:rFonts w:ascii="Times New Roman" w:hAnsi="Times New Roman" w:eastAsia="Times New Roman"/>
                <w:b w:val="0"/>
                <w:i w:val="0"/>
                <w:sz w:val="21"/>
              </w:rPr>
              <w:t>Gérer les unités d’enseignement</w:t>
            </w:r>
          </w:p>
        </w:tc>
        <w:tc>
          <w:tcPr>
            <w:tcW w:type="dxa" w:w="5953"/>
          </w:tcPr>
          <w:p>
            <w:pPr>
              <w:spacing w:line="240" w:lineRule="auto" w:after="40"/>
              <w:jc w:val="left"/>
            </w:pPr>
            <w:r>
              <w:rPr>
                <w:rFonts w:ascii="Times New Roman" w:hAnsi="Times New Roman" w:eastAsia="Times New Roman"/>
                <w:b w:val="0"/>
                <w:i w:val="0"/>
                <w:sz w:val="21"/>
              </w:rPr>
              <w:t>Constitution automatique par affinité entre types, ou à la main ; contrôle permanent du total de trente crédits ; avertissement dès qu’aucune répartition ne reste atteignable.</w:t>
            </w:r>
          </w:p>
        </w:tc>
      </w:tr>
      <w:tr>
        <w:tc>
          <w:tcPr>
            <w:tcW w:type="dxa" w:w="680"/>
          </w:tcPr>
          <w:p>
            <w:pPr>
              <w:spacing w:line="240" w:lineRule="auto" w:after="40"/>
              <w:jc w:val="center"/>
            </w:pPr>
            <w:r>
              <w:rPr>
                <w:rFonts w:ascii="Times New Roman" w:hAnsi="Times New Roman" w:eastAsia="Times New Roman"/>
                <w:b w:val="0"/>
                <w:i w:val="0"/>
                <w:sz w:val="21"/>
              </w:rPr>
              <w:t>BF7</w:t>
            </w:r>
          </w:p>
        </w:tc>
        <w:tc>
          <w:tcPr>
            <w:tcW w:type="dxa" w:w="2154"/>
          </w:tcPr>
          <w:p>
            <w:pPr>
              <w:spacing w:line="240" w:lineRule="auto" w:after="40"/>
              <w:jc w:val="left"/>
            </w:pPr>
            <w:r>
              <w:rPr>
                <w:rFonts w:ascii="Times New Roman" w:hAnsi="Times New Roman" w:eastAsia="Times New Roman"/>
                <w:b w:val="0"/>
                <w:i w:val="0"/>
                <w:sz w:val="21"/>
              </w:rPr>
              <w:t>Administrer les règles pédagogiques</w:t>
            </w:r>
          </w:p>
        </w:tc>
        <w:tc>
          <w:tcPr>
            <w:tcW w:type="dxa" w:w="5953"/>
          </w:tcPr>
          <w:p>
            <w:pPr>
              <w:spacing w:line="240" w:lineRule="auto" w:after="40"/>
              <w:jc w:val="left"/>
            </w:pPr>
            <w:r>
              <w:rPr>
                <w:rFonts w:ascii="Times New Roman" w:hAnsi="Times New Roman" w:eastAsia="Times New Roman"/>
                <w:b w:val="0"/>
                <w:i w:val="0"/>
                <w:sz w:val="21"/>
              </w:rPr>
              <w:t>Pondération entre note de classe et note d’examen ; seuil de validation ; nombre de crédits par semestre ; typologie des matières ; matrice d’affinité symétrique.</w:t>
            </w:r>
          </w:p>
        </w:tc>
      </w:tr>
      <w:tr>
        <w:tc>
          <w:tcPr>
            <w:tcW w:type="dxa" w:w="680"/>
          </w:tcPr>
          <w:p>
            <w:pPr>
              <w:spacing w:line="240" w:lineRule="auto" w:after="40"/>
              <w:jc w:val="center"/>
            </w:pPr>
            <w:r>
              <w:rPr>
                <w:rFonts w:ascii="Times New Roman" w:hAnsi="Times New Roman" w:eastAsia="Times New Roman"/>
                <w:b w:val="0"/>
                <w:i w:val="0"/>
                <w:sz w:val="21"/>
              </w:rPr>
              <w:t>BF8</w:t>
            </w:r>
          </w:p>
        </w:tc>
        <w:tc>
          <w:tcPr>
            <w:tcW w:type="dxa" w:w="2154"/>
          </w:tcPr>
          <w:p>
            <w:pPr>
              <w:spacing w:line="240" w:lineRule="auto" w:after="40"/>
              <w:jc w:val="left"/>
            </w:pPr>
            <w:r>
              <w:rPr>
                <w:rFonts w:ascii="Times New Roman" w:hAnsi="Times New Roman" w:eastAsia="Times New Roman"/>
                <w:b w:val="0"/>
                <w:i w:val="0"/>
                <w:sz w:val="21"/>
              </w:rPr>
              <w:t>Saisir les notes</w:t>
            </w:r>
          </w:p>
        </w:tc>
        <w:tc>
          <w:tcPr>
            <w:tcW w:type="dxa" w:w="5953"/>
          </w:tcPr>
          <w:p>
            <w:pPr>
              <w:spacing w:line="240" w:lineRule="auto" w:after="40"/>
              <w:jc w:val="left"/>
            </w:pPr>
            <w:r>
              <w:rPr>
                <w:rFonts w:ascii="Times New Roman" w:hAnsi="Times New Roman" w:eastAsia="Times New Roman"/>
                <w:b w:val="0"/>
                <w:i w:val="0"/>
                <w:sz w:val="21"/>
              </w:rPr>
              <w:t>Sélection en cascade de la classe, de la matière et du semestre ; grille pré-remplie ; enregistrement par lot ; appréciation ; publication contrôlée ; identité du saisisseur conservée.</w:t>
            </w:r>
          </w:p>
        </w:tc>
      </w:tr>
      <w:tr>
        <w:tc>
          <w:tcPr>
            <w:tcW w:type="dxa" w:w="680"/>
          </w:tcPr>
          <w:p>
            <w:pPr>
              <w:spacing w:line="240" w:lineRule="auto" w:after="40"/>
              <w:jc w:val="center"/>
            </w:pPr>
            <w:r>
              <w:rPr>
                <w:rFonts w:ascii="Times New Roman" w:hAnsi="Times New Roman" w:eastAsia="Times New Roman"/>
                <w:b w:val="0"/>
                <w:i w:val="0"/>
                <w:sz w:val="21"/>
              </w:rPr>
              <w:t>BF9</w:t>
            </w:r>
          </w:p>
        </w:tc>
        <w:tc>
          <w:tcPr>
            <w:tcW w:type="dxa" w:w="2154"/>
          </w:tcPr>
          <w:p>
            <w:pPr>
              <w:spacing w:line="240" w:lineRule="auto" w:after="40"/>
              <w:jc w:val="left"/>
            </w:pPr>
            <w:r>
              <w:rPr>
                <w:rFonts w:ascii="Times New Roman" w:hAnsi="Times New Roman" w:eastAsia="Times New Roman"/>
                <w:b w:val="0"/>
                <w:i w:val="0"/>
                <w:sz w:val="21"/>
              </w:rPr>
              <w:t>Éditer les bulletins</w:t>
            </w:r>
          </w:p>
        </w:tc>
        <w:tc>
          <w:tcPr>
            <w:tcW w:type="dxa" w:w="5953"/>
          </w:tcPr>
          <w:p>
            <w:pPr>
              <w:spacing w:line="240" w:lineRule="auto" w:after="40"/>
              <w:jc w:val="left"/>
            </w:pPr>
            <w:r>
              <w:rPr>
                <w:rFonts w:ascii="Times New Roman" w:hAnsi="Times New Roman" w:eastAsia="Times New Roman"/>
                <w:b w:val="0"/>
                <w:i w:val="0"/>
                <w:sz w:val="21"/>
              </w:rPr>
              <w:t>Bulletin officiel en format paysage : matières groupées par unité, moyenne par unité, crédits acquis, moyenne générale, mention, rang et effectif ; recalculé à chaque édition.</w:t>
            </w:r>
          </w:p>
        </w:tc>
      </w:tr>
      <w:tr>
        <w:tc>
          <w:tcPr>
            <w:tcW w:type="dxa" w:w="680"/>
          </w:tcPr>
          <w:p>
            <w:pPr>
              <w:spacing w:line="240" w:lineRule="auto" w:after="40"/>
              <w:jc w:val="center"/>
            </w:pPr>
            <w:r>
              <w:rPr>
                <w:rFonts w:ascii="Times New Roman" w:hAnsi="Times New Roman" w:eastAsia="Times New Roman"/>
                <w:b w:val="0"/>
                <w:i w:val="0"/>
                <w:sz w:val="21"/>
              </w:rPr>
              <w:t>BF10</w:t>
            </w:r>
          </w:p>
        </w:tc>
        <w:tc>
          <w:tcPr>
            <w:tcW w:type="dxa" w:w="2154"/>
          </w:tcPr>
          <w:p>
            <w:pPr>
              <w:spacing w:line="240" w:lineRule="auto" w:after="40"/>
              <w:jc w:val="left"/>
            </w:pPr>
            <w:r>
              <w:rPr>
                <w:rFonts w:ascii="Times New Roman" w:hAnsi="Times New Roman" w:eastAsia="Times New Roman"/>
                <w:b w:val="0"/>
                <w:i w:val="0"/>
                <w:sz w:val="21"/>
              </w:rPr>
              <w:t>Suivre les absences</w:t>
            </w:r>
          </w:p>
        </w:tc>
        <w:tc>
          <w:tcPr>
            <w:tcW w:type="dxa" w:w="5953"/>
          </w:tcPr>
          <w:p>
            <w:pPr>
              <w:spacing w:line="240" w:lineRule="auto" w:after="40"/>
              <w:jc w:val="left"/>
            </w:pPr>
            <w:r>
              <w:rPr>
                <w:rFonts w:ascii="Times New Roman" w:hAnsi="Times New Roman" w:eastAsia="Times New Roman"/>
                <w:b w:val="0"/>
                <w:i w:val="0"/>
                <w:sz w:val="21"/>
              </w:rPr>
              <w:t>Relevé par séance ; distinction entre absence et retard ; justification ; consolidation par étudiant, par classe et par matière.</w:t>
            </w:r>
          </w:p>
        </w:tc>
      </w:tr>
      <w:tr>
        <w:tc>
          <w:tcPr>
            <w:tcW w:type="dxa" w:w="680"/>
          </w:tcPr>
          <w:p>
            <w:pPr>
              <w:spacing w:line="240" w:lineRule="auto" w:after="40"/>
              <w:jc w:val="center"/>
            </w:pPr>
            <w:r>
              <w:rPr>
                <w:rFonts w:ascii="Times New Roman" w:hAnsi="Times New Roman" w:eastAsia="Times New Roman"/>
                <w:b w:val="0"/>
                <w:i w:val="0"/>
                <w:sz w:val="21"/>
              </w:rPr>
              <w:t>BF11</w:t>
            </w:r>
          </w:p>
        </w:tc>
        <w:tc>
          <w:tcPr>
            <w:tcW w:type="dxa" w:w="2154"/>
          </w:tcPr>
          <w:p>
            <w:pPr>
              <w:spacing w:line="240" w:lineRule="auto" w:after="40"/>
              <w:jc w:val="left"/>
            </w:pPr>
            <w:r>
              <w:rPr>
                <w:rFonts w:ascii="Times New Roman" w:hAnsi="Times New Roman" w:eastAsia="Times New Roman"/>
                <w:b w:val="0"/>
                <w:i w:val="0"/>
                <w:sz w:val="21"/>
              </w:rPr>
              <w:t>Gérer la scolarité</w:t>
            </w:r>
          </w:p>
        </w:tc>
        <w:tc>
          <w:tcPr>
            <w:tcW w:type="dxa" w:w="5953"/>
          </w:tcPr>
          <w:p>
            <w:pPr>
              <w:spacing w:line="240" w:lineRule="auto" w:after="40"/>
              <w:jc w:val="left"/>
            </w:pPr>
            <w:r>
              <w:rPr>
                <w:rFonts w:ascii="Times New Roman" w:hAnsi="Times New Roman" w:eastAsia="Times New Roman"/>
                <w:b w:val="0"/>
                <w:i w:val="0"/>
                <w:sz w:val="21"/>
              </w:rPr>
              <w:t>Frais par classe et par année ; échéances ; encaissements de plusieurs natures ; montant payé et solde toujours calculés ; reçu numéroté en PDF ; suivi des impayés.</w:t>
            </w:r>
          </w:p>
        </w:tc>
      </w:tr>
      <w:tr>
        <w:tc>
          <w:tcPr>
            <w:tcW w:type="dxa" w:w="680"/>
          </w:tcPr>
          <w:p>
            <w:pPr>
              <w:spacing w:line="240" w:lineRule="auto" w:after="40"/>
              <w:jc w:val="center"/>
            </w:pPr>
            <w:r>
              <w:rPr>
                <w:rFonts w:ascii="Times New Roman" w:hAnsi="Times New Roman" w:eastAsia="Times New Roman"/>
                <w:b w:val="0"/>
                <w:i w:val="0"/>
                <w:sz w:val="21"/>
              </w:rPr>
              <w:t>BF12</w:t>
            </w:r>
          </w:p>
        </w:tc>
        <w:tc>
          <w:tcPr>
            <w:tcW w:type="dxa" w:w="2154"/>
          </w:tcPr>
          <w:p>
            <w:pPr>
              <w:spacing w:line="240" w:lineRule="auto" w:after="40"/>
              <w:jc w:val="left"/>
            </w:pPr>
            <w:r>
              <w:rPr>
                <w:rFonts w:ascii="Times New Roman" w:hAnsi="Times New Roman" w:eastAsia="Times New Roman"/>
                <w:b w:val="0"/>
                <w:i w:val="0"/>
                <w:sz w:val="21"/>
              </w:rPr>
              <w:t>Gérer l’emploi du temps</w:t>
            </w:r>
          </w:p>
        </w:tc>
        <w:tc>
          <w:tcPr>
            <w:tcW w:type="dxa" w:w="5953"/>
          </w:tcPr>
          <w:p>
            <w:pPr>
              <w:spacing w:line="240" w:lineRule="auto" w:after="40"/>
              <w:jc w:val="left"/>
            </w:pPr>
            <w:r>
              <w:rPr>
                <w:rFonts w:ascii="Times New Roman" w:hAnsi="Times New Roman" w:eastAsia="Times New Roman"/>
                <w:b w:val="0"/>
                <w:i w:val="0"/>
                <w:sz w:val="21"/>
              </w:rPr>
              <w:t>Créneaux par classe, matière, enseignant et salle ; détection des conflits ; liste d’émargement imprimable par séance.</w:t>
            </w:r>
          </w:p>
        </w:tc>
      </w:tr>
      <w:tr>
        <w:tc>
          <w:tcPr>
            <w:tcW w:type="dxa" w:w="680"/>
          </w:tcPr>
          <w:p>
            <w:pPr>
              <w:spacing w:line="240" w:lineRule="auto" w:after="40"/>
              <w:jc w:val="center"/>
            </w:pPr>
            <w:r>
              <w:rPr>
                <w:rFonts w:ascii="Times New Roman" w:hAnsi="Times New Roman" w:eastAsia="Times New Roman"/>
                <w:b w:val="0"/>
                <w:i w:val="0"/>
                <w:sz w:val="21"/>
              </w:rPr>
              <w:t>BF13</w:t>
            </w:r>
          </w:p>
        </w:tc>
        <w:tc>
          <w:tcPr>
            <w:tcW w:type="dxa" w:w="2154"/>
          </w:tcPr>
          <w:p>
            <w:pPr>
              <w:spacing w:line="240" w:lineRule="auto" w:after="40"/>
              <w:jc w:val="left"/>
            </w:pPr>
            <w:r>
              <w:rPr>
                <w:rFonts w:ascii="Times New Roman" w:hAnsi="Times New Roman" w:eastAsia="Times New Roman"/>
                <w:b w:val="0"/>
                <w:i w:val="0"/>
                <w:sz w:val="21"/>
              </w:rPr>
              <w:t>Piloter l’établissement</w:t>
            </w:r>
          </w:p>
        </w:tc>
        <w:tc>
          <w:tcPr>
            <w:tcW w:type="dxa" w:w="5953"/>
          </w:tcPr>
          <w:p>
            <w:pPr>
              <w:spacing w:line="240" w:lineRule="auto" w:after="40"/>
              <w:jc w:val="left"/>
            </w:pPr>
            <w:r>
              <w:rPr>
                <w:rFonts w:ascii="Times New Roman" w:hAnsi="Times New Roman" w:eastAsia="Times New Roman"/>
                <w:b w:val="0"/>
                <w:i w:val="0"/>
                <w:sz w:val="21"/>
              </w:rPr>
              <w:t>Effectifs par classe et par filière ; répartition par sexe et par niveau ; taux de réussite ; état des encaissements.</w:t>
            </w:r>
          </w:p>
        </w:tc>
      </w:tr>
      <w:tr>
        <w:tc>
          <w:tcPr>
            <w:tcW w:type="dxa" w:w="680"/>
          </w:tcPr>
          <w:p>
            <w:pPr>
              <w:spacing w:line="240" w:lineRule="auto" w:after="40"/>
              <w:jc w:val="center"/>
            </w:pPr>
            <w:r>
              <w:rPr>
                <w:rFonts w:ascii="Times New Roman" w:hAnsi="Times New Roman" w:eastAsia="Times New Roman"/>
                <w:b w:val="0"/>
                <w:i w:val="0"/>
                <w:sz w:val="21"/>
              </w:rPr>
              <w:t>BF14</w:t>
            </w:r>
          </w:p>
        </w:tc>
        <w:tc>
          <w:tcPr>
            <w:tcW w:type="dxa" w:w="2154"/>
          </w:tcPr>
          <w:p>
            <w:pPr>
              <w:spacing w:line="240" w:lineRule="auto" w:after="40"/>
              <w:jc w:val="left"/>
            </w:pPr>
            <w:r>
              <w:rPr>
                <w:rFonts w:ascii="Times New Roman" w:hAnsi="Times New Roman" w:eastAsia="Times New Roman"/>
                <w:b w:val="0"/>
                <w:i w:val="0"/>
                <w:sz w:val="21"/>
              </w:rPr>
              <w:t>Informer les utilisateurs</w:t>
            </w:r>
          </w:p>
        </w:tc>
        <w:tc>
          <w:tcPr>
            <w:tcW w:type="dxa" w:w="5953"/>
          </w:tcPr>
          <w:p>
            <w:pPr>
              <w:spacing w:line="240" w:lineRule="auto" w:after="40"/>
              <w:jc w:val="left"/>
            </w:pPr>
            <w:r>
              <w:rPr>
                <w:rFonts w:ascii="Times New Roman" w:hAnsi="Times New Roman" w:eastAsia="Times New Roman"/>
                <w:b w:val="0"/>
                <w:i w:val="0"/>
                <w:sz w:val="21"/>
              </w:rPr>
              <w:t>Notifications internes lors de la publication des notes et des événements importants ; courriels envoyés depuis le domaine de l’établissement.</w:t>
            </w:r>
          </w:p>
        </w:tc>
      </w:tr>
      <w:tr>
        <w:tc>
          <w:tcPr>
            <w:tcW w:type="dxa" w:w="680"/>
          </w:tcPr>
          <w:p>
            <w:pPr>
              <w:spacing w:line="240" w:lineRule="auto" w:after="40"/>
              <w:jc w:val="center"/>
            </w:pPr>
            <w:r>
              <w:rPr>
                <w:rFonts w:ascii="Times New Roman" w:hAnsi="Times New Roman" w:eastAsia="Times New Roman"/>
                <w:b w:val="0"/>
                <w:i w:val="0"/>
                <w:sz w:val="21"/>
              </w:rPr>
              <w:t>BF15</w:t>
            </w:r>
          </w:p>
        </w:tc>
        <w:tc>
          <w:tcPr>
            <w:tcW w:type="dxa" w:w="2154"/>
          </w:tcPr>
          <w:p>
            <w:pPr>
              <w:spacing w:line="240" w:lineRule="auto" w:after="40"/>
              <w:jc w:val="left"/>
            </w:pPr>
            <w:r>
              <w:rPr>
                <w:rFonts w:ascii="Times New Roman" w:hAnsi="Times New Roman" w:eastAsia="Times New Roman"/>
                <w:b w:val="0"/>
                <w:i w:val="0"/>
                <w:sz w:val="21"/>
              </w:rPr>
              <w:t>Présenter l’établissement au public</w:t>
            </w:r>
          </w:p>
        </w:tc>
        <w:tc>
          <w:tcPr>
            <w:tcW w:type="dxa" w:w="5953"/>
          </w:tcPr>
          <w:p>
            <w:pPr>
              <w:spacing w:line="240" w:lineRule="auto" w:after="40"/>
              <w:jc w:val="left"/>
            </w:pPr>
            <w:r>
              <w:rPr>
                <w:rFonts w:ascii="Times New Roman" w:hAnsi="Times New Roman" w:eastAsia="Times New Roman"/>
                <w:b w:val="0"/>
                <w:i w:val="0"/>
                <w:sz w:val="21"/>
              </w:rPr>
              <w:t>Pages publiques composées à l’avance : formations, admissions, tarifs, contact ; plan de site et données structurées produits automatiquement.</w:t>
            </w:r>
          </w:p>
        </w:tc>
      </w:tr>
    </w:tbl>
    <w:p>
      <w:pPr>
        <w:spacing w:after="240" w:line="240" w:lineRule="auto"/>
        <w:jc w:val="right"/>
      </w:pPr>
      <w:r>
        <w:rPr>
          <w:rFonts w:ascii="Times New Roman" w:hAnsi="Times New Roman" w:eastAsia="Times New Roman"/>
          <w:b w:val="0"/>
          <w:i/>
          <w:color w:val="444444"/>
          <w:sz w:val="20"/>
        </w:rPr>
        <w:t>Source : Les auteurs</w:t>
      </w:r>
    </w:p>
    <w:p>
      <w:pPr>
        <w:pStyle w:val="Heading2"/>
        <w:jc w:val="left"/>
      </w:pPr>
      <w:r>
        <w:rPr>
          <w:rFonts w:ascii="Times New Roman" w:hAnsi="Times New Roman" w:eastAsia="Times New Roman"/>
          <w:b/>
          <w:i w:val="0"/>
          <w:color w:val="2E4474"/>
          <w:sz w:val="28"/>
        </w:rPr>
        <w:t>Annexe B — Cahier de tests détaillé</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Cahier de tests détaillé</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24"/>
            <w:shd w:val="clear" w:fill="DCE3EE"/>
          </w:tcPr>
          <w:p>
            <w:pPr>
              <w:spacing w:line="240" w:lineRule="auto" w:after="40"/>
              <w:jc w:val="center"/>
            </w:pPr>
            <w:r>
              <w:rPr>
                <w:rFonts w:ascii="Times New Roman" w:hAnsi="Times New Roman" w:eastAsia="Times New Roman"/>
                <w:b/>
                <w:i w:val="0"/>
                <w:sz w:val="21"/>
              </w:rPr>
              <w:t>N°</w:t>
            </w:r>
          </w:p>
        </w:tc>
        <w:tc>
          <w:tcPr>
            <w:tcW w:type="dxa" w:w="1474"/>
            <w:shd w:val="clear" w:fill="DCE3EE"/>
          </w:tcPr>
          <w:p>
            <w:pPr>
              <w:spacing w:line="240" w:lineRule="auto" w:after="40"/>
              <w:jc w:val="center"/>
            </w:pPr>
            <w:r>
              <w:rPr>
                <w:rFonts w:ascii="Times New Roman" w:hAnsi="Times New Roman" w:eastAsia="Times New Roman"/>
                <w:b/>
                <w:i w:val="0"/>
                <w:sz w:val="21"/>
              </w:rPr>
              <w:t>Domaine</w:t>
            </w:r>
          </w:p>
        </w:tc>
        <w:tc>
          <w:tcPr>
            <w:tcW w:type="dxa" w:w="2948"/>
            <w:shd w:val="clear" w:fill="DCE3EE"/>
          </w:tcPr>
          <w:p>
            <w:pPr>
              <w:spacing w:line="240" w:lineRule="auto" w:after="40"/>
              <w:jc w:val="center"/>
            </w:pPr>
            <w:r>
              <w:rPr>
                <w:rFonts w:ascii="Times New Roman" w:hAnsi="Times New Roman" w:eastAsia="Times New Roman"/>
                <w:b/>
                <w:i w:val="0"/>
                <w:sz w:val="21"/>
              </w:rPr>
              <w:t>Scénario</w:t>
            </w:r>
          </w:p>
        </w:tc>
        <w:tc>
          <w:tcPr>
            <w:tcW w:type="dxa" w:w="2721"/>
            <w:shd w:val="clear" w:fill="DCE3EE"/>
          </w:tcPr>
          <w:p>
            <w:pPr>
              <w:spacing w:line="240" w:lineRule="auto" w:after="40"/>
              <w:jc w:val="center"/>
            </w:pPr>
            <w:r>
              <w:rPr>
                <w:rFonts w:ascii="Times New Roman" w:hAnsi="Times New Roman" w:eastAsia="Times New Roman"/>
                <w:b/>
                <w:i w:val="0"/>
                <w:sz w:val="21"/>
              </w:rPr>
              <w:t>Résultat attendu</w:t>
            </w:r>
          </w:p>
        </w:tc>
        <w:tc>
          <w:tcPr>
            <w:tcW w:type="dxa" w:w="1020"/>
            <w:shd w:val="clear" w:fill="DCE3EE"/>
          </w:tcPr>
          <w:p>
            <w:pPr>
              <w:spacing w:line="240" w:lineRule="auto" w:after="40"/>
              <w:jc w:val="center"/>
            </w:pPr>
            <w:r>
              <w:rPr>
                <w:rFonts w:ascii="Times New Roman" w:hAnsi="Times New Roman" w:eastAsia="Times New Roman"/>
                <w:b/>
                <w:i w:val="0"/>
                <w:sz w:val="21"/>
              </w:rPr>
              <w:t>État</w:t>
            </w:r>
          </w:p>
        </w:tc>
      </w:tr>
      <w:tr>
        <w:tc>
          <w:tcPr>
            <w:tcW w:type="dxa" w:w="624"/>
          </w:tcPr>
          <w:p>
            <w:pPr>
              <w:spacing w:line="240" w:lineRule="auto" w:after="40"/>
              <w:jc w:val="center"/>
            </w:pPr>
            <w:r>
              <w:rPr>
                <w:rFonts w:ascii="Times New Roman" w:hAnsi="Times New Roman" w:eastAsia="Times New Roman"/>
                <w:b w:val="0"/>
                <w:i w:val="0"/>
                <w:sz w:val="21"/>
              </w:rPr>
              <w:t>T1</w:t>
            </w:r>
          </w:p>
        </w:tc>
        <w:tc>
          <w:tcPr>
            <w:tcW w:type="dxa" w:w="1474"/>
          </w:tcPr>
          <w:p>
            <w:pPr>
              <w:spacing w:line="240" w:lineRule="auto" w:after="40"/>
              <w:jc w:val="left"/>
            </w:pPr>
            <w:r>
              <w:rPr>
                <w:rFonts w:ascii="Times New Roman" w:hAnsi="Times New Roman" w:eastAsia="Times New Roman"/>
                <w:b w:val="0"/>
                <w:i w:val="0"/>
                <w:sz w:val="21"/>
              </w:rPr>
              <w:t>Authentification</w:t>
            </w:r>
          </w:p>
        </w:tc>
        <w:tc>
          <w:tcPr>
            <w:tcW w:type="dxa" w:w="2948"/>
          </w:tcPr>
          <w:p>
            <w:pPr>
              <w:spacing w:line="240" w:lineRule="auto" w:after="40"/>
              <w:jc w:val="left"/>
            </w:pPr>
            <w:r>
              <w:rPr>
                <w:rFonts w:ascii="Times New Roman" w:hAnsi="Times New Roman" w:eastAsia="Times New Roman"/>
                <w:b w:val="0"/>
                <w:i w:val="0"/>
                <w:sz w:val="21"/>
              </w:rPr>
              <w:t>Connexion valide pour chacun des sept rôles</w:t>
            </w:r>
          </w:p>
        </w:tc>
        <w:tc>
          <w:tcPr>
            <w:tcW w:type="dxa" w:w="2721"/>
          </w:tcPr>
          <w:p>
            <w:pPr>
              <w:spacing w:line="240" w:lineRule="auto" w:after="40"/>
              <w:jc w:val="left"/>
            </w:pPr>
            <w:r>
              <w:rPr>
                <w:rFonts w:ascii="Times New Roman" w:hAnsi="Times New Roman" w:eastAsia="Times New Roman"/>
                <w:b w:val="0"/>
                <w:i w:val="0"/>
                <w:sz w:val="21"/>
              </w:rPr>
              <w:t>Accès au tableau de bord du rôle</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w:t>
            </w:r>
          </w:p>
        </w:tc>
        <w:tc>
          <w:tcPr>
            <w:tcW w:type="dxa" w:w="1474"/>
          </w:tcPr>
          <w:p>
            <w:pPr>
              <w:spacing w:line="240" w:lineRule="auto" w:after="40"/>
              <w:jc w:val="left"/>
            </w:pPr>
            <w:r>
              <w:rPr>
                <w:rFonts w:ascii="Times New Roman" w:hAnsi="Times New Roman" w:eastAsia="Times New Roman"/>
                <w:b w:val="0"/>
                <w:i w:val="0"/>
                <w:sz w:val="21"/>
              </w:rPr>
              <w:t>Authentification</w:t>
            </w:r>
          </w:p>
        </w:tc>
        <w:tc>
          <w:tcPr>
            <w:tcW w:type="dxa" w:w="2948"/>
          </w:tcPr>
          <w:p>
            <w:pPr>
              <w:spacing w:line="240" w:lineRule="auto" w:after="40"/>
              <w:jc w:val="left"/>
            </w:pPr>
            <w:r>
              <w:rPr>
                <w:rFonts w:ascii="Times New Roman" w:hAnsi="Times New Roman" w:eastAsia="Times New Roman"/>
                <w:b w:val="0"/>
                <w:i w:val="0"/>
                <w:sz w:val="21"/>
              </w:rPr>
              <w:t>Mot de passe erroné</w:t>
            </w:r>
          </w:p>
        </w:tc>
        <w:tc>
          <w:tcPr>
            <w:tcW w:type="dxa" w:w="2721"/>
          </w:tcPr>
          <w:p>
            <w:pPr>
              <w:spacing w:line="240" w:lineRule="auto" w:after="40"/>
              <w:jc w:val="left"/>
            </w:pPr>
            <w:r>
              <w:rPr>
                <w:rFonts w:ascii="Times New Roman" w:hAnsi="Times New Roman" w:eastAsia="Times New Roman"/>
                <w:b w:val="0"/>
                <w:i w:val="0"/>
                <w:sz w:val="21"/>
              </w:rPr>
              <w:t>Refus sans indiquer le champ fautif</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T3</w:t>
            </w:r>
          </w:p>
        </w:tc>
        <w:tc>
          <w:tcPr>
            <w:tcW w:type="dxa" w:w="1474"/>
          </w:tcPr>
          <w:p>
            <w:pPr>
              <w:spacing w:line="240" w:lineRule="auto" w:after="40"/>
              <w:jc w:val="left"/>
            </w:pPr>
            <w:r>
              <w:rPr>
                <w:rFonts w:ascii="Times New Roman" w:hAnsi="Times New Roman" w:eastAsia="Times New Roman"/>
                <w:b w:val="0"/>
                <w:i w:val="0"/>
                <w:sz w:val="21"/>
              </w:rPr>
              <w:t>Authentification</w:t>
            </w:r>
          </w:p>
        </w:tc>
        <w:tc>
          <w:tcPr>
            <w:tcW w:type="dxa" w:w="2948"/>
          </w:tcPr>
          <w:p>
            <w:pPr>
              <w:spacing w:line="240" w:lineRule="auto" w:after="40"/>
              <w:jc w:val="left"/>
            </w:pPr>
            <w:r>
              <w:rPr>
                <w:rFonts w:ascii="Times New Roman" w:hAnsi="Times New Roman" w:eastAsia="Times New Roman"/>
                <w:b w:val="0"/>
                <w:i w:val="0"/>
                <w:sz w:val="21"/>
              </w:rPr>
              <w:t>Tentatives répétées</w:t>
            </w:r>
          </w:p>
        </w:tc>
        <w:tc>
          <w:tcPr>
            <w:tcW w:type="dxa" w:w="2721"/>
          </w:tcPr>
          <w:p>
            <w:pPr>
              <w:spacing w:line="240" w:lineRule="auto" w:after="40"/>
              <w:jc w:val="left"/>
            </w:pPr>
            <w:r>
              <w:rPr>
                <w:rFonts w:ascii="Times New Roman" w:hAnsi="Times New Roman" w:eastAsia="Times New Roman"/>
                <w:b w:val="0"/>
                <w:i w:val="0"/>
                <w:sz w:val="21"/>
              </w:rPr>
              <w:t>Blocage temporaire au-delà du seuil</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T4</w:t>
            </w:r>
          </w:p>
        </w:tc>
        <w:tc>
          <w:tcPr>
            <w:tcW w:type="dxa" w:w="1474"/>
          </w:tcPr>
          <w:p>
            <w:pPr>
              <w:spacing w:line="240" w:lineRule="auto" w:after="40"/>
              <w:jc w:val="left"/>
            </w:pPr>
            <w:r>
              <w:rPr>
                <w:rFonts w:ascii="Times New Roman" w:hAnsi="Times New Roman" w:eastAsia="Times New Roman"/>
                <w:b w:val="0"/>
                <w:i w:val="0"/>
                <w:sz w:val="21"/>
              </w:rPr>
              <w:t>Authentification</w:t>
            </w:r>
          </w:p>
        </w:tc>
        <w:tc>
          <w:tcPr>
            <w:tcW w:type="dxa" w:w="2948"/>
          </w:tcPr>
          <w:p>
            <w:pPr>
              <w:spacing w:line="240" w:lineRule="auto" w:after="40"/>
              <w:jc w:val="left"/>
            </w:pPr>
            <w:r>
              <w:rPr>
                <w:rFonts w:ascii="Times New Roman" w:hAnsi="Times New Roman" w:eastAsia="Times New Roman"/>
                <w:b w:val="0"/>
                <w:i w:val="0"/>
                <w:sz w:val="21"/>
              </w:rPr>
              <w:t>Déconnexion</w:t>
            </w:r>
          </w:p>
        </w:tc>
        <w:tc>
          <w:tcPr>
            <w:tcW w:type="dxa" w:w="2721"/>
          </w:tcPr>
          <w:p>
            <w:pPr>
              <w:spacing w:line="240" w:lineRule="auto" w:after="40"/>
              <w:jc w:val="left"/>
            </w:pPr>
            <w:r>
              <w:rPr>
                <w:rFonts w:ascii="Times New Roman" w:hAnsi="Times New Roman" w:eastAsia="Times New Roman"/>
                <w:b w:val="0"/>
                <w:i w:val="0"/>
                <w:sz w:val="21"/>
              </w:rPr>
              <w:t>Jeton de renouvellement révoqué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T5</w:t>
            </w:r>
          </w:p>
        </w:tc>
        <w:tc>
          <w:tcPr>
            <w:tcW w:type="dxa" w:w="1474"/>
          </w:tcPr>
          <w:p>
            <w:pPr>
              <w:spacing w:line="240" w:lineRule="auto" w:after="40"/>
              <w:jc w:val="left"/>
            </w:pPr>
            <w:r>
              <w:rPr>
                <w:rFonts w:ascii="Times New Roman" w:hAnsi="Times New Roman" w:eastAsia="Times New Roman"/>
                <w:b w:val="0"/>
                <w:i w:val="0"/>
                <w:sz w:val="21"/>
              </w:rPr>
              <w:t>Comptes</w:t>
            </w:r>
          </w:p>
        </w:tc>
        <w:tc>
          <w:tcPr>
            <w:tcW w:type="dxa" w:w="2948"/>
          </w:tcPr>
          <w:p>
            <w:pPr>
              <w:spacing w:line="240" w:lineRule="auto" w:after="40"/>
              <w:jc w:val="left"/>
            </w:pPr>
            <w:r>
              <w:rPr>
                <w:rFonts w:ascii="Times New Roman" w:hAnsi="Times New Roman" w:eastAsia="Times New Roman"/>
                <w:b w:val="0"/>
                <w:i w:val="0"/>
                <w:sz w:val="21"/>
              </w:rPr>
              <w:t>Secrétaire créant un compte de professeur</w:t>
            </w:r>
          </w:p>
        </w:tc>
        <w:tc>
          <w:tcPr>
            <w:tcW w:type="dxa" w:w="2721"/>
          </w:tcPr>
          <w:p>
            <w:pPr>
              <w:spacing w:line="240" w:lineRule="auto" w:after="40"/>
              <w:jc w:val="left"/>
            </w:pPr>
            <w:r>
              <w:rPr>
                <w:rFonts w:ascii="Times New Roman" w:hAnsi="Times New Roman" w:eastAsia="Times New Roman"/>
                <w:b w:val="0"/>
                <w:i w:val="0"/>
                <w:sz w:val="21"/>
              </w:rPr>
              <w:t>Refus : hors de sa délégation</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T6</w:t>
            </w:r>
          </w:p>
        </w:tc>
        <w:tc>
          <w:tcPr>
            <w:tcW w:type="dxa" w:w="1474"/>
          </w:tcPr>
          <w:p>
            <w:pPr>
              <w:spacing w:line="240" w:lineRule="auto" w:after="40"/>
              <w:jc w:val="left"/>
            </w:pPr>
            <w:r>
              <w:rPr>
                <w:rFonts w:ascii="Times New Roman" w:hAnsi="Times New Roman" w:eastAsia="Times New Roman"/>
                <w:b w:val="0"/>
                <w:i w:val="0"/>
                <w:sz w:val="21"/>
              </w:rPr>
              <w:t>Comptes</w:t>
            </w:r>
          </w:p>
        </w:tc>
        <w:tc>
          <w:tcPr>
            <w:tcW w:type="dxa" w:w="2948"/>
          </w:tcPr>
          <w:p>
            <w:pPr>
              <w:spacing w:line="240" w:lineRule="auto" w:after="40"/>
              <w:jc w:val="left"/>
            </w:pPr>
            <w:r>
              <w:rPr>
                <w:rFonts w:ascii="Times New Roman" w:hAnsi="Times New Roman" w:eastAsia="Times New Roman"/>
                <w:b w:val="0"/>
                <w:i w:val="0"/>
                <w:sz w:val="21"/>
              </w:rPr>
              <w:t>Adresse électronique déjà utilisée</w:t>
            </w:r>
          </w:p>
        </w:tc>
        <w:tc>
          <w:tcPr>
            <w:tcW w:type="dxa" w:w="2721"/>
          </w:tcPr>
          <w:p>
            <w:pPr>
              <w:spacing w:line="240" w:lineRule="auto" w:after="40"/>
              <w:jc w:val="left"/>
            </w:pPr>
            <w:r>
              <w:rPr>
                <w:rFonts w:ascii="Times New Roman" w:hAnsi="Times New Roman" w:eastAsia="Times New Roman"/>
                <w:b w:val="0"/>
                <w:i w:val="0"/>
                <w:sz w:val="21"/>
              </w:rPr>
              <w:t>Création refusée</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T7</w:t>
            </w:r>
          </w:p>
        </w:tc>
        <w:tc>
          <w:tcPr>
            <w:tcW w:type="dxa" w:w="1474"/>
          </w:tcPr>
          <w:p>
            <w:pPr>
              <w:spacing w:line="240" w:lineRule="auto" w:after="40"/>
              <w:jc w:val="left"/>
            </w:pPr>
            <w:r>
              <w:rPr>
                <w:rFonts w:ascii="Times New Roman" w:hAnsi="Times New Roman" w:eastAsia="Times New Roman"/>
                <w:b w:val="0"/>
                <w:i w:val="0"/>
                <w:sz w:val="21"/>
              </w:rPr>
              <w:t>Étudiants</w:t>
            </w:r>
          </w:p>
        </w:tc>
        <w:tc>
          <w:tcPr>
            <w:tcW w:type="dxa" w:w="2948"/>
          </w:tcPr>
          <w:p>
            <w:pPr>
              <w:spacing w:line="240" w:lineRule="auto" w:after="40"/>
              <w:jc w:val="left"/>
            </w:pPr>
            <w:r>
              <w:rPr>
                <w:rFonts w:ascii="Times New Roman" w:hAnsi="Times New Roman" w:eastAsia="Times New Roman"/>
                <w:b w:val="0"/>
                <w:i w:val="0"/>
                <w:sz w:val="21"/>
              </w:rPr>
              <w:t>Inscription</w:t>
            </w:r>
          </w:p>
        </w:tc>
        <w:tc>
          <w:tcPr>
            <w:tcW w:type="dxa" w:w="2721"/>
          </w:tcPr>
          <w:p>
            <w:pPr>
              <w:spacing w:line="240" w:lineRule="auto" w:after="40"/>
              <w:jc w:val="left"/>
            </w:pPr>
            <w:r>
              <w:rPr>
                <w:rFonts w:ascii="Times New Roman" w:hAnsi="Times New Roman" w:eastAsia="Times New Roman"/>
                <w:b w:val="0"/>
                <w:i w:val="0"/>
                <w:sz w:val="21"/>
              </w:rPr>
              <w:t>Matricule attribué automatiquement</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T8</w:t>
            </w:r>
          </w:p>
        </w:tc>
        <w:tc>
          <w:tcPr>
            <w:tcW w:type="dxa" w:w="1474"/>
          </w:tcPr>
          <w:p>
            <w:pPr>
              <w:spacing w:line="240" w:lineRule="auto" w:after="40"/>
              <w:jc w:val="left"/>
            </w:pPr>
            <w:r>
              <w:rPr>
                <w:rFonts w:ascii="Times New Roman" w:hAnsi="Times New Roman" w:eastAsia="Times New Roman"/>
                <w:b w:val="0"/>
                <w:i w:val="0"/>
                <w:sz w:val="21"/>
              </w:rPr>
              <w:t>Étudiants</w:t>
            </w:r>
          </w:p>
        </w:tc>
        <w:tc>
          <w:tcPr>
            <w:tcW w:type="dxa" w:w="2948"/>
          </w:tcPr>
          <w:p>
            <w:pPr>
              <w:spacing w:line="240" w:lineRule="auto" w:after="40"/>
              <w:jc w:val="left"/>
            </w:pPr>
            <w:r>
              <w:rPr>
                <w:rFonts w:ascii="Times New Roman" w:hAnsi="Times New Roman" w:eastAsia="Times New Roman"/>
                <w:b w:val="0"/>
                <w:i w:val="0"/>
                <w:sz w:val="21"/>
              </w:rPr>
              <w:t>Professeur ouvrant une fiche individuelle</w:t>
            </w:r>
          </w:p>
        </w:tc>
        <w:tc>
          <w:tcPr>
            <w:tcW w:type="dxa" w:w="2721"/>
          </w:tcPr>
          <w:p>
            <w:pPr>
              <w:spacing w:line="240" w:lineRule="auto" w:after="40"/>
              <w:jc w:val="left"/>
            </w:pPr>
            <w:r>
              <w:rPr>
                <w:rFonts w:ascii="Times New Roman" w:hAnsi="Times New Roman" w:eastAsia="Times New Roman"/>
                <w:b w:val="0"/>
                <w:i w:val="0"/>
                <w:sz w:val="21"/>
              </w:rPr>
              <w:t>Accès refusé par le serveur</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T9</w:t>
            </w:r>
          </w:p>
        </w:tc>
        <w:tc>
          <w:tcPr>
            <w:tcW w:type="dxa" w:w="1474"/>
          </w:tcPr>
          <w:p>
            <w:pPr>
              <w:spacing w:line="240" w:lineRule="auto" w:after="40"/>
              <w:jc w:val="left"/>
            </w:pPr>
            <w:r>
              <w:rPr>
                <w:rFonts w:ascii="Times New Roman" w:hAnsi="Times New Roman" w:eastAsia="Times New Roman"/>
                <w:b w:val="0"/>
                <w:i w:val="0"/>
                <w:sz w:val="21"/>
              </w:rPr>
              <w:t>Matières</w:t>
            </w:r>
          </w:p>
        </w:tc>
        <w:tc>
          <w:tcPr>
            <w:tcW w:type="dxa" w:w="2948"/>
          </w:tcPr>
          <w:p>
            <w:pPr>
              <w:spacing w:line="240" w:lineRule="auto" w:after="40"/>
              <w:jc w:val="left"/>
            </w:pPr>
            <w:r>
              <w:rPr>
                <w:rFonts w:ascii="Times New Roman" w:hAnsi="Times New Roman" w:eastAsia="Times New Roman"/>
                <w:b w:val="0"/>
                <w:i w:val="0"/>
                <w:sz w:val="21"/>
              </w:rPr>
              <w:t>Coefficient porté à 3</w:t>
            </w:r>
          </w:p>
        </w:tc>
        <w:tc>
          <w:tcPr>
            <w:tcW w:type="dxa" w:w="2721"/>
          </w:tcPr>
          <w:p>
            <w:pPr>
              <w:spacing w:line="240" w:lineRule="auto" w:after="40"/>
              <w:jc w:val="left"/>
            </w:pPr>
            <w:r>
              <w:rPr>
                <w:rFonts w:ascii="Times New Roman" w:hAnsi="Times New Roman" w:eastAsia="Times New Roman"/>
                <w:b w:val="0"/>
                <w:i w:val="0"/>
                <w:sz w:val="21"/>
              </w:rPr>
              <w:t>Crédits passant de 2 à 3</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T10</w:t>
            </w:r>
          </w:p>
        </w:tc>
        <w:tc>
          <w:tcPr>
            <w:tcW w:type="dxa" w:w="1474"/>
          </w:tcPr>
          <w:p>
            <w:pPr>
              <w:spacing w:line="240" w:lineRule="auto" w:after="40"/>
              <w:jc w:val="left"/>
            </w:pPr>
            <w:r>
              <w:rPr>
                <w:rFonts w:ascii="Times New Roman" w:hAnsi="Times New Roman" w:eastAsia="Times New Roman"/>
                <w:b w:val="0"/>
                <w:i w:val="0"/>
                <w:sz w:val="21"/>
              </w:rPr>
              <w:t>Matières</w:t>
            </w:r>
          </w:p>
        </w:tc>
        <w:tc>
          <w:tcPr>
            <w:tcW w:type="dxa" w:w="2948"/>
          </w:tcPr>
          <w:p>
            <w:pPr>
              <w:spacing w:line="240" w:lineRule="auto" w:after="40"/>
              <w:jc w:val="left"/>
            </w:pPr>
            <w:r>
              <w:rPr>
                <w:rFonts w:ascii="Times New Roman" w:hAnsi="Times New Roman" w:eastAsia="Times New Roman"/>
                <w:b w:val="0"/>
                <w:i w:val="0"/>
                <w:sz w:val="21"/>
              </w:rPr>
              <w:t>Modification directe contournant le formulaire</w:t>
            </w:r>
          </w:p>
        </w:tc>
        <w:tc>
          <w:tcPr>
            <w:tcW w:type="dxa" w:w="2721"/>
          </w:tcPr>
          <w:p>
            <w:pPr>
              <w:spacing w:line="240" w:lineRule="auto" w:after="40"/>
              <w:jc w:val="left"/>
            </w:pPr>
            <w:r>
              <w:rPr>
                <w:rFonts w:ascii="Times New Roman" w:hAnsi="Times New Roman" w:eastAsia="Times New Roman"/>
                <w:b w:val="0"/>
                <w:i w:val="0"/>
                <w:sz w:val="21"/>
              </w:rPr>
              <w:t>Validation appliquée malgré tout</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T11</w:t>
            </w:r>
          </w:p>
        </w:tc>
        <w:tc>
          <w:tcPr>
            <w:tcW w:type="dxa" w:w="1474"/>
          </w:tcPr>
          <w:p>
            <w:pPr>
              <w:spacing w:line="240" w:lineRule="auto" w:after="40"/>
              <w:jc w:val="left"/>
            </w:pPr>
            <w:r>
              <w:rPr>
                <w:rFonts w:ascii="Times New Roman" w:hAnsi="Times New Roman" w:eastAsia="Times New Roman"/>
                <w:b w:val="0"/>
                <w:i w:val="0"/>
                <w:sz w:val="21"/>
              </w:rPr>
              <w:t>Unités</w:t>
            </w:r>
          </w:p>
        </w:tc>
        <w:tc>
          <w:tcPr>
            <w:tcW w:type="dxa" w:w="2948"/>
          </w:tcPr>
          <w:p>
            <w:pPr>
              <w:spacing w:line="240" w:lineRule="auto" w:after="40"/>
              <w:jc w:val="left"/>
            </w:pPr>
            <w:r>
              <w:rPr>
                <w:rFonts w:ascii="Times New Roman" w:hAnsi="Times New Roman" w:eastAsia="Times New Roman"/>
                <w:b w:val="0"/>
                <w:i w:val="0"/>
                <w:sz w:val="21"/>
              </w:rPr>
              <w:t>Ajout dépassant 30 crédits</w:t>
            </w:r>
          </w:p>
        </w:tc>
        <w:tc>
          <w:tcPr>
            <w:tcW w:type="dxa" w:w="2721"/>
          </w:tcPr>
          <w:p>
            <w:pPr>
              <w:spacing w:line="240" w:lineRule="auto" w:after="40"/>
              <w:jc w:val="left"/>
            </w:pPr>
            <w:r>
              <w:rPr>
                <w:rFonts w:ascii="Times New Roman" w:hAnsi="Times New Roman" w:eastAsia="Times New Roman"/>
                <w:b w:val="0"/>
                <w:i w:val="0"/>
                <w:sz w:val="21"/>
              </w:rPr>
              <w:t>Refus expliqué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T12</w:t>
            </w:r>
          </w:p>
        </w:tc>
        <w:tc>
          <w:tcPr>
            <w:tcW w:type="dxa" w:w="1474"/>
          </w:tcPr>
          <w:p>
            <w:pPr>
              <w:spacing w:line="240" w:lineRule="auto" w:after="40"/>
              <w:jc w:val="left"/>
            </w:pPr>
            <w:r>
              <w:rPr>
                <w:rFonts w:ascii="Times New Roman" w:hAnsi="Times New Roman" w:eastAsia="Times New Roman"/>
                <w:b w:val="0"/>
                <w:i w:val="0"/>
                <w:sz w:val="21"/>
              </w:rPr>
              <w:t>Unités</w:t>
            </w:r>
          </w:p>
        </w:tc>
        <w:tc>
          <w:tcPr>
            <w:tcW w:type="dxa" w:w="2948"/>
          </w:tcPr>
          <w:p>
            <w:pPr>
              <w:spacing w:line="240" w:lineRule="auto" w:after="40"/>
              <w:jc w:val="left"/>
            </w:pPr>
            <w:r>
              <w:rPr>
                <w:rFonts w:ascii="Times New Roman" w:hAnsi="Times New Roman" w:eastAsia="Times New Roman"/>
                <w:b w:val="0"/>
                <w:i w:val="0"/>
                <w:sz w:val="21"/>
              </w:rPr>
              <w:t>Une matière à 2 crédits et sept à 3</w:t>
            </w:r>
          </w:p>
        </w:tc>
        <w:tc>
          <w:tcPr>
            <w:tcW w:type="dxa" w:w="2721"/>
          </w:tcPr>
          <w:p>
            <w:pPr>
              <w:spacing w:line="240" w:lineRule="auto" w:after="40"/>
              <w:jc w:val="left"/>
            </w:pPr>
            <w:r>
              <w:rPr>
                <w:rFonts w:ascii="Times New Roman" w:hAnsi="Times New Roman" w:eastAsia="Times New Roman"/>
                <w:b w:val="0"/>
                <w:i w:val="0"/>
                <w:sz w:val="21"/>
              </w:rPr>
              <w:t>Impasse signalée avant le plafond</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T13</w:t>
            </w:r>
          </w:p>
        </w:tc>
        <w:tc>
          <w:tcPr>
            <w:tcW w:type="dxa" w:w="1474"/>
          </w:tcPr>
          <w:p>
            <w:pPr>
              <w:spacing w:line="240" w:lineRule="auto" w:after="40"/>
              <w:jc w:val="left"/>
            </w:pPr>
            <w:r>
              <w:rPr>
                <w:rFonts w:ascii="Times New Roman" w:hAnsi="Times New Roman" w:eastAsia="Times New Roman"/>
                <w:b w:val="0"/>
                <w:i w:val="0"/>
                <w:sz w:val="21"/>
              </w:rPr>
              <w:t>Unités</w:t>
            </w:r>
          </w:p>
        </w:tc>
        <w:tc>
          <w:tcPr>
            <w:tcW w:type="dxa" w:w="2948"/>
          </w:tcPr>
          <w:p>
            <w:pPr>
              <w:spacing w:line="240" w:lineRule="auto" w:after="40"/>
              <w:jc w:val="left"/>
            </w:pPr>
            <w:r>
              <w:rPr>
                <w:rFonts w:ascii="Times New Roman" w:hAnsi="Times New Roman" w:eastAsia="Times New Roman"/>
                <w:b w:val="0"/>
                <w:i w:val="0"/>
                <w:sz w:val="21"/>
              </w:rPr>
              <w:t>Regroupement automatique</w:t>
            </w:r>
          </w:p>
        </w:tc>
        <w:tc>
          <w:tcPr>
            <w:tcW w:type="dxa" w:w="2721"/>
          </w:tcPr>
          <w:p>
            <w:pPr>
              <w:spacing w:line="240" w:lineRule="auto" w:after="40"/>
              <w:jc w:val="left"/>
            </w:pPr>
            <w:r>
              <w:rPr>
                <w:rFonts w:ascii="Times New Roman" w:hAnsi="Times New Roman" w:eastAsia="Times New Roman"/>
                <w:b w:val="0"/>
                <w:i w:val="0"/>
                <w:sz w:val="21"/>
              </w:rPr>
              <w:t>Paires de meilleure affinité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T14</w:t>
            </w:r>
          </w:p>
        </w:tc>
        <w:tc>
          <w:tcPr>
            <w:tcW w:type="dxa" w:w="1474"/>
          </w:tcPr>
          <w:p>
            <w:pPr>
              <w:spacing w:line="240" w:lineRule="auto" w:after="40"/>
              <w:jc w:val="left"/>
            </w:pPr>
            <w:r>
              <w:rPr>
                <w:rFonts w:ascii="Times New Roman" w:hAnsi="Times New Roman" w:eastAsia="Times New Roman"/>
                <w:b w:val="0"/>
                <w:i w:val="0"/>
                <w:sz w:val="21"/>
              </w:rPr>
              <w:t>Notes</w:t>
            </w:r>
          </w:p>
        </w:tc>
        <w:tc>
          <w:tcPr>
            <w:tcW w:type="dxa" w:w="2948"/>
          </w:tcPr>
          <w:p>
            <w:pPr>
              <w:spacing w:line="240" w:lineRule="auto" w:after="40"/>
              <w:jc w:val="left"/>
            </w:pPr>
            <w:r>
              <w:rPr>
                <w:rFonts w:ascii="Times New Roman" w:hAnsi="Times New Roman" w:eastAsia="Times New Roman"/>
                <w:b w:val="0"/>
                <w:i w:val="0"/>
                <w:sz w:val="21"/>
              </w:rPr>
              <w:t>Note hors de l’intervalle 0-20</w:t>
            </w:r>
          </w:p>
        </w:tc>
        <w:tc>
          <w:tcPr>
            <w:tcW w:type="dxa" w:w="2721"/>
          </w:tcPr>
          <w:p>
            <w:pPr>
              <w:spacing w:line="240" w:lineRule="auto" w:after="40"/>
              <w:jc w:val="left"/>
            </w:pPr>
            <w:r>
              <w:rPr>
                <w:rFonts w:ascii="Times New Roman" w:hAnsi="Times New Roman" w:eastAsia="Times New Roman"/>
                <w:b w:val="0"/>
                <w:i w:val="0"/>
                <w:sz w:val="21"/>
              </w:rPr>
              <w:t>Ligne refusée, lot enregistré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T15</w:t>
            </w:r>
          </w:p>
        </w:tc>
        <w:tc>
          <w:tcPr>
            <w:tcW w:type="dxa" w:w="1474"/>
          </w:tcPr>
          <w:p>
            <w:pPr>
              <w:spacing w:line="240" w:lineRule="auto" w:after="40"/>
              <w:jc w:val="left"/>
            </w:pPr>
            <w:r>
              <w:rPr>
                <w:rFonts w:ascii="Times New Roman" w:hAnsi="Times New Roman" w:eastAsia="Times New Roman"/>
                <w:b w:val="0"/>
                <w:i w:val="0"/>
                <w:sz w:val="21"/>
              </w:rPr>
              <w:t>Notes</w:t>
            </w:r>
          </w:p>
        </w:tc>
        <w:tc>
          <w:tcPr>
            <w:tcW w:type="dxa" w:w="2948"/>
          </w:tcPr>
          <w:p>
            <w:pPr>
              <w:spacing w:line="240" w:lineRule="auto" w:after="40"/>
              <w:jc w:val="left"/>
            </w:pPr>
            <w:r>
              <w:rPr>
                <w:rFonts w:ascii="Times New Roman" w:hAnsi="Times New Roman" w:eastAsia="Times New Roman"/>
                <w:b w:val="0"/>
                <w:i w:val="0"/>
                <w:sz w:val="21"/>
              </w:rPr>
              <w:t>Saisie sur la matière d’un autre professeur</w:t>
            </w:r>
          </w:p>
        </w:tc>
        <w:tc>
          <w:tcPr>
            <w:tcW w:type="dxa" w:w="2721"/>
          </w:tcPr>
          <w:p>
            <w:pPr>
              <w:spacing w:line="240" w:lineRule="auto" w:after="40"/>
              <w:jc w:val="left"/>
            </w:pPr>
            <w:r>
              <w:rPr>
                <w:rFonts w:ascii="Times New Roman" w:hAnsi="Times New Roman" w:eastAsia="Times New Roman"/>
                <w:b w:val="0"/>
                <w:i w:val="0"/>
                <w:sz w:val="21"/>
              </w:rPr>
              <w:t>Refus du serveur</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T16</w:t>
            </w:r>
          </w:p>
        </w:tc>
        <w:tc>
          <w:tcPr>
            <w:tcW w:type="dxa" w:w="1474"/>
          </w:tcPr>
          <w:p>
            <w:pPr>
              <w:spacing w:line="240" w:lineRule="auto" w:after="40"/>
              <w:jc w:val="left"/>
            </w:pPr>
            <w:r>
              <w:rPr>
                <w:rFonts w:ascii="Times New Roman" w:hAnsi="Times New Roman" w:eastAsia="Times New Roman"/>
                <w:b w:val="0"/>
                <w:i w:val="0"/>
                <w:sz w:val="21"/>
              </w:rPr>
              <w:t>Notes</w:t>
            </w:r>
          </w:p>
        </w:tc>
        <w:tc>
          <w:tcPr>
            <w:tcW w:type="dxa" w:w="2948"/>
          </w:tcPr>
          <w:p>
            <w:pPr>
              <w:spacing w:line="240" w:lineRule="auto" w:after="40"/>
              <w:jc w:val="left"/>
            </w:pPr>
            <w:r>
              <w:rPr>
                <w:rFonts w:ascii="Times New Roman" w:hAnsi="Times New Roman" w:eastAsia="Times New Roman"/>
                <w:b w:val="0"/>
                <w:i w:val="0"/>
                <w:sz w:val="21"/>
              </w:rPr>
              <w:t>Une seule des deux notes saisie</w:t>
            </w:r>
          </w:p>
        </w:tc>
        <w:tc>
          <w:tcPr>
            <w:tcW w:type="dxa" w:w="2721"/>
          </w:tcPr>
          <w:p>
            <w:pPr>
              <w:spacing w:line="240" w:lineRule="auto" w:after="40"/>
              <w:jc w:val="left"/>
            </w:pPr>
            <w:r>
              <w:rPr>
                <w:rFonts w:ascii="Times New Roman" w:hAnsi="Times New Roman" w:eastAsia="Times New Roman"/>
                <w:b w:val="0"/>
                <w:i w:val="0"/>
                <w:sz w:val="21"/>
              </w:rPr>
              <w:t>Enregistrement accepté, moyenne différée</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T17</w:t>
            </w:r>
          </w:p>
        </w:tc>
        <w:tc>
          <w:tcPr>
            <w:tcW w:type="dxa" w:w="1474"/>
          </w:tcPr>
          <w:p>
            <w:pPr>
              <w:spacing w:line="240" w:lineRule="auto" w:after="40"/>
              <w:jc w:val="left"/>
            </w:pPr>
            <w:r>
              <w:rPr>
                <w:rFonts w:ascii="Times New Roman" w:hAnsi="Times New Roman" w:eastAsia="Times New Roman"/>
                <w:b w:val="0"/>
                <w:i w:val="0"/>
                <w:sz w:val="21"/>
              </w:rPr>
              <w:t>Bulletins</w:t>
            </w:r>
          </w:p>
        </w:tc>
        <w:tc>
          <w:tcPr>
            <w:tcW w:type="dxa" w:w="2948"/>
          </w:tcPr>
          <w:p>
            <w:pPr>
              <w:spacing w:line="240" w:lineRule="auto" w:after="40"/>
              <w:jc w:val="left"/>
            </w:pPr>
            <w:r>
              <w:rPr>
                <w:rFonts w:ascii="Times New Roman" w:hAnsi="Times New Roman" w:eastAsia="Times New Roman"/>
                <w:b w:val="0"/>
                <w:i w:val="0"/>
                <w:sz w:val="21"/>
              </w:rPr>
              <w:t>Correction d’une note après édition</w:t>
            </w:r>
          </w:p>
        </w:tc>
        <w:tc>
          <w:tcPr>
            <w:tcW w:type="dxa" w:w="2721"/>
          </w:tcPr>
          <w:p>
            <w:pPr>
              <w:spacing w:line="240" w:lineRule="auto" w:after="40"/>
              <w:jc w:val="left"/>
            </w:pPr>
            <w:r>
              <w:rPr>
                <w:rFonts w:ascii="Times New Roman" w:hAnsi="Times New Roman" w:eastAsia="Times New Roman"/>
                <w:b w:val="0"/>
                <w:i w:val="0"/>
                <w:sz w:val="21"/>
              </w:rPr>
              <w:t>Bulletin suivant corrigé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T18</w:t>
            </w:r>
          </w:p>
        </w:tc>
        <w:tc>
          <w:tcPr>
            <w:tcW w:type="dxa" w:w="1474"/>
          </w:tcPr>
          <w:p>
            <w:pPr>
              <w:spacing w:line="240" w:lineRule="auto" w:after="40"/>
              <w:jc w:val="left"/>
            </w:pPr>
            <w:r>
              <w:rPr>
                <w:rFonts w:ascii="Times New Roman" w:hAnsi="Times New Roman" w:eastAsia="Times New Roman"/>
                <w:b w:val="0"/>
                <w:i w:val="0"/>
                <w:sz w:val="21"/>
              </w:rPr>
              <w:t>Bulletins</w:t>
            </w:r>
          </w:p>
        </w:tc>
        <w:tc>
          <w:tcPr>
            <w:tcW w:type="dxa" w:w="2948"/>
          </w:tcPr>
          <w:p>
            <w:pPr>
              <w:spacing w:line="240" w:lineRule="auto" w:after="40"/>
              <w:jc w:val="left"/>
            </w:pPr>
            <w:r>
              <w:rPr>
                <w:rFonts w:ascii="Times New Roman" w:hAnsi="Times New Roman" w:eastAsia="Times New Roman"/>
                <w:b w:val="0"/>
                <w:i w:val="0"/>
                <w:sz w:val="21"/>
              </w:rPr>
              <w:t>Compensation à l’intérieur d’une unité</w:t>
            </w:r>
          </w:p>
        </w:tc>
        <w:tc>
          <w:tcPr>
            <w:tcW w:type="dxa" w:w="2721"/>
          </w:tcPr>
          <w:p>
            <w:pPr>
              <w:spacing w:line="240" w:lineRule="auto" w:after="40"/>
              <w:jc w:val="left"/>
            </w:pPr>
            <w:r>
              <w:rPr>
                <w:rFonts w:ascii="Times New Roman" w:hAnsi="Times New Roman" w:eastAsia="Times New Roman"/>
                <w:b w:val="0"/>
                <w:i w:val="0"/>
                <w:sz w:val="21"/>
              </w:rPr>
              <w:t>Unité acquise, crédits attribués en totalité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T19</w:t>
            </w:r>
          </w:p>
        </w:tc>
        <w:tc>
          <w:tcPr>
            <w:tcW w:type="dxa" w:w="1474"/>
          </w:tcPr>
          <w:p>
            <w:pPr>
              <w:spacing w:line="240" w:lineRule="auto" w:after="40"/>
              <w:jc w:val="left"/>
            </w:pPr>
            <w:r>
              <w:rPr>
                <w:rFonts w:ascii="Times New Roman" w:hAnsi="Times New Roman" w:eastAsia="Times New Roman"/>
                <w:b w:val="0"/>
                <w:i w:val="0"/>
                <w:sz w:val="21"/>
              </w:rPr>
              <w:t>Bulletins</w:t>
            </w:r>
          </w:p>
        </w:tc>
        <w:tc>
          <w:tcPr>
            <w:tcW w:type="dxa" w:w="2948"/>
          </w:tcPr>
          <w:p>
            <w:pPr>
              <w:spacing w:line="240" w:lineRule="auto" w:after="40"/>
              <w:jc w:val="left"/>
            </w:pPr>
            <w:r>
              <w:rPr>
                <w:rFonts w:ascii="Times New Roman" w:hAnsi="Times New Roman" w:eastAsia="Times New Roman"/>
                <w:b w:val="0"/>
                <w:i w:val="0"/>
                <w:sz w:val="21"/>
              </w:rPr>
              <w:t>Professeur demandant un bulletin complet</w:t>
            </w:r>
          </w:p>
        </w:tc>
        <w:tc>
          <w:tcPr>
            <w:tcW w:type="dxa" w:w="2721"/>
          </w:tcPr>
          <w:p>
            <w:pPr>
              <w:spacing w:line="240" w:lineRule="auto" w:after="40"/>
              <w:jc w:val="left"/>
            </w:pPr>
            <w:r>
              <w:rPr>
                <w:rFonts w:ascii="Times New Roman" w:hAnsi="Times New Roman" w:eastAsia="Times New Roman"/>
                <w:b w:val="0"/>
                <w:i w:val="0"/>
                <w:sz w:val="21"/>
              </w:rPr>
              <w:t>Accès refusé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T20</w:t>
            </w:r>
          </w:p>
        </w:tc>
        <w:tc>
          <w:tcPr>
            <w:tcW w:type="dxa" w:w="1474"/>
          </w:tcPr>
          <w:p>
            <w:pPr>
              <w:spacing w:line="240" w:lineRule="auto" w:after="40"/>
              <w:jc w:val="left"/>
            </w:pPr>
            <w:r>
              <w:rPr>
                <w:rFonts w:ascii="Times New Roman" w:hAnsi="Times New Roman" w:eastAsia="Times New Roman"/>
                <w:b w:val="0"/>
                <w:i w:val="0"/>
                <w:sz w:val="21"/>
              </w:rPr>
              <w:t>Absences</w:t>
            </w:r>
          </w:p>
        </w:tc>
        <w:tc>
          <w:tcPr>
            <w:tcW w:type="dxa" w:w="2948"/>
          </w:tcPr>
          <w:p>
            <w:pPr>
              <w:spacing w:line="240" w:lineRule="auto" w:after="40"/>
              <w:jc w:val="left"/>
            </w:pPr>
            <w:r>
              <w:rPr>
                <w:rFonts w:ascii="Times New Roman" w:hAnsi="Times New Roman" w:eastAsia="Times New Roman"/>
                <w:b w:val="0"/>
                <w:i w:val="0"/>
                <w:sz w:val="21"/>
              </w:rPr>
              <w:t>Justification tardive</w:t>
            </w:r>
          </w:p>
        </w:tc>
        <w:tc>
          <w:tcPr>
            <w:tcW w:type="dxa" w:w="2721"/>
          </w:tcPr>
          <w:p>
            <w:pPr>
              <w:spacing w:line="240" w:lineRule="auto" w:after="40"/>
              <w:jc w:val="left"/>
            </w:pPr>
            <w:r>
              <w:rPr>
                <w:rFonts w:ascii="Times New Roman" w:hAnsi="Times New Roman" w:eastAsia="Times New Roman"/>
                <w:b w:val="0"/>
                <w:i w:val="0"/>
                <w:sz w:val="21"/>
              </w:rPr>
              <w:t>Statut mis à jour, historique conservé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T21</w:t>
            </w:r>
          </w:p>
        </w:tc>
        <w:tc>
          <w:tcPr>
            <w:tcW w:type="dxa" w:w="1474"/>
          </w:tcPr>
          <w:p>
            <w:pPr>
              <w:spacing w:line="240" w:lineRule="auto" w:after="40"/>
              <w:jc w:val="left"/>
            </w:pPr>
            <w:r>
              <w:rPr>
                <w:rFonts w:ascii="Times New Roman" w:hAnsi="Times New Roman" w:eastAsia="Times New Roman"/>
                <w:b w:val="0"/>
                <w:i w:val="0"/>
                <w:sz w:val="21"/>
              </w:rPr>
              <w:t>Comptabilité</w:t>
            </w:r>
          </w:p>
        </w:tc>
        <w:tc>
          <w:tcPr>
            <w:tcW w:type="dxa" w:w="2948"/>
          </w:tcPr>
          <w:p>
            <w:pPr>
              <w:spacing w:line="240" w:lineRule="auto" w:after="40"/>
              <w:jc w:val="left"/>
            </w:pPr>
            <w:r>
              <w:rPr>
                <w:rFonts w:ascii="Times New Roman" w:hAnsi="Times New Roman" w:eastAsia="Times New Roman"/>
                <w:b w:val="0"/>
                <w:i w:val="0"/>
                <w:sz w:val="21"/>
              </w:rPr>
              <w:t>Versement supérieur au solde</w:t>
            </w:r>
          </w:p>
        </w:tc>
        <w:tc>
          <w:tcPr>
            <w:tcW w:type="dxa" w:w="2721"/>
          </w:tcPr>
          <w:p>
            <w:pPr>
              <w:spacing w:line="240" w:lineRule="auto" w:after="40"/>
              <w:jc w:val="left"/>
            </w:pPr>
            <w:r>
              <w:rPr>
                <w:rFonts w:ascii="Times New Roman" w:hAnsi="Times New Roman" w:eastAsia="Times New Roman"/>
                <w:b w:val="0"/>
                <w:i w:val="0"/>
                <w:sz w:val="21"/>
              </w:rPr>
              <w:t>Refus expliqué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T22</w:t>
            </w:r>
          </w:p>
        </w:tc>
        <w:tc>
          <w:tcPr>
            <w:tcW w:type="dxa" w:w="1474"/>
          </w:tcPr>
          <w:p>
            <w:pPr>
              <w:spacing w:line="240" w:lineRule="auto" w:after="40"/>
              <w:jc w:val="left"/>
            </w:pPr>
            <w:r>
              <w:rPr>
                <w:rFonts w:ascii="Times New Roman" w:hAnsi="Times New Roman" w:eastAsia="Times New Roman"/>
                <w:b w:val="0"/>
                <w:i w:val="0"/>
                <w:sz w:val="21"/>
              </w:rPr>
              <w:t>Comptabilité</w:t>
            </w:r>
          </w:p>
        </w:tc>
        <w:tc>
          <w:tcPr>
            <w:tcW w:type="dxa" w:w="2948"/>
          </w:tcPr>
          <w:p>
            <w:pPr>
              <w:spacing w:line="240" w:lineRule="auto" w:after="40"/>
              <w:jc w:val="left"/>
            </w:pPr>
            <w:r>
              <w:rPr>
                <w:rFonts w:ascii="Times New Roman" w:hAnsi="Times New Roman" w:eastAsia="Times New Roman"/>
                <w:b w:val="0"/>
                <w:i w:val="0"/>
                <w:sz w:val="21"/>
              </w:rPr>
              <w:t>Versement partiel</w:t>
            </w:r>
          </w:p>
        </w:tc>
        <w:tc>
          <w:tcPr>
            <w:tcW w:type="dxa" w:w="2721"/>
          </w:tcPr>
          <w:p>
            <w:pPr>
              <w:spacing w:line="240" w:lineRule="auto" w:after="40"/>
              <w:jc w:val="left"/>
            </w:pPr>
            <w:r>
              <w:rPr>
                <w:rFonts w:ascii="Times New Roman" w:hAnsi="Times New Roman" w:eastAsia="Times New Roman"/>
                <w:b w:val="0"/>
                <w:i w:val="0"/>
                <w:sz w:val="21"/>
              </w:rPr>
              <w:t>Solde recalculé, reçu produit</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T23</w:t>
            </w:r>
          </w:p>
        </w:tc>
        <w:tc>
          <w:tcPr>
            <w:tcW w:type="dxa" w:w="1474"/>
          </w:tcPr>
          <w:p>
            <w:pPr>
              <w:spacing w:line="240" w:lineRule="auto" w:after="40"/>
              <w:jc w:val="left"/>
            </w:pPr>
            <w:r>
              <w:rPr>
                <w:rFonts w:ascii="Times New Roman" w:hAnsi="Times New Roman" w:eastAsia="Times New Roman"/>
                <w:b w:val="0"/>
                <w:i w:val="0"/>
                <w:sz w:val="21"/>
              </w:rPr>
              <w:t>Comptabilité</w:t>
            </w:r>
          </w:p>
        </w:tc>
        <w:tc>
          <w:tcPr>
            <w:tcW w:type="dxa" w:w="2948"/>
          </w:tcPr>
          <w:p>
            <w:pPr>
              <w:spacing w:line="240" w:lineRule="auto" w:after="40"/>
              <w:jc w:val="left"/>
            </w:pPr>
            <w:r>
              <w:rPr>
                <w:rFonts w:ascii="Times New Roman" w:hAnsi="Times New Roman" w:eastAsia="Times New Roman"/>
                <w:b w:val="0"/>
                <w:i w:val="0"/>
                <w:sz w:val="21"/>
              </w:rPr>
              <w:t>Deux reçus successifs</w:t>
            </w:r>
          </w:p>
        </w:tc>
        <w:tc>
          <w:tcPr>
            <w:tcW w:type="dxa" w:w="2721"/>
          </w:tcPr>
          <w:p>
            <w:pPr>
              <w:spacing w:line="240" w:lineRule="auto" w:after="40"/>
              <w:jc w:val="left"/>
            </w:pPr>
            <w:r>
              <w:rPr>
                <w:rFonts w:ascii="Times New Roman" w:hAnsi="Times New Roman" w:eastAsia="Times New Roman"/>
                <w:b w:val="0"/>
                <w:i w:val="0"/>
                <w:sz w:val="21"/>
              </w:rPr>
              <w:t>Numéros distincts</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T24</w:t>
            </w:r>
          </w:p>
        </w:tc>
        <w:tc>
          <w:tcPr>
            <w:tcW w:type="dxa" w:w="1474"/>
          </w:tcPr>
          <w:p>
            <w:pPr>
              <w:spacing w:line="240" w:lineRule="auto" w:after="40"/>
              <w:jc w:val="left"/>
            </w:pPr>
            <w:r>
              <w:rPr>
                <w:rFonts w:ascii="Times New Roman" w:hAnsi="Times New Roman" w:eastAsia="Times New Roman"/>
                <w:b w:val="0"/>
                <w:i w:val="0"/>
                <w:sz w:val="21"/>
              </w:rPr>
              <w:t>Planning</w:t>
            </w:r>
          </w:p>
        </w:tc>
        <w:tc>
          <w:tcPr>
            <w:tcW w:type="dxa" w:w="2948"/>
          </w:tcPr>
          <w:p>
            <w:pPr>
              <w:spacing w:line="240" w:lineRule="auto" w:after="40"/>
              <w:jc w:val="left"/>
            </w:pPr>
            <w:r>
              <w:rPr>
                <w:rFonts w:ascii="Times New Roman" w:hAnsi="Times New Roman" w:eastAsia="Times New Roman"/>
                <w:b w:val="0"/>
                <w:i w:val="0"/>
                <w:sz w:val="21"/>
              </w:rPr>
              <w:t>Deux créneaux dans la même salle</w:t>
            </w:r>
          </w:p>
        </w:tc>
        <w:tc>
          <w:tcPr>
            <w:tcW w:type="dxa" w:w="2721"/>
          </w:tcPr>
          <w:p>
            <w:pPr>
              <w:spacing w:line="240" w:lineRule="auto" w:after="40"/>
              <w:jc w:val="left"/>
            </w:pPr>
            <w:r>
              <w:rPr>
                <w:rFonts w:ascii="Times New Roman" w:hAnsi="Times New Roman" w:eastAsia="Times New Roman"/>
                <w:b w:val="0"/>
                <w:i w:val="0"/>
                <w:sz w:val="21"/>
              </w:rPr>
              <w:t>Second créneau refusé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T25</w:t>
            </w:r>
          </w:p>
        </w:tc>
        <w:tc>
          <w:tcPr>
            <w:tcW w:type="dxa" w:w="1474"/>
          </w:tcPr>
          <w:p>
            <w:pPr>
              <w:spacing w:line="240" w:lineRule="auto" w:after="40"/>
              <w:jc w:val="left"/>
            </w:pPr>
            <w:r>
              <w:rPr>
                <w:rFonts w:ascii="Times New Roman" w:hAnsi="Times New Roman" w:eastAsia="Times New Roman"/>
                <w:b w:val="0"/>
                <w:i w:val="0"/>
                <w:sz w:val="21"/>
              </w:rPr>
              <w:t>Planning</w:t>
            </w:r>
          </w:p>
        </w:tc>
        <w:tc>
          <w:tcPr>
            <w:tcW w:type="dxa" w:w="2948"/>
          </w:tcPr>
          <w:p>
            <w:pPr>
              <w:spacing w:line="240" w:lineRule="auto" w:after="40"/>
              <w:jc w:val="left"/>
            </w:pPr>
            <w:r>
              <w:rPr>
                <w:rFonts w:ascii="Times New Roman" w:hAnsi="Times New Roman" w:eastAsia="Times New Roman"/>
                <w:b w:val="0"/>
                <w:i w:val="0"/>
                <w:sz w:val="21"/>
              </w:rPr>
              <w:t>Édition d’une liste d’émargement</w:t>
            </w:r>
          </w:p>
        </w:tc>
        <w:tc>
          <w:tcPr>
            <w:tcW w:type="dxa" w:w="2721"/>
          </w:tcPr>
          <w:p>
            <w:pPr>
              <w:spacing w:line="240" w:lineRule="auto" w:after="40"/>
              <w:jc w:val="left"/>
            </w:pPr>
            <w:r>
              <w:rPr>
                <w:rFonts w:ascii="Times New Roman" w:hAnsi="Times New Roman" w:eastAsia="Times New Roman"/>
                <w:b w:val="0"/>
                <w:i w:val="0"/>
                <w:sz w:val="21"/>
              </w:rPr>
              <w:t>PDF contenant les inscrits de la séance</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T26</w:t>
            </w:r>
          </w:p>
        </w:tc>
        <w:tc>
          <w:tcPr>
            <w:tcW w:type="dxa" w:w="1474"/>
          </w:tcPr>
          <w:p>
            <w:pPr>
              <w:spacing w:line="240" w:lineRule="auto" w:after="40"/>
              <w:jc w:val="left"/>
            </w:pPr>
            <w:r>
              <w:rPr>
                <w:rFonts w:ascii="Times New Roman" w:hAnsi="Times New Roman" w:eastAsia="Times New Roman"/>
                <w:b w:val="0"/>
                <w:i w:val="0"/>
                <w:sz w:val="21"/>
              </w:rPr>
              <w:t>Espaces</w:t>
            </w:r>
          </w:p>
        </w:tc>
        <w:tc>
          <w:tcPr>
            <w:tcW w:type="dxa" w:w="2948"/>
          </w:tcPr>
          <w:p>
            <w:pPr>
              <w:spacing w:line="240" w:lineRule="auto" w:after="40"/>
              <w:jc w:val="left"/>
            </w:pPr>
            <w:r>
              <w:rPr>
                <w:rFonts w:ascii="Times New Roman" w:hAnsi="Times New Roman" w:eastAsia="Times New Roman"/>
                <w:b w:val="0"/>
                <w:i w:val="0"/>
                <w:sz w:val="21"/>
              </w:rPr>
              <w:t>Parent consultant un enfant qui n’est pas le sien</w:t>
            </w:r>
          </w:p>
        </w:tc>
        <w:tc>
          <w:tcPr>
            <w:tcW w:type="dxa" w:w="2721"/>
          </w:tcPr>
          <w:p>
            <w:pPr>
              <w:spacing w:line="240" w:lineRule="auto" w:after="40"/>
              <w:jc w:val="left"/>
            </w:pPr>
            <w:r>
              <w:rPr>
                <w:rFonts w:ascii="Times New Roman" w:hAnsi="Times New Roman" w:eastAsia="Times New Roman"/>
                <w:b w:val="0"/>
                <w:i w:val="0"/>
                <w:sz w:val="21"/>
              </w:rPr>
              <w:t>Accès refusé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T27</w:t>
            </w:r>
          </w:p>
        </w:tc>
        <w:tc>
          <w:tcPr>
            <w:tcW w:type="dxa" w:w="1474"/>
          </w:tcPr>
          <w:p>
            <w:pPr>
              <w:spacing w:line="240" w:lineRule="auto" w:after="40"/>
              <w:jc w:val="left"/>
            </w:pPr>
            <w:r>
              <w:rPr>
                <w:rFonts w:ascii="Times New Roman" w:hAnsi="Times New Roman" w:eastAsia="Times New Roman"/>
                <w:b w:val="0"/>
                <w:i w:val="0"/>
                <w:sz w:val="21"/>
              </w:rPr>
              <w:t>Espaces</w:t>
            </w:r>
          </w:p>
        </w:tc>
        <w:tc>
          <w:tcPr>
            <w:tcW w:type="dxa" w:w="2948"/>
          </w:tcPr>
          <w:p>
            <w:pPr>
              <w:spacing w:line="240" w:lineRule="auto" w:after="40"/>
              <w:jc w:val="left"/>
            </w:pPr>
            <w:r>
              <w:rPr>
                <w:rFonts w:ascii="Times New Roman" w:hAnsi="Times New Roman" w:eastAsia="Times New Roman"/>
                <w:b w:val="0"/>
                <w:i w:val="0"/>
                <w:sz w:val="21"/>
              </w:rPr>
              <w:t>Étudiant consultant le dossier d’un autre</w:t>
            </w:r>
          </w:p>
        </w:tc>
        <w:tc>
          <w:tcPr>
            <w:tcW w:type="dxa" w:w="2721"/>
          </w:tcPr>
          <w:p>
            <w:pPr>
              <w:spacing w:line="240" w:lineRule="auto" w:after="40"/>
              <w:jc w:val="left"/>
            </w:pPr>
            <w:r>
              <w:rPr>
                <w:rFonts w:ascii="Times New Roman" w:hAnsi="Times New Roman" w:eastAsia="Times New Roman"/>
                <w:b w:val="0"/>
                <w:i w:val="0"/>
                <w:sz w:val="21"/>
              </w:rPr>
              <w:t>Accès refusé</w:t>
            </w:r>
          </w:p>
        </w:tc>
        <w:tc>
          <w:tcPr>
            <w:tcW w:type="dxa" w:w="1020"/>
          </w:tcPr>
          <w:p>
            <w:pPr>
              <w:spacing w:line="240" w:lineRule="auto" w:after="40"/>
              <w:jc w:val="left"/>
            </w:pPr>
            <w:r>
              <w:rPr>
                <w:rFonts w:ascii="Times New Roman" w:hAnsi="Times New Roman" w:eastAsia="Times New Roman"/>
                <w:b w:val="0"/>
                <w:i w:val="0"/>
                <w:sz w:val="21"/>
              </w:rPr>
              <w:t>Validé</w:t>
            </w:r>
          </w:p>
        </w:tc>
      </w:tr>
      <w:tr>
        <w:tc>
          <w:tcPr>
            <w:tcW w:type="dxa" w:w="624"/>
          </w:tcPr>
          <w:p>
            <w:pPr>
              <w:spacing w:line="240" w:lineRule="auto" w:after="40"/>
              <w:jc w:val="center"/>
            </w:pPr>
            <w:r>
              <w:rPr>
                <w:rFonts w:ascii="Times New Roman" w:hAnsi="Times New Roman" w:eastAsia="Times New Roman"/>
                <w:b w:val="0"/>
                <w:i w:val="0"/>
                <w:sz w:val="21"/>
              </w:rPr>
              <w:t>T28</w:t>
            </w:r>
          </w:p>
        </w:tc>
        <w:tc>
          <w:tcPr>
            <w:tcW w:type="dxa" w:w="1474"/>
          </w:tcPr>
          <w:p>
            <w:pPr>
              <w:spacing w:line="240" w:lineRule="auto" w:after="40"/>
              <w:jc w:val="left"/>
            </w:pPr>
            <w:r>
              <w:rPr>
                <w:rFonts w:ascii="Times New Roman" w:hAnsi="Times New Roman" w:eastAsia="Times New Roman"/>
                <w:b w:val="0"/>
                <w:i w:val="0"/>
                <w:sz w:val="21"/>
              </w:rPr>
              <w:t>Documents</w:t>
            </w:r>
          </w:p>
        </w:tc>
        <w:tc>
          <w:tcPr>
            <w:tcW w:type="dxa" w:w="2948"/>
          </w:tcPr>
          <w:p>
            <w:pPr>
              <w:spacing w:line="240" w:lineRule="auto" w:after="40"/>
              <w:jc w:val="left"/>
            </w:pPr>
            <w:r>
              <w:rPr>
                <w:rFonts w:ascii="Times New Roman" w:hAnsi="Times New Roman" w:eastAsia="Times New Roman"/>
                <w:b w:val="0"/>
                <w:i w:val="0"/>
                <w:sz w:val="21"/>
              </w:rPr>
              <w:t>Charte graphique des PDF produits</w:t>
            </w:r>
          </w:p>
        </w:tc>
        <w:tc>
          <w:tcPr>
            <w:tcW w:type="dxa" w:w="2721"/>
          </w:tcPr>
          <w:p>
            <w:pPr>
              <w:spacing w:line="240" w:lineRule="auto" w:after="40"/>
              <w:jc w:val="left"/>
            </w:pPr>
            <w:r>
              <w:rPr>
                <w:rFonts w:ascii="Times New Roman" w:hAnsi="Times New Roman" w:eastAsia="Times New Roman"/>
                <w:b w:val="0"/>
                <w:i w:val="0"/>
                <w:sz w:val="21"/>
              </w:rPr>
              <w:t>Couleurs et logo conformes</w:t>
            </w:r>
          </w:p>
        </w:tc>
        <w:tc>
          <w:tcPr>
            <w:tcW w:type="dxa" w:w="1020"/>
          </w:tcPr>
          <w:p>
            <w:pPr>
              <w:spacing w:line="240" w:lineRule="auto" w:after="40"/>
              <w:jc w:val="left"/>
            </w:pPr>
            <w:r>
              <w:rPr>
                <w:rFonts w:ascii="Times New Roman" w:hAnsi="Times New Roman" w:eastAsia="Times New Roman"/>
                <w:b w:val="0"/>
                <w:i w:val="0"/>
                <w:sz w:val="21"/>
              </w:rPr>
              <w:t>Validé</w:t>
            </w:r>
          </w:p>
        </w:tc>
      </w:tr>
    </w:tbl>
    <w:p>
      <w:pPr>
        <w:spacing w:after="240" w:line="240" w:lineRule="auto"/>
        <w:jc w:val="right"/>
      </w:pPr>
      <w:r>
        <w:rPr>
          <w:rFonts w:ascii="Times New Roman" w:hAnsi="Times New Roman" w:eastAsia="Times New Roman"/>
          <w:b w:val="0"/>
          <w:i/>
          <w:color w:val="444444"/>
          <w:sz w:val="20"/>
        </w:rPr>
        <w:t>Source : Les auteurs</w:t>
      </w:r>
    </w:p>
    <w:p>
      <w:pPr>
        <w:pStyle w:val="Heading2"/>
        <w:jc w:val="left"/>
      </w:pPr>
      <w:r>
        <w:rPr>
          <w:rFonts w:ascii="Times New Roman" w:hAnsi="Times New Roman" w:eastAsia="Times New Roman"/>
          <w:b/>
          <w:i w:val="0"/>
          <w:color w:val="2E4474"/>
          <w:sz w:val="28"/>
        </w:rPr>
        <w:t>Annexe C — Paramètres de déploiement</w:t>
      </w:r>
    </w:p>
    <w:p>
      <w:pPr>
        <w:spacing w:before="0" w:line="360" w:lineRule="auto"/>
        <w:jc w:val="both"/>
      </w:pPr>
      <w:r>
        <w:rPr>
          <w:rFonts w:ascii="Times New Roman" w:hAnsi="Times New Roman" w:eastAsia="Times New Roman"/>
          <w:b w:val="0"/>
          <w:i w:val="0"/>
          <w:sz w:val="24"/>
        </w:rPr>
        <w:t>La mise en ligne repose sur des paramètres de configuration fournis à l’hébergement, et non écrits dans le code : c’est ce qui permet de faire tourner la même application en développement et en production sans la modifier.</w:t>
      </w:r>
    </w:p>
    <w:p>
      <w:pPr>
        <w:pStyle w:val="Caption"/>
        <w:spacing w:before="200" w:after="60" w:line="240" w:lineRule="auto"/>
        <w:jc w:val="left"/>
      </w:pPr>
      <w:r>
        <w:rPr>
          <w:rFonts w:ascii="Times New Roman" w:hAnsi="Times New Roman" w:eastAsia="Times New Roman"/>
          <w:b/>
          <w:i w:val="0"/>
          <w:color w:val="444444"/>
          <w:sz w:val="22"/>
        </w:rPr>
        <w:t xml:space="preserve">Tableau </w:t>
      </w:r>
      <w:r>
        <w:rPr>
          <w:rFonts w:ascii="Times New Roman" w:hAnsi="Times New Roman" w:eastAsia="Times New Roman"/>
          <w:b/>
          <w:i w:val="0"/>
          <w:color w:val="444444"/>
          <w:sz w:val="22"/>
        </w:rPr>
        <w:fldChar w:fldCharType="begin"/>
        <w:instrText xml:space="preserve"> SEQ Tableau \* ARABIC </w:instrText>
        <w:fldChar w:fldCharType="separate"/>
        <w:t>1</w:t>
        <w:fldChar w:fldCharType="end"/>
      </w:r>
      <w:r>
        <w:rPr>
          <w:rFonts w:ascii="Times New Roman" w:hAnsi="Times New Roman" w:eastAsia="Times New Roman"/>
          <w:b w:val="0"/>
          <w:i w:val="0"/>
          <w:color w:val="444444"/>
          <w:sz w:val="22"/>
        </w:rPr>
        <w:t xml:space="preserve"> : Paramètres de configuration nécessaires au déploiement</w:t>
      </w:r>
    </w:p>
    <w:tbl>
      <w:tblPr>
        <w:tblStyle w:val="TableGrid"/>
        <w:tblW w:type="auto" w:w="0"/>
        <w:jc w:val="center"/>
        <w:tblLook w:firstColumn="1" w:firstRow="1" w:lastColumn="0" w:lastRow="0" w:noHBand="0" w:noVBand="1" w:val="04A0"/>
      </w:tblPr>
      <w:tblGrid>
        <w:gridCol w:w="4680"/>
        <w:gridCol w:w="4680"/>
      </w:tblGrid>
      <w:tr>
        <w:tc>
          <w:tcPr>
            <w:tcW w:type="dxa" w:w="2835"/>
            <w:shd w:val="clear" w:fill="DCE3EE"/>
          </w:tcPr>
          <w:p>
            <w:pPr>
              <w:spacing w:line="240" w:lineRule="auto" w:after="40"/>
              <w:jc w:val="center"/>
            </w:pPr>
            <w:r>
              <w:rPr>
                <w:rFonts w:ascii="Times New Roman" w:hAnsi="Times New Roman" w:eastAsia="Times New Roman"/>
                <w:b/>
                <w:i w:val="0"/>
                <w:sz w:val="21"/>
              </w:rPr>
              <w:t>Paramètre</w:t>
            </w:r>
          </w:p>
        </w:tc>
        <w:tc>
          <w:tcPr>
            <w:tcW w:type="dxa" w:w="5953"/>
            <w:shd w:val="clear" w:fill="DCE3EE"/>
          </w:tcPr>
          <w:p>
            <w:pPr>
              <w:spacing w:line="240" w:lineRule="auto" w:after="40"/>
              <w:jc w:val="center"/>
            </w:pPr>
            <w:r>
              <w:rPr>
                <w:rFonts w:ascii="Times New Roman" w:hAnsi="Times New Roman" w:eastAsia="Times New Roman"/>
                <w:b/>
                <w:i w:val="0"/>
                <w:sz w:val="21"/>
              </w:rPr>
              <w:t>Rôle</w:t>
            </w:r>
          </w:p>
        </w:tc>
      </w:tr>
      <w:tr>
        <w:tc>
          <w:tcPr>
            <w:tcW w:type="dxa" w:w="2835"/>
          </w:tcPr>
          <w:p>
            <w:pPr>
              <w:spacing w:line="240" w:lineRule="auto" w:after="40"/>
              <w:jc w:val="left"/>
            </w:pPr>
            <w:r>
              <w:rPr>
                <w:rFonts w:ascii="Times New Roman" w:hAnsi="Times New Roman" w:eastAsia="Times New Roman"/>
                <w:b w:val="0"/>
                <w:i w:val="0"/>
                <w:sz w:val="21"/>
              </w:rPr>
              <w:t>Adresse de la base de données</w:t>
            </w:r>
          </w:p>
        </w:tc>
        <w:tc>
          <w:tcPr>
            <w:tcW w:type="dxa" w:w="5953"/>
          </w:tcPr>
          <w:p>
            <w:pPr>
              <w:spacing w:line="240" w:lineRule="auto" w:after="40"/>
              <w:jc w:val="left"/>
            </w:pPr>
            <w:r>
              <w:rPr>
                <w:rFonts w:ascii="Times New Roman" w:hAnsi="Times New Roman" w:eastAsia="Times New Roman"/>
                <w:b w:val="0"/>
                <w:i w:val="0"/>
                <w:sz w:val="21"/>
              </w:rPr>
              <w:t>Localisation et identifiants de la grappe MongoDB.</w:t>
            </w:r>
          </w:p>
        </w:tc>
      </w:tr>
      <w:tr>
        <w:tc>
          <w:tcPr>
            <w:tcW w:type="dxa" w:w="2835"/>
          </w:tcPr>
          <w:p>
            <w:pPr>
              <w:spacing w:line="240" w:lineRule="auto" w:after="40"/>
              <w:jc w:val="left"/>
            </w:pPr>
            <w:r>
              <w:rPr>
                <w:rFonts w:ascii="Times New Roman" w:hAnsi="Times New Roman" w:eastAsia="Times New Roman"/>
                <w:b w:val="0"/>
                <w:i w:val="0"/>
                <w:sz w:val="21"/>
              </w:rPr>
              <w:t>Clé de signature des jetons</w:t>
            </w:r>
          </w:p>
        </w:tc>
        <w:tc>
          <w:tcPr>
            <w:tcW w:type="dxa" w:w="5953"/>
          </w:tcPr>
          <w:p>
            <w:pPr>
              <w:spacing w:line="240" w:lineRule="auto" w:after="40"/>
              <w:jc w:val="left"/>
            </w:pPr>
            <w:r>
              <w:rPr>
                <w:rFonts w:ascii="Times New Roman" w:hAnsi="Times New Roman" w:eastAsia="Times New Roman"/>
                <w:b w:val="0"/>
                <w:i w:val="0"/>
                <w:sz w:val="21"/>
              </w:rPr>
              <w:t>Secret qui rend les jetons de session infalsifiables.</w:t>
            </w:r>
          </w:p>
        </w:tc>
      </w:tr>
      <w:tr>
        <w:tc>
          <w:tcPr>
            <w:tcW w:type="dxa" w:w="2835"/>
          </w:tcPr>
          <w:p>
            <w:pPr>
              <w:spacing w:line="240" w:lineRule="auto" w:after="40"/>
              <w:jc w:val="left"/>
            </w:pPr>
            <w:r>
              <w:rPr>
                <w:rFonts w:ascii="Times New Roman" w:hAnsi="Times New Roman" w:eastAsia="Times New Roman"/>
                <w:b w:val="0"/>
                <w:i w:val="0"/>
                <w:sz w:val="21"/>
              </w:rPr>
              <w:t>Durée de validité des jetons</w:t>
            </w:r>
          </w:p>
        </w:tc>
        <w:tc>
          <w:tcPr>
            <w:tcW w:type="dxa" w:w="5953"/>
          </w:tcPr>
          <w:p>
            <w:pPr>
              <w:spacing w:line="240" w:lineRule="auto" w:after="40"/>
              <w:jc w:val="left"/>
            </w:pPr>
            <w:r>
              <w:rPr>
                <w:rFonts w:ascii="Times New Roman" w:hAnsi="Times New Roman" w:eastAsia="Times New Roman"/>
                <w:b w:val="0"/>
                <w:i w:val="0"/>
                <w:sz w:val="21"/>
              </w:rPr>
              <w:t>Jeton d’accès court, jeton de renouvellement plus long.</w:t>
            </w:r>
          </w:p>
        </w:tc>
      </w:tr>
      <w:tr>
        <w:tc>
          <w:tcPr>
            <w:tcW w:type="dxa" w:w="2835"/>
          </w:tcPr>
          <w:p>
            <w:pPr>
              <w:spacing w:line="240" w:lineRule="auto" w:after="40"/>
              <w:jc w:val="left"/>
            </w:pPr>
            <w:r>
              <w:rPr>
                <w:rFonts w:ascii="Times New Roman" w:hAnsi="Times New Roman" w:eastAsia="Times New Roman"/>
                <w:b w:val="0"/>
                <w:i w:val="0"/>
                <w:sz w:val="21"/>
              </w:rPr>
              <w:t>Adresse publique du site</w:t>
            </w:r>
          </w:p>
        </w:tc>
        <w:tc>
          <w:tcPr>
            <w:tcW w:type="dxa" w:w="5953"/>
          </w:tcPr>
          <w:p>
            <w:pPr>
              <w:spacing w:line="240" w:lineRule="auto" w:after="40"/>
              <w:jc w:val="left"/>
            </w:pPr>
            <w:r>
              <w:rPr>
                <w:rFonts w:ascii="Times New Roman" w:hAnsi="Times New Roman" w:eastAsia="Times New Roman"/>
                <w:b w:val="0"/>
                <w:i w:val="0"/>
                <w:sz w:val="21"/>
              </w:rPr>
              <w:t>Sert aux liens des courriels et au plan de site.</w:t>
            </w:r>
          </w:p>
        </w:tc>
      </w:tr>
      <w:tr>
        <w:tc>
          <w:tcPr>
            <w:tcW w:type="dxa" w:w="2835"/>
          </w:tcPr>
          <w:p>
            <w:pPr>
              <w:spacing w:line="240" w:lineRule="auto" w:after="40"/>
              <w:jc w:val="left"/>
            </w:pPr>
            <w:r>
              <w:rPr>
                <w:rFonts w:ascii="Times New Roman" w:hAnsi="Times New Roman" w:eastAsia="Times New Roman"/>
                <w:b w:val="0"/>
                <w:i w:val="0"/>
                <w:sz w:val="21"/>
              </w:rPr>
              <w:t>Adresse de l’API</w:t>
            </w:r>
          </w:p>
        </w:tc>
        <w:tc>
          <w:tcPr>
            <w:tcW w:type="dxa" w:w="5953"/>
          </w:tcPr>
          <w:p>
            <w:pPr>
              <w:spacing w:line="240" w:lineRule="auto" w:after="40"/>
              <w:jc w:val="left"/>
            </w:pPr>
            <w:r>
              <w:rPr>
                <w:rFonts w:ascii="Times New Roman" w:hAnsi="Times New Roman" w:eastAsia="Times New Roman"/>
                <w:b w:val="0"/>
                <w:i w:val="0"/>
                <w:sz w:val="21"/>
              </w:rPr>
              <w:t>Indique à l’application où adresser ses requêtes.</w:t>
            </w:r>
          </w:p>
        </w:tc>
      </w:tr>
      <w:tr>
        <w:tc>
          <w:tcPr>
            <w:tcW w:type="dxa" w:w="2835"/>
          </w:tcPr>
          <w:p>
            <w:pPr>
              <w:spacing w:line="240" w:lineRule="auto" w:after="40"/>
              <w:jc w:val="left"/>
            </w:pPr>
            <w:r>
              <w:rPr>
                <w:rFonts w:ascii="Times New Roman" w:hAnsi="Times New Roman" w:eastAsia="Times New Roman"/>
                <w:b w:val="0"/>
                <w:i w:val="0"/>
                <w:sz w:val="21"/>
              </w:rPr>
              <w:t>Clé du service de courriels</w:t>
            </w:r>
          </w:p>
        </w:tc>
        <w:tc>
          <w:tcPr>
            <w:tcW w:type="dxa" w:w="5953"/>
          </w:tcPr>
          <w:p>
            <w:pPr>
              <w:spacing w:line="240" w:lineRule="auto" w:after="40"/>
              <w:jc w:val="left"/>
            </w:pPr>
            <w:r>
              <w:rPr>
                <w:rFonts w:ascii="Times New Roman" w:hAnsi="Times New Roman" w:eastAsia="Times New Roman"/>
                <w:b w:val="0"/>
                <w:i w:val="0"/>
                <w:sz w:val="21"/>
              </w:rPr>
              <w:t>Autorise l’envoi depuis le domaine de l’établissement.</w:t>
            </w:r>
          </w:p>
        </w:tc>
      </w:tr>
      <w:tr>
        <w:tc>
          <w:tcPr>
            <w:tcW w:type="dxa" w:w="2835"/>
          </w:tcPr>
          <w:p>
            <w:pPr>
              <w:spacing w:line="240" w:lineRule="auto" w:after="40"/>
              <w:jc w:val="left"/>
            </w:pPr>
            <w:r>
              <w:rPr>
                <w:rFonts w:ascii="Times New Roman" w:hAnsi="Times New Roman" w:eastAsia="Times New Roman"/>
                <w:b w:val="0"/>
                <w:i w:val="0"/>
                <w:sz w:val="21"/>
              </w:rPr>
              <w:t>Compte administrateur initial</w:t>
            </w:r>
          </w:p>
        </w:tc>
        <w:tc>
          <w:tcPr>
            <w:tcW w:type="dxa" w:w="5953"/>
          </w:tcPr>
          <w:p>
            <w:pPr>
              <w:spacing w:line="240" w:lineRule="auto" w:after="40"/>
              <w:jc w:val="left"/>
            </w:pPr>
            <w:r>
              <w:rPr>
                <w:rFonts w:ascii="Times New Roman" w:hAnsi="Times New Roman" w:eastAsia="Times New Roman"/>
                <w:b w:val="0"/>
                <w:i w:val="0"/>
                <w:sz w:val="21"/>
              </w:rPr>
              <w:t>Adresse et mot de passe du premier compte, créé au premier démarrage.</w:t>
            </w:r>
          </w:p>
        </w:tc>
      </w:tr>
    </w:tbl>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b w:val="0"/>
        <w:i w:val="0"/>
        <w:sz w:val="22"/>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b w:val="0"/>
        <w:i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60" w:lineRule="auto"/>
      <w:outlineLvl w:val="0"/>
    </w:pPr>
    <w:rPr>
      <w:rFonts w:asciiTheme="majorHAnsi" w:eastAsiaTheme="majorEastAsia" w:hAnsiTheme="majorHAnsi" w:cstheme="majorBidi" w:ascii="Times New Roman" w:hAnsi="Times New Roman" w:eastAsia="Times New Roman"/>
      <w:b/>
      <w:bCs/>
      <w:i w:val="0"/>
      <w:color w:val="2E4474"/>
      <w:sz w:val="32"/>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eastAsia="Times New Roman"/>
      <w:b/>
      <w:bCs/>
      <w:i w:val="0"/>
      <w:color w:val="2E4474"/>
      <w:sz w:val="28"/>
      <w:szCs w:val="26"/>
    </w:rPr>
  </w:style>
  <w:style w:type="paragraph" w:styleId="Heading3">
    <w:name w:val="heading 3"/>
    <w:basedOn w:val="Normal"/>
    <w:next w:val="Normal"/>
    <w:link w:val="Heading3Char"/>
    <w:uiPriority w:val="9"/>
    <w:unhideWhenUsed/>
    <w:qFormat/>
    <w:rsid w:val="00FC693F"/>
    <w:pPr>
      <w:keepNext/>
      <w:keepLines/>
      <w:spacing w:before="240" w:after="160" w:line="360" w:lineRule="auto"/>
      <w:outlineLvl w:val="2"/>
    </w:pPr>
    <w:rPr>
      <w:rFonts w:asciiTheme="majorHAnsi" w:eastAsiaTheme="majorEastAsia" w:hAnsiTheme="majorHAnsi" w:cstheme="majorBidi" w:ascii="Times New Roman" w:hAnsi="Times New Roman" w:eastAsia="Times New Roman"/>
      <w:b/>
      <w:bCs/>
      <w:i w:val="0"/>
      <w:color w:val="2E4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