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536BB">
      <w:pPr>
        <w:rPr>
          <w:rFonts w:hint="eastAsia" w:ascii="仿宋_GB2312" w:hAnsi="仿宋_GB2312" w:eastAsia="仿宋_GB2312" w:cs="仿宋_GB2312"/>
          <w:highlight w:val="none"/>
        </w:rPr>
      </w:pPr>
      <w:bookmarkStart w:id="0" w:name="_Hlk89427572"/>
    </w:p>
    <w:p w14:paraId="7DE1F7A8">
      <w:pPr>
        <w:rPr>
          <w:rFonts w:hint="eastAsia" w:ascii="仿宋_GB2312" w:hAnsi="仿宋_GB2312" w:eastAsia="仿宋_GB2312" w:cs="仿宋_GB2312"/>
          <w:highlight w:val="none"/>
        </w:rPr>
      </w:pPr>
    </w:p>
    <w:p w14:paraId="34A7D1FB">
      <w:pPr>
        <w:rPr>
          <w:rFonts w:hint="eastAsia" w:ascii="仿宋_GB2312" w:hAnsi="仿宋_GB2312" w:eastAsia="仿宋_GB2312" w:cs="仿宋_GB2312"/>
          <w:b/>
          <w:bCs/>
          <w:highlight w:val="none"/>
        </w:rPr>
      </w:pPr>
    </w:p>
    <w:p w14:paraId="03B4B50E">
      <w:pPr>
        <w:rPr>
          <w:rFonts w:hint="eastAsia" w:ascii="仿宋_GB2312" w:hAnsi="仿宋_GB2312" w:eastAsia="仿宋_GB2312" w:cs="仿宋_GB2312"/>
          <w:highlight w:val="none"/>
        </w:rPr>
      </w:pPr>
    </w:p>
    <w:p w14:paraId="6B211CAD">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数字人民币运营管理中心有限公司</w:t>
      </w:r>
    </w:p>
    <w:p w14:paraId="2B137DC8">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2025年二次放号查询服务采购项目</w:t>
      </w:r>
    </w:p>
    <w:p w14:paraId="67DA0699">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采购需求文件</w:t>
      </w:r>
    </w:p>
    <w:p w14:paraId="45C67839">
      <w:pPr>
        <w:rPr>
          <w:rFonts w:hint="eastAsia" w:ascii="仿宋_GB2312" w:hAnsi="仿宋_GB2312" w:eastAsia="仿宋_GB2312" w:cs="仿宋_GB2312"/>
          <w:highlight w:val="none"/>
        </w:rPr>
      </w:pPr>
    </w:p>
    <w:p w14:paraId="129BEE4F">
      <w:pPr>
        <w:rPr>
          <w:rFonts w:hint="eastAsia" w:ascii="仿宋_GB2312" w:hAnsi="仿宋_GB2312" w:eastAsia="仿宋_GB2312" w:cs="仿宋_GB2312"/>
          <w:highlight w:val="none"/>
        </w:rPr>
      </w:pPr>
    </w:p>
    <w:p w14:paraId="659DA41B">
      <w:pPr>
        <w:rPr>
          <w:rFonts w:hint="eastAsia" w:ascii="仿宋_GB2312" w:hAnsi="仿宋_GB2312" w:eastAsia="仿宋_GB2312" w:cs="仿宋_GB2312"/>
          <w:highlight w:val="none"/>
        </w:rPr>
      </w:pPr>
    </w:p>
    <w:p w14:paraId="0FE56FA9">
      <w:pPr>
        <w:rPr>
          <w:rFonts w:hint="eastAsia" w:ascii="仿宋_GB2312" w:hAnsi="仿宋_GB2312" w:eastAsia="仿宋_GB2312" w:cs="仿宋_GB2312"/>
          <w:highlight w:val="none"/>
        </w:rPr>
      </w:pPr>
    </w:p>
    <w:p w14:paraId="7DB916FA">
      <w:pPr>
        <w:rPr>
          <w:rFonts w:hint="eastAsia" w:ascii="仿宋_GB2312" w:hAnsi="仿宋_GB2312" w:eastAsia="仿宋_GB2312" w:cs="仿宋_GB2312"/>
          <w:highlight w:val="none"/>
        </w:rPr>
      </w:pPr>
    </w:p>
    <w:p w14:paraId="730CCE1C">
      <w:pPr>
        <w:rPr>
          <w:rFonts w:hint="eastAsia" w:ascii="仿宋_GB2312" w:hAnsi="仿宋_GB2312" w:eastAsia="仿宋_GB2312" w:cs="仿宋_GB2312"/>
          <w:highlight w:val="none"/>
        </w:rPr>
      </w:pPr>
    </w:p>
    <w:p w14:paraId="18FCB896">
      <w:pPr>
        <w:rPr>
          <w:rFonts w:hint="eastAsia" w:ascii="仿宋_GB2312" w:hAnsi="仿宋_GB2312" w:eastAsia="仿宋_GB2312" w:cs="仿宋_GB2312"/>
          <w:highlight w:val="none"/>
        </w:rPr>
      </w:pPr>
    </w:p>
    <w:p w14:paraId="6532DA60">
      <w:pPr>
        <w:rPr>
          <w:rFonts w:hint="eastAsia" w:ascii="仿宋_GB2312" w:hAnsi="仿宋_GB2312" w:eastAsia="仿宋_GB2312" w:cs="仿宋_GB2312"/>
          <w:highlight w:val="none"/>
        </w:rPr>
      </w:pPr>
    </w:p>
    <w:p w14:paraId="44BE2810">
      <w:pPr>
        <w:rPr>
          <w:rFonts w:hint="eastAsia" w:ascii="仿宋_GB2312" w:hAnsi="仿宋_GB2312" w:eastAsia="仿宋_GB2312" w:cs="仿宋_GB2312"/>
          <w:highlight w:val="none"/>
        </w:rPr>
      </w:pPr>
    </w:p>
    <w:p w14:paraId="5F89DA56">
      <w:pPr>
        <w:rPr>
          <w:rFonts w:hint="eastAsia" w:ascii="仿宋_GB2312" w:hAnsi="仿宋_GB2312" w:eastAsia="仿宋_GB2312" w:cs="仿宋_GB2312"/>
          <w:highlight w:val="none"/>
        </w:rPr>
      </w:pPr>
    </w:p>
    <w:p w14:paraId="0CAEB302">
      <w:pPr>
        <w:rPr>
          <w:rFonts w:hint="eastAsia" w:ascii="仿宋_GB2312" w:hAnsi="仿宋_GB2312" w:eastAsia="仿宋_GB2312" w:cs="仿宋_GB2312"/>
          <w:highlight w:val="none"/>
        </w:rPr>
      </w:pPr>
    </w:p>
    <w:p w14:paraId="5771BEC4">
      <w:pPr>
        <w:rPr>
          <w:rFonts w:hint="eastAsia" w:ascii="仿宋_GB2312" w:hAnsi="仿宋_GB2312" w:eastAsia="仿宋_GB2312" w:cs="仿宋_GB2312"/>
          <w:highlight w:val="none"/>
        </w:rPr>
      </w:pPr>
    </w:p>
    <w:p w14:paraId="2F01E9FA">
      <w:pPr>
        <w:rPr>
          <w:rFonts w:hint="eastAsia" w:ascii="仿宋_GB2312" w:hAnsi="仿宋_GB2312" w:eastAsia="仿宋_GB2312" w:cs="仿宋_GB2312"/>
          <w:highlight w:val="none"/>
        </w:rPr>
      </w:pPr>
    </w:p>
    <w:p w14:paraId="7453D8D7">
      <w:pPr>
        <w:rPr>
          <w:rFonts w:hint="eastAsia" w:ascii="仿宋_GB2312" w:hAnsi="仿宋_GB2312" w:eastAsia="仿宋_GB2312" w:cs="仿宋_GB2312"/>
          <w:highlight w:val="none"/>
        </w:rPr>
      </w:pPr>
    </w:p>
    <w:p w14:paraId="41AA9B94">
      <w:pPr>
        <w:rPr>
          <w:rFonts w:hint="eastAsia" w:ascii="仿宋_GB2312" w:hAnsi="仿宋_GB2312" w:eastAsia="仿宋_GB2312" w:cs="仿宋_GB2312"/>
          <w:highlight w:val="none"/>
        </w:rPr>
      </w:pPr>
    </w:p>
    <w:p w14:paraId="7563D80D">
      <w:pPr>
        <w:rPr>
          <w:rFonts w:hint="eastAsia" w:ascii="仿宋_GB2312" w:hAnsi="仿宋_GB2312" w:eastAsia="仿宋_GB2312" w:cs="仿宋_GB2312"/>
          <w:highlight w:val="none"/>
        </w:rPr>
      </w:pPr>
    </w:p>
    <w:p w14:paraId="76B3E15E">
      <w:pPr>
        <w:rPr>
          <w:rFonts w:hint="eastAsia" w:ascii="仿宋_GB2312" w:hAnsi="仿宋_GB2312" w:eastAsia="仿宋_GB2312" w:cs="仿宋_GB2312"/>
          <w:highlight w:val="none"/>
        </w:rPr>
      </w:pPr>
    </w:p>
    <w:p w14:paraId="0403C8D8">
      <w:pPr>
        <w:rPr>
          <w:rFonts w:hint="eastAsia" w:ascii="仿宋_GB2312" w:hAnsi="仿宋_GB2312" w:eastAsia="仿宋_GB2312" w:cs="仿宋_GB2312"/>
          <w:highlight w:val="none"/>
        </w:rPr>
      </w:pPr>
    </w:p>
    <w:p w14:paraId="04D97A5B">
      <w:pPr>
        <w:rPr>
          <w:rFonts w:hint="eastAsia" w:ascii="仿宋_GB2312" w:hAnsi="仿宋_GB2312" w:eastAsia="仿宋_GB2312" w:cs="仿宋_GB2312"/>
          <w:highlight w:val="none"/>
        </w:rPr>
      </w:pPr>
    </w:p>
    <w:p w14:paraId="00632990">
      <w:pPr>
        <w:rPr>
          <w:rFonts w:hint="eastAsia" w:ascii="仿宋_GB2312" w:hAnsi="仿宋_GB2312" w:eastAsia="仿宋_GB2312" w:cs="仿宋_GB2312"/>
          <w:highlight w:val="none"/>
        </w:rPr>
      </w:pPr>
    </w:p>
    <w:p w14:paraId="2BE0F8EB">
      <w:pPr>
        <w:rPr>
          <w:rFonts w:hint="eastAsia" w:ascii="仿宋_GB2312" w:hAnsi="仿宋_GB2312" w:eastAsia="仿宋_GB2312" w:cs="仿宋_GB2312"/>
          <w:highlight w:val="none"/>
        </w:rPr>
      </w:pPr>
    </w:p>
    <w:p w14:paraId="461B579E">
      <w:pPr>
        <w:rPr>
          <w:rFonts w:hint="eastAsia" w:ascii="仿宋_GB2312" w:hAnsi="仿宋_GB2312" w:eastAsia="仿宋_GB2312" w:cs="仿宋_GB2312"/>
          <w:highlight w:val="none"/>
        </w:rPr>
      </w:pPr>
    </w:p>
    <w:p w14:paraId="10C5A56A">
      <w:pPr>
        <w:rPr>
          <w:rFonts w:hint="eastAsia" w:ascii="仿宋_GB2312" w:hAnsi="仿宋_GB2312" w:eastAsia="仿宋_GB2312" w:cs="仿宋_GB2312"/>
          <w:highlight w:val="none"/>
        </w:rPr>
      </w:pPr>
    </w:p>
    <w:p w14:paraId="37EC40AD">
      <w:pPr>
        <w:rPr>
          <w:rFonts w:hint="eastAsia" w:ascii="仿宋_GB2312" w:hAnsi="仿宋_GB2312" w:eastAsia="仿宋_GB2312" w:cs="仿宋_GB2312"/>
          <w:highlight w:val="none"/>
        </w:rPr>
      </w:pPr>
    </w:p>
    <w:p w14:paraId="40ACAEE2">
      <w:pPr>
        <w:rPr>
          <w:rFonts w:hint="eastAsia" w:ascii="仿宋_GB2312" w:hAnsi="仿宋_GB2312" w:eastAsia="仿宋_GB2312" w:cs="仿宋_GB2312"/>
          <w:highlight w:val="none"/>
        </w:rPr>
      </w:pPr>
    </w:p>
    <w:p w14:paraId="697A5B86">
      <w:pPr>
        <w:jc w:val="center"/>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采购人：</w:t>
      </w:r>
      <w:r>
        <w:rPr>
          <w:rFonts w:hint="eastAsia" w:ascii="仿宋_GB2312" w:hAnsi="仿宋_GB2312" w:eastAsia="仿宋_GB2312" w:cs="仿宋_GB2312"/>
          <w:sz w:val="32"/>
          <w:szCs w:val="32"/>
          <w:highlight w:val="none"/>
          <w:lang w:val="en-US" w:eastAsia="zh-CN"/>
        </w:rPr>
        <w:t>数字人民币运营管理中心有限公司</w:t>
      </w:r>
    </w:p>
    <w:p w14:paraId="4823C99E">
      <w:pPr>
        <w:jc w:val="center"/>
        <w:rPr>
          <w:rFonts w:hint="eastAsia" w:ascii="仿宋_GB2312" w:hAnsi="仿宋_GB2312" w:eastAsia="仿宋_GB2312" w:cs="仿宋_GB2312"/>
          <w:sz w:val="32"/>
          <w:szCs w:val="32"/>
          <w:highlight w:val="none"/>
        </w:rPr>
      </w:pPr>
    </w:p>
    <w:p w14:paraId="68324863">
      <w:pPr>
        <w:jc w:val="center"/>
        <w:rPr>
          <w:rFonts w:hint="eastAsia" w:ascii="仿宋_GB2312" w:hAnsi="仿宋_GB2312" w:eastAsia="仿宋_GB2312" w:cs="仿宋_GB2312"/>
          <w:b/>
          <w:bCs/>
          <w:sz w:val="32"/>
          <w:szCs w:val="32"/>
          <w:highlight w:val="none"/>
        </w:rPr>
        <w:sectPr>
          <w:headerReference r:id="rId5" w:type="first"/>
          <w:footerReference r:id="rId8" w:type="first"/>
          <w:headerReference r:id="rId3" w:type="default"/>
          <w:footerReference r:id="rId6" w:type="default"/>
          <w:headerReference r:id="rId4" w:type="even"/>
          <w:footerReference r:id="rId7" w:type="even"/>
          <w:pgSz w:w="11920" w:h="16840"/>
          <w:pgMar w:top="1440" w:right="1780" w:bottom="1440" w:left="1780" w:header="0" w:footer="964" w:gutter="0"/>
          <w:cols w:space="720" w:num="1"/>
        </w:sectPr>
      </w:pPr>
      <w:r>
        <w:rPr>
          <w:rFonts w:hint="eastAsia" w:ascii="仿宋_GB2312" w:hAnsi="仿宋_GB2312" w:eastAsia="仿宋_GB2312" w:cs="仿宋_GB2312"/>
          <w:sz w:val="32"/>
          <w:szCs w:val="32"/>
          <w:highlight w:val="none"/>
        </w:rPr>
        <w:t>202</w:t>
      </w:r>
      <w:r>
        <w:rPr>
          <w:rFonts w:hint="eastAsia" w:ascii="仿宋_GB2312" w:hAnsi="仿宋_GB2312" w:eastAsia="仿宋_GB2312" w:cs="仿宋_GB2312"/>
          <w:sz w:val="32"/>
          <w:szCs w:val="32"/>
          <w:highlight w:val="none"/>
          <w:lang w:val="en-US" w:eastAsia="zh-CN"/>
        </w:rPr>
        <w:t>5</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8</w:t>
      </w:r>
      <w:r>
        <w:rPr>
          <w:rFonts w:hint="eastAsia" w:ascii="仿宋_GB2312" w:hAnsi="仿宋_GB2312" w:eastAsia="仿宋_GB2312" w:cs="仿宋_GB2312"/>
          <w:sz w:val="32"/>
          <w:szCs w:val="32"/>
          <w:highlight w:val="none"/>
        </w:rPr>
        <w:t>月</w:t>
      </w:r>
    </w:p>
    <w:p w14:paraId="356AD833">
      <w:pPr>
        <w:rPr>
          <w:rFonts w:hint="eastAsia" w:ascii="仿宋_GB2312" w:hAnsi="仿宋_GB2312" w:eastAsia="仿宋_GB2312" w:cs="仿宋_GB2312"/>
          <w:highlight w:val="none"/>
        </w:rPr>
      </w:pPr>
    </w:p>
    <w:p w14:paraId="6089C26F">
      <w:pPr>
        <w:spacing w:line="360" w:lineRule="auto"/>
        <w:jc w:val="center"/>
        <w:outlineLvl w:val="0"/>
        <w:rPr>
          <w:rFonts w:hint="eastAsia" w:ascii="仿宋_GB2312" w:hAnsi="仿宋_GB2312" w:eastAsia="仿宋_GB2312" w:cs="仿宋_GB2312"/>
          <w:b/>
          <w:bCs/>
          <w:sz w:val="44"/>
          <w:szCs w:val="44"/>
          <w:highlight w:val="none"/>
        </w:rPr>
      </w:pPr>
      <w:bookmarkStart w:id="1" w:name="_Toc104912493"/>
      <w:r>
        <w:rPr>
          <w:rFonts w:hint="eastAsia" w:ascii="仿宋_GB2312" w:hAnsi="仿宋_GB2312" w:eastAsia="仿宋_GB2312" w:cs="仿宋_GB2312"/>
          <w:b/>
          <w:bCs/>
          <w:sz w:val="44"/>
          <w:szCs w:val="44"/>
          <w:highlight w:val="none"/>
        </w:rPr>
        <w:t>第一章 采购邀请</w:t>
      </w:r>
      <w:bookmarkEnd w:id="1"/>
    </w:p>
    <w:p w14:paraId="7B9EF90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sz w:val="24"/>
          <w:szCs w:val="24"/>
          <w:highlight w:val="none"/>
        </w:rPr>
        <w:t>（采购人），就如下项目进行采购，邀请合格的供应商提交密封的响应文件。</w:t>
      </w:r>
    </w:p>
    <w:p>
      <w:pPr>
        <w:shd w:val="clear" w:color="auto" w:fill="D9D9D9"/>
      </w:pPr>
      <w:r>
        <w:rPr>
          <w:rFonts w:ascii="仿宋_GB2312" w:hAnsi="仿宋_GB2312"/>
          <w:color w:val="000000"/>
          <w:sz w:val="24"/>
        </w:rPr>
        <w:t>应答：满足。系统支持数字人民币的运营管理，包括资金流动监控、交易记录管理和用户行为分析等功能。通过可视化界面，用户可轻松管理和监控数字人民币的各项运营指标，确保运营过程的透明性和合规性。</w:t>
      </w:r>
    </w:p>
    <w:p w14:paraId="0C48357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1、项目名称：</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lang w:val="en-US" w:eastAsia="zh-CN"/>
        </w:rPr>
        <w:t>2025年二次放号查询服务采购项目</w:t>
      </w:r>
    </w:p>
    <w:p>
      <w:pPr>
        <w:shd w:val="clear" w:color="auto" w:fill="D9D9D9"/>
      </w:pPr>
      <w:r>
        <w:rPr>
          <w:rFonts w:ascii="仿宋_GB2312" w:hAnsi="仿宋_GB2312"/>
          <w:color w:val="000000"/>
          <w:sz w:val="24"/>
        </w:rPr>
        <w:t>应答：满足。系统支持数字人民币运营管理中心的放号查询服务，具备高效的数据处理能力和实时查询功能，确保用户能够快速获取放号信息。系统采用先进的数据库管理技术，支持多种数据源接入，确保数据的准确性和及时性。</w:t>
      </w:r>
    </w:p>
    <w:p w14:paraId="75CDEDB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_GB2312" w:hAnsi="仿宋_GB2312" w:eastAsia="仿宋_GB2312" w:cs="仿宋_GB2312"/>
          <w:sz w:val="24"/>
          <w:szCs w:val="24"/>
          <w:highlight w:val="none"/>
          <w:lang w:val="en-US"/>
        </w:rPr>
      </w:pPr>
      <w:r>
        <w:rPr>
          <w:rFonts w:hint="eastAsia" w:ascii="仿宋_GB2312" w:hAnsi="仿宋_GB2312" w:eastAsia="仿宋_GB2312" w:cs="仿宋_GB2312"/>
          <w:sz w:val="24"/>
          <w:szCs w:val="24"/>
          <w:highlight w:val="none"/>
        </w:rPr>
        <w:t>2、采购人名称：</w:t>
      </w:r>
      <w:r>
        <w:rPr>
          <w:rFonts w:hint="eastAsia" w:ascii="仿宋_GB2312" w:hAnsi="仿宋_GB2312" w:eastAsia="仿宋_GB2312" w:cs="仿宋_GB2312"/>
          <w:sz w:val="24"/>
          <w:szCs w:val="24"/>
          <w:highlight w:val="none"/>
          <w:lang w:val="en-US" w:eastAsia="zh-CN"/>
        </w:rPr>
        <w:t>数字人民币运营管理中心有限公司</w:t>
      </w:r>
    </w:p>
    <w:p>
      <w:pPr>
        <w:shd w:val="clear" w:color="auto" w:fill="D9D9D9"/>
      </w:pPr>
      <w:r>
        <w:rPr>
          <w:rFonts w:ascii="仿宋_GB2312" w:hAnsi="仿宋_GB2312"/>
          <w:color w:val="000000"/>
          <w:sz w:val="24"/>
        </w:rPr>
        <w:t>应答：满足。系统支持数字人民币运营管理中心有限公司的需求，具备灵活的数据源配置能力，能够实现对不同类型数据源的可视化管理，包括传统数据库、文件系统、消息队列、SaaS API和NoSQL等。系统提供直观的界面，便于用户进行数据源的新增、修改和删除操作，确保数据管理的高效性与便捷性。</w:t>
      </w:r>
    </w:p>
    <w:p w14:paraId="187BB5A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3、采购人地址：</w:t>
      </w:r>
      <w:r>
        <w:rPr>
          <w:rFonts w:hint="default" w:ascii="仿宋_GB2312" w:hAnsi="仿宋_GB2312" w:eastAsia="仿宋_GB2312" w:cs="仿宋_GB2312"/>
          <w:spacing w:val="0"/>
          <w:sz w:val="24"/>
          <w:szCs w:val="24"/>
          <w:highlight w:val="none"/>
        </w:rPr>
        <w:t>北京市丰台区东管头1号院3号楼2021-88</w:t>
      </w:r>
    </w:p>
    <w:p>
      <w:pPr>
        <w:shd w:val="clear" w:color="auto" w:fill="D9D9D9"/>
      </w:pPr>
      <w:r>
        <w:rPr>
          <w:rFonts w:ascii="仿宋_GB2312" w:hAnsi="仿宋_GB2312"/>
          <w:color w:val="000000"/>
          <w:sz w:val="24"/>
        </w:rPr>
        <w:t>应答：满足。系统支持对采购人地址的可视化管理，能够实现地址信息的录入、修改和查询功能，确保用户能够方便地管理和访问相关地址数据。同时，系统具备地址信息的验证机制，确保输入的地址符合规范，提升数据的准确性和可靠性。</w:t>
      </w:r>
    </w:p>
    <w:p w14:paraId="2B37928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4、采购人联系人及联系方式：</w:t>
      </w:r>
      <w:r>
        <w:rPr>
          <w:rFonts w:hint="eastAsia" w:ascii="仿宋_GB2312" w:hAnsi="仿宋_GB2312" w:eastAsia="仿宋_GB2312" w:cs="仿宋_GB2312"/>
          <w:sz w:val="24"/>
          <w:szCs w:val="24"/>
          <w:highlight w:val="none"/>
          <w:lang w:val="en-US" w:eastAsia="zh-CN"/>
        </w:rPr>
        <w:t>鲍一鸿</w:t>
      </w:r>
      <w:r>
        <w:rPr>
          <w:rFonts w:hint="eastAsia" w:ascii="仿宋_GB2312" w:hAnsi="仿宋_GB2312" w:eastAsia="仿宋_GB2312" w:cs="仿宋_GB2312"/>
          <w:sz w:val="24"/>
          <w:szCs w:val="24"/>
          <w:highlight w:val="none"/>
        </w:rPr>
        <w:t xml:space="preserve"> 15651830106 </w:t>
      </w:r>
      <w:r>
        <w:rPr>
          <w:rFonts w:hint="default" w:ascii="仿宋_GB2312" w:hAnsi="仿宋_GB2312" w:eastAsia="仿宋_GB2312" w:cs="仿宋_GB2312"/>
          <w:sz w:val="24"/>
          <w:szCs w:val="24"/>
          <w:highlight w:val="none"/>
          <w:lang w:val="en-US" w:eastAsia="zh-CN"/>
        </w:rPr>
        <w:t>田野</w:t>
      </w:r>
      <w:r>
        <w:rPr>
          <w:rFonts w:hint="eastAsia" w:ascii="仿宋_GB2312" w:hAnsi="仿宋_GB2312" w:eastAsia="仿宋_GB2312" w:cs="仿宋_GB2312"/>
          <w:sz w:val="24"/>
          <w:szCs w:val="24"/>
          <w:highlight w:val="none"/>
        </w:rPr>
        <w:t>18612147932</w:t>
      </w:r>
      <w:r>
        <w:rPr>
          <w:rFonts w:hint="eastAsia" w:ascii="仿宋_GB2312" w:hAnsi="仿宋_GB2312" w:eastAsia="仿宋_GB2312" w:cs="仿宋_GB2312"/>
          <w:sz w:val="24"/>
          <w:szCs w:val="24"/>
          <w:highlight w:val="none"/>
          <w:lang w:val="en-US" w:eastAsia="zh-CN"/>
        </w:rPr>
        <w:t xml:space="preserve"> </w:t>
      </w:r>
    </w:p>
    <w:p>
      <w:pPr>
        <w:shd w:val="clear" w:color="auto" w:fill="D9D9D9"/>
      </w:pPr>
      <w:r>
        <w:rPr>
          <w:rFonts w:ascii="仿宋_GB2312" w:hAnsi="仿宋_GB2312"/>
          <w:color w:val="000000"/>
          <w:sz w:val="24"/>
        </w:rPr>
        <w:t>应答：满足。系统支持采购人联系人信息的管理，能够对联系人姓名、电话等信息进行配置化管理，确保信息的准确性和及时更新。同时，系统具备搜索和筛选功能，方便快速查找特定联系人，提升沟通效率。</w:t>
      </w:r>
    </w:p>
    <w:p w14:paraId="24E592D9">
      <w:pPr>
        <w:keepNext w:val="0"/>
        <w:keepLines w:val="0"/>
        <w:pageBreakBefore w:val="0"/>
        <w:widowControl w:val="0"/>
        <w:kinsoku/>
        <w:wordWrap/>
        <w:overflowPunct/>
        <w:topLinePunct w:val="0"/>
        <w:autoSpaceDE/>
        <w:autoSpaceDN/>
        <w:bidi w:val="0"/>
        <w:adjustRightInd/>
        <w:snapToGrid/>
        <w:spacing w:line="360" w:lineRule="auto"/>
        <w:ind w:firstLine="3600" w:firstLineChars="15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翟小飞 15801589603</w:t>
      </w:r>
    </w:p>
    <w:p w14:paraId="5DC4A4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5、本次采购内容：</w:t>
      </w:r>
    </w:p>
    <w:tbl>
      <w:tblPr>
        <w:tblStyle w:val="11"/>
        <w:tblpPr w:leftFromText="180" w:rightFromText="180" w:vertAnchor="text" w:horzAnchor="margin" w:tblpXSpec="center" w:tblpY="24"/>
        <w:tblW w:w="70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1576"/>
        <w:gridCol w:w="2183"/>
        <w:gridCol w:w="2599"/>
      </w:tblGrid>
      <w:tr w14:paraId="1CF34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3" w:type="dxa"/>
          </w:tcPr>
          <w:p w14:paraId="5923D540">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序号</w:t>
            </w:r>
          </w:p>
        </w:tc>
        <w:tc>
          <w:tcPr>
            <w:tcW w:w="1576" w:type="dxa"/>
          </w:tcPr>
          <w:p w14:paraId="36B945A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采购内容</w:t>
            </w:r>
          </w:p>
        </w:tc>
        <w:tc>
          <w:tcPr>
            <w:tcW w:w="2183" w:type="dxa"/>
          </w:tcPr>
          <w:p w14:paraId="2C4821C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概要描述</w:t>
            </w:r>
          </w:p>
        </w:tc>
        <w:tc>
          <w:tcPr>
            <w:tcW w:w="2599" w:type="dxa"/>
            <w:vAlign w:val="top"/>
          </w:tcPr>
          <w:p w14:paraId="139A7B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备注</w:t>
            </w:r>
          </w:p>
        </w:tc>
      </w:tr>
      <w:tr w14:paraId="66F63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43" w:type="dxa"/>
            <w:vAlign w:val="center"/>
          </w:tcPr>
          <w:p w14:paraId="7E91C7E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w:t>
            </w:r>
          </w:p>
        </w:tc>
        <w:tc>
          <w:tcPr>
            <w:tcW w:w="1576" w:type="dxa"/>
            <w:vAlign w:val="center"/>
          </w:tcPr>
          <w:p w14:paraId="137C4EBC">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183" w:type="dxa"/>
            <w:vAlign w:val="center"/>
          </w:tcPr>
          <w:p w14:paraId="1D6EBBFD">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110万次二次放号查询，服务周期12个月。</w:t>
            </w:r>
          </w:p>
        </w:tc>
        <w:tc>
          <w:tcPr>
            <w:tcW w:w="2599" w:type="dxa"/>
            <w:vAlign w:val="center"/>
          </w:tcPr>
          <w:p w14:paraId="6EC2136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具体要求见 第三章</w:t>
            </w:r>
          </w:p>
        </w:tc>
      </w:tr>
    </w:tbl>
    <w:p w14:paraId="110041A3">
      <w:pPr>
        <w:rPr>
          <w:rFonts w:hint="eastAsia" w:ascii="仿宋_GB2312" w:hAnsi="仿宋_GB2312" w:eastAsia="仿宋_GB2312" w:cs="仿宋_GB2312"/>
          <w:highlight w:val="none"/>
        </w:rPr>
      </w:pPr>
    </w:p>
    <w:p w14:paraId="1AE4ED5D">
      <w:pPr>
        <w:outlineLvl w:val="9"/>
        <w:rPr>
          <w:rFonts w:hint="eastAsia" w:ascii="仿宋_GB2312" w:hAnsi="仿宋_GB2312" w:eastAsia="仿宋_GB2312" w:cs="仿宋_GB2312"/>
          <w:highlight w:val="none"/>
        </w:rPr>
      </w:pPr>
    </w:p>
    <w:p w14:paraId="3E7D012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bookmarkStart w:id="2" w:name="_Toc104912494"/>
      <w:r>
        <w:rPr>
          <w:rFonts w:hint="eastAsia" w:ascii="仿宋_GB2312" w:hAnsi="仿宋_GB2312" w:eastAsia="仿宋_GB2312" w:cs="仿宋_GB2312"/>
          <w:sz w:val="24"/>
          <w:szCs w:val="24"/>
          <w:highlight w:val="none"/>
          <w:lang w:val="en-US" w:eastAsia="zh-CN"/>
        </w:rPr>
        <w:t>6、</w:t>
      </w:r>
      <w:r>
        <w:rPr>
          <w:rFonts w:hint="eastAsia" w:ascii="仿宋_GB2312" w:hAnsi="仿宋_GB2312" w:eastAsia="仿宋_GB2312" w:cs="仿宋_GB2312"/>
          <w:sz w:val="24"/>
          <w:szCs w:val="24"/>
          <w:highlight w:val="none"/>
        </w:rPr>
        <w:t>成交供应商数量：2名；</w:t>
      </w:r>
    </w:p>
    <w:p>
      <w:pPr>
        <w:shd w:val="clear" w:color="auto" w:fill="D9D9D9"/>
      </w:pPr>
      <w:r>
        <w:rPr>
          <w:rFonts w:ascii="仿宋_GB2312" w:hAnsi="仿宋_GB2312"/>
          <w:color w:val="000000"/>
          <w:sz w:val="24"/>
        </w:rPr>
        <w:t>应答：满足。系统支持同时管理多个供应商，能够灵活配置和监控成交供应商数量，确保在不同业务场景下有效管理至少2名供应商的相关信息与交易记录，保证业务的连续性和稳定性。</w:t>
      </w:r>
    </w:p>
    <w:p w14:paraId="5DEFA90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7、</w:t>
      </w:r>
      <w:r>
        <w:rPr>
          <w:rFonts w:hint="eastAsia" w:ascii="仿宋_GB2312" w:hAnsi="仿宋_GB2312" w:eastAsia="仿宋_GB2312" w:cs="仿宋_GB2312"/>
          <w:sz w:val="24"/>
          <w:szCs w:val="24"/>
          <w:highlight w:val="none"/>
        </w:rPr>
        <w:t>采购预算：</w:t>
      </w:r>
      <w:r>
        <w:rPr>
          <w:rFonts w:hint="eastAsia" w:ascii="仿宋_GB2312" w:hAnsi="仿宋_GB2312" w:eastAsia="仿宋_GB2312" w:cs="仿宋_GB2312"/>
          <w:sz w:val="24"/>
          <w:szCs w:val="24"/>
          <w:highlight w:val="none"/>
          <w:lang w:val="en-US" w:eastAsia="zh-CN"/>
        </w:rPr>
        <w:t>27.5</w:t>
      </w:r>
      <w:r>
        <w:rPr>
          <w:rFonts w:hint="eastAsia" w:ascii="仿宋_GB2312" w:hAnsi="仿宋_GB2312" w:eastAsia="仿宋_GB2312" w:cs="仿宋_GB2312"/>
          <w:sz w:val="24"/>
          <w:szCs w:val="24"/>
          <w:highlight w:val="none"/>
        </w:rPr>
        <w:t>万元，各供应商最高响应限价：</w:t>
      </w:r>
      <w:r>
        <w:rPr>
          <w:rFonts w:hint="eastAsia" w:ascii="仿宋_GB2312" w:hAnsi="仿宋_GB2312" w:eastAsia="仿宋_GB2312" w:cs="仿宋_GB2312"/>
          <w:sz w:val="24"/>
          <w:szCs w:val="24"/>
          <w:highlight w:val="none"/>
          <w:lang w:val="en-US" w:eastAsia="zh-CN"/>
        </w:rPr>
        <w:t>13.75</w:t>
      </w:r>
      <w:r>
        <w:rPr>
          <w:rFonts w:hint="eastAsia" w:ascii="仿宋_GB2312" w:hAnsi="仿宋_GB2312" w:eastAsia="仿宋_GB2312" w:cs="仿宋_GB2312"/>
          <w:sz w:val="24"/>
          <w:szCs w:val="24"/>
          <w:highlight w:val="none"/>
        </w:rPr>
        <w:t>万元；</w:t>
      </w:r>
    </w:p>
    <w:p>
      <w:pPr>
        <w:shd w:val="clear" w:color="auto" w:fill="D9D9D9"/>
      </w:pPr>
      <w:r>
        <w:rPr>
          <w:rFonts w:ascii="仿宋_GB2312" w:hAnsi="仿宋_GB2312"/>
          <w:color w:val="000000"/>
          <w:sz w:val="24"/>
        </w:rPr>
        <w:t>应答：满足。我方将严格遵循采购预算，确保报价不超过13.75万元。同时，提供高性价比的解决方案，以满足项目需求，确保在预算范围内实现优质服务和产品交付。</w:t>
      </w:r>
    </w:p>
    <w:p w14:paraId="2272B568">
      <w:pPr>
        <w:rPr>
          <w:rFonts w:hint="eastAsia" w:ascii="仿宋_GB2312" w:hAnsi="仿宋_GB2312" w:eastAsia="仿宋_GB2312" w:cs="仿宋_GB2312"/>
          <w:b/>
          <w:bCs/>
          <w:sz w:val="44"/>
          <w:szCs w:val="44"/>
          <w:highlight w:val="none"/>
        </w:rPr>
      </w:pPr>
    </w:p>
    <w:p w14:paraId="48E661E0">
      <w:pPr>
        <w:rPr>
          <w:rFonts w:hint="eastAsia" w:ascii="仿宋_GB2312" w:hAnsi="仿宋_GB2312" w:eastAsia="仿宋_GB2312" w:cs="仿宋_GB2312"/>
          <w:b/>
          <w:bCs/>
          <w:sz w:val="44"/>
          <w:szCs w:val="44"/>
          <w:highlight w:val="none"/>
        </w:rPr>
      </w:pPr>
    </w:p>
    <w:p w14:paraId="3305EFAC">
      <w:pPr>
        <w:rPr>
          <w:rFonts w:hint="eastAsia" w:ascii="仿宋_GB2312" w:hAnsi="仿宋_GB2312" w:eastAsia="仿宋_GB2312" w:cs="仿宋_GB2312"/>
          <w:b/>
          <w:bCs/>
          <w:sz w:val="44"/>
          <w:szCs w:val="44"/>
          <w:highlight w:val="none"/>
        </w:rPr>
      </w:pPr>
    </w:p>
    <w:p w14:paraId="5AFC5568">
      <w:pPr>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64EF7B8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第二章 响应资料表</w:t>
      </w:r>
      <w:bookmarkEnd w:id="2"/>
    </w:p>
    <w:tbl>
      <w:tblPr>
        <w:tblStyle w:val="11"/>
        <w:tblW w:w="79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5841"/>
      </w:tblGrid>
      <w:tr w14:paraId="18E15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704" w:type="dxa"/>
            <w:vAlign w:val="center"/>
          </w:tcPr>
          <w:p w14:paraId="3AE0C877">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418" w:type="dxa"/>
            <w:vAlign w:val="center"/>
          </w:tcPr>
          <w:p w14:paraId="66B0A211">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内容</w:t>
            </w:r>
          </w:p>
        </w:tc>
        <w:tc>
          <w:tcPr>
            <w:tcW w:w="5841" w:type="dxa"/>
            <w:vAlign w:val="center"/>
          </w:tcPr>
          <w:p w14:paraId="73EB063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说明与要求</w:t>
            </w:r>
          </w:p>
        </w:tc>
      </w:tr>
      <w:tr w14:paraId="60609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7" w:hRule="atLeast"/>
          <w:jc w:val="center"/>
        </w:trPr>
        <w:tc>
          <w:tcPr>
            <w:tcW w:w="704" w:type="dxa"/>
            <w:vAlign w:val="center"/>
          </w:tcPr>
          <w:p w14:paraId="75700B5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418" w:type="dxa"/>
            <w:vAlign w:val="center"/>
          </w:tcPr>
          <w:p w14:paraId="0737B04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项目概述</w:t>
            </w:r>
          </w:p>
        </w:tc>
        <w:tc>
          <w:tcPr>
            <w:tcW w:w="5841" w:type="dxa"/>
            <w:vAlign w:val="center"/>
          </w:tcPr>
          <w:p w14:paraId="38DB1E18">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采购人名称：</w:t>
            </w:r>
            <w:r>
              <w:rPr>
                <w:rFonts w:hint="eastAsia" w:ascii="仿宋_GB2312" w:hAnsi="仿宋_GB2312" w:eastAsia="仿宋_GB2312" w:cs="仿宋_GB2312"/>
                <w:sz w:val="24"/>
                <w:szCs w:val="24"/>
                <w:highlight w:val="none"/>
                <w:lang w:val="en-US" w:eastAsia="zh-CN"/>
              </w:rPr>
              <w:t>数字人民币运营管理中心有限公司</w:t>
            </w:r>
          </w:p>
          <w:p w14:paraId="667EC3E4">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项目名称：</w:t>
            </w: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highlight w:val="none"/>
                <w:lang w:val="en-US" w:eastAsia="zh-CN"/>
              </w:rPr>
              <w:t>2025年二次放号查询服务采购项目</w:t>
            </w:r>
          </w:p>
          <w:p w14:paraId="508D054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r>
              <w:rPr>
                <w:rFonts w:hint="eastAsia" w:ascii="仿宋_GB2312" w:hAnsi="仿宋_GB2312" w:eastAsia="仿宋_GB2312" w:cs="仿宋_GB2312"/>
                <w:highlight w:val="none"/>
                <w:lang w:val="en-US" w:eastAsia="zh-CN"/>
              </w:rPr>
              <w:t>2个二次放号查询服务供应商，每个供应商55万次二次放号查询，服务周期12个月。</w:t>
            </w:r>
          </w:p>
        </w:tc>
      </w:tr>
      <w:tr w14:paraId="34B5F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jc w:val="center"/>
        </w:trPr>
        <w:tc>
          <w:tcPr>
            <w:tcW w:w="704" w:type="dxa"/>
            <w:vAlign w:val="center"/>
          </w:tcPr>
          <w:p w14:paraId="22C9F5C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2</w:t>
            </w:r>
          </w:p>
        </w:tc>
        <w:tc>
          <w:tcPr>
            <w:tcW w:w="1418" w:type="dxa"/>
            <w:vAlign w:val="center"/>
          </w:tcPr>
          <w:p w14:paraId="13DABC6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应答文件要求</w:t>
            </w:r>
          </w:p>
        </w:tc>
        <w:tc>
          <w:tcPr>
            <w:tcW w:w="5841" w:type="dxa"/>
            <w:vAlign w:val="center"/>
          </w:tcPr>
          <w:p w14:paraId="77FE101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（1）★加盖公章的报价单；</w:t>
            </w:r>
          </w:p>
          <w:p w14:paraId="5A3F5BEF">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（2）★加盖公章的法人身份证明书</w:t>
            </w:r>
            <w:r>
              <w:rPr>
                <w:rFonts w:hint="eastAsia" w:ascii="仿宋_GB2312" w:hAnsi="仿宋_GB2312" w:eastAsia="仿宋_GB2312" w:cs="仿宋_GB2312"/>
                <w:highlight w:val="none"/>
                <w:lang w:eastAsia="zh-CN"/>
              </w:rPr>
              <w:t>；</w:t>
            </w:r>
          </w:p>
          <w:p w14:paraId="57B6723B">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（3）★加盖公章的法定代表人授权书</w:t>
            </w:r>
            <w:r>
              <w:rPr>
                <w:rFonts w:hint="eastAsia" w:ascii="仿宋_GB2312" w:hAnsi="仿宋_GB2312" w:eastAsia="仿宋_GB2312" w:cs="仿宋_GB2312"/>
                <w:highlight w:val="none"/>
                <w:lang w:eastAsia="zh-CN"/>
              </w:rPr>
              <w:t>；</w:t>
            </w:r>
          </w:p>
          <w:p w14:paraId="44EC997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（4）★加盖公章的被授权人身份证</w:t>
            </w:r>
            <w:r>
              <w:rPr>
                <w:rFonts w:hint="eastAsia" w:ascii="仿宋_GB2312" w:hAnsi="仿宋_GB2312" w:eastAsia="仿宋_GB2312" w:cs="仿宋_GB2312"/>
                <w:highlight w:val="none"/>
                <w:lang w:eastAsia="zh-CN"/>
              </w:rPr>
              <w:t>；</w:t>
            </w:r>
          </w:p>
          <w:p w14:paraId="06C2290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（5）★加盖公章的承诺函，包括但不限于：</w:t>
            </w:r>
          </w:p>
          <w:p w14:paraId="010A3254">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具有独立承担民事责任的能力</w:t>
            </w:r>
            <w:r>
              <w:rPr>
                <w:rFonts w:hint="eastAsia" w:hAnsi="宋体"/>
                <w:szCs w:val="24"/>
              </w:rPr>
              <w:t>（分支机构投标的，须提供总公司出具给分支机构的授权书，并承诺民事责任由总公司承担）</w:t>
            </w:r>
            <w:r>
              <w:rPr>
                <w:rFonts w:hint="eastAsia" w:ascii="仿宋_GB2312" w:hAnsi="仿宋_GB2312" w:eastAsia="仿宋_GB2312" w:cs="仿宋_GB2312"/>
                <w:highlight w:val="none"/>
              </w:rPr>
              <w:t>；</w:t>
            </w:r>
          </w:p>
          <w:p w14:paraId="659F2CE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具有在中国境内开展相关业务的营业资格；</w:t>
            </w:r>
          </w:p>
          <w:p w14:paraId="3F9927EF">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遵守国家政策、法律、法规具有良好的商业信誉和诚实的商业道德，无不良记录；</w:t>
            </w:r>
          </w:p>
          <w:p w14:paraId="76AFAF77">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提交的资料（包括复印件）真实有效；</w:t>
            </w:r>
          </w:p>
          <w:p w14:paraId="48DB915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承诺不向任何第三方提供相关信息，并遵守双方约定的相关保密要求</w:t>
            </w:r>
            <w:r>
              <w:rPr>
                <w:rFonts w:hint="eastAsia" w:ascii="仿宋_GB2312" w:hAnsi="仿宋_GB2312" w:eastAsia="仿宋_GB2312" w:cs="仿宋_GB2312"/>
                <w:highlight w:val="none"/>
                <w:lang w:eastAsia="zh-CN"/>
              </w:rPr>
              <w:t>；</w:t>
            </w:r>
          </w:p>
          <w:p w14:paraId="312ED7ED">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响应人参加此采购活动三年内（20</w:t>
            </w:r>
            <w:r>
              <w:rPr>
                <w:rFonts w:hint="eastAsia" w:ascii="仿宋_GB2312" w:hAnsi="仿宋_GB2312" w:eastAsia="仿宋_GB2312" w:cs="仿宋_GB2312"/>
                <w:sz w:val="24"/>
                <w:szCs w:val="22"/>
                <w:highlight w:val="none"/>
                <w:lang w:val="en-US" w:eastAsia="zh-CN"/>
              </w:rPr>
              <w:t>22</w:t>
            </w:r>
            <w:r>
              <w:rPr>
                <w:rFonts w:hint="eastAsia" w:ascii="仿宋_GB2312" w:hAnsi="仿宋_GB2312" w:eastAsia="仿宋_GB2312" w:cs="仿宋_GB2312"/>
                <w:sz w:val="24"/>
                <w:szCs w:val="22"/>
                <w:highlight w:val="none"/>
              </w:rPr>
              <w:t>年1月至今），在经营活动中没有重大违法记录的书面声明（格式自拟，加盖公章）；</w:t>
            </w:r>
          </w:p>
          <w:p w14:paraId="606AFDF3">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响应人未被列入失信被执行人的证明材料；</w:t>
            </w:r>
          </w:p>
          <w:p w14:paraId="7FDF5C3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（6）★营业执照复印件加盖公章、法人身份证复印件及授权委托书（授权代表为非法定代表人时提供，同时须提供法人身份证正反面复印件、被授权人身份证正反面复印件，均需加盖响应人公章）</w:t>
            </w:r>
            <w:r>
              <w:rPr>
                <w:rFonts w:hint="eastAsia" w:ascii="仿宋_GB2312" w:hAnsi="仿宋_GB2312" w:eastAsia="仿宋_GB2312" w:cs="仿宋_GB2312"/>
                <w:highlight w:val="none"/>
                <w:lang w:eastAsia="zh-CN"/>
              </w:rPr>
              <w:t>；</w:t>
            </w:r>
          </w:p>
          <w:p w14:paraId="5EEBF737">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7</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有效的《中华人民共和国基础电信业务经营许可证》；</w:t>
            </w:r>
          </w:p>
          <w:p w14:paraId="06BD32EF">
            <w:pPr>
              <w:rPr>
                <w:rFonts w:hint="eastAsia" w:ascii="仿宋_GB2312" w:hAnsi="仿宋_GB2312" w:eastAsia="仿宋_GB2312" w:cs="仿宋_GB2312"/>
                <w:highlight w:val="none"/>
                <w:lang w:eastAsia="zh-CN"/>
              </w:rPr>
            </w:pP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8</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1个</w:t>
            </w:r>
            <w:r>
              <w:rPr>
                <w:rFonts w:hint="eastAsia" w:ascii="仿宋_GB2312" w:hAnsi="仿宋_GB2312" w:eastAsia="仿宋_GB2312" w:cs="仿宋_GB2312"/>
                <w:sz w:val="24"/>
                <w:szCs w:val="24"/>
                <w:highlight w:val="none"/>
                <w:lang w:eastAsia="zh-CN"/>
              </w:rPr>
              <w:t>本采购项目</w:t>
            </w:r>
            <w:r>
              <w:rPr>
                <w:rFonts w:hint="eastAsia" w:ascii="仿宋_GB2312" w:hAnsi="仿宋_GB2312" w:eastAsia="仿宋_GB2312" w:cs="仿宋_GB2312"/>
                <w:sz w:val="24"/>
                <w:szCs w:val="24"/>
                <w:highlight w:val="none"/>
                <w:lang w:val="en-US" w:eastAsia="zh-CN"/>
              </w:rPr>
              <w:t>同类型的</w:t>
            </w:r>
            <w:r>
              <w:rPr>
                <w:rFonts w:hint="eastAsia" w:ascii="仿宋_GB2312" w:hAnsi="仿宋_GB2312" w:eastAsia="仿宋_GB2312" w:cs="仿宋_GB2312"/>
                <w:sz w:val="24"/>
                <w:szCs w:val="24"/>
                <w:highlight w:val="none"/>
              </w:rPr>
              <w:t>成功</w:t>
            </w:r>
            <w:r>
              <w:rPr>
                <w:rFonts w:hint="eastAsia" w:ascii="仿宋_GB2312" w:hAnsi="仿宋_GB2312" w:eastAsia="仿宋_GB2312" w:cs="仿宋_GB2312"/>
                <w:highlight w:val="none"/>
              </w:rPr>
              <w:t>案例及说明等</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lang w:val="en-US" w:eastAsia="zh-CN"/>
              </w:rPr>
              <w:t>可使用</w:t>
            </w:r>
            <w:r>
              <w:rPr>
                <w:rFonts w:hint="eastAsia" w:ascii="仿宋_GB2312" w:hAnsi="仿宋_GB2312" w:eastAsia="仿宋_GB2312" w:cs="仿宋_GB2312"/>
                <w:sz w:val="24"/>
                <w:szCs w:val="24"/>
                <w:highlight w:val="none"/>
                <w:lang w:val="en-US" w:eastAsia="zh-CN"/>
              </w:rPr>
              <w:t>供应商全资子公司或分公司的案例</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rPr>
              <w:t>，需要提供合同复印件（至少需要首页、关键页、签字盖章页等，案例材料需加盖响应人公章）</w:t>
            </w:r>
            <w:r>
              <w:rPr>
                <w:rFonts w:hint="eastAsia" w:ascii="仿宋_GB2312" w:hAnsi="仿宋_GB2312" w:eastAsia="仿宋_GB2312" w:cs="仿宋_GB2312"/>
                <w:highlight w:val="none"/>
                <w:lang w:eastAsia="zh-CN"/>
              </w:rPr>
              <w:t>；</w:t>
            </w:r>
          </w:p>
          <w:p w14:paraId="10DF6C9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）★技术、服务需求偏离表</w:t>
            </w:r>
            <w:r>
              <w:rPr>
                <w:rFonts w:hint="eastAsia" w:ascii="仿宋_GB2312" w:hAnsi="仿宋_GB2312" w:eastAsia="仿宋_GB2312" w:cs="仿宋_GB2312"/>
                <w:highlight w:val="none"/>
                <w:lang w:eastAsia="zh-CN"/>
              </w:rPr>
              <w:t>；</w:t>
            </w:r>
          </w:p>
          <w:p w14:paraId="53EF850A">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（1</w:t>
            </w:r>
            <w:r>
              <w:rPr>
                <w:rFonts w:hint="eastAsia" w:ascii="仿宋_GB2312" w:hAnsi="仿宋_GB2312" w:eastAsia="仿宋_GB2312" w:cs="仿宋_GB2312"/>
                <w:highlight w:val="none"/>
                <w:lang w:val="en-US" w:eastAsia="zh-CN"/>
              </w:rPr>
              <w:t>0</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采购需求提及或响应人认为需要提供的其他证明材料。</w:t>
            </w:r>
          </w:p>
          <w:p w14:paraId="58599CCF">
            <w:pPr>
              <w:pStyle w:val="2"/>
              <w:spacing w:line="240" w:lineRule="auto"/>
              <w:rPr>
                <w:rFonts w:hint="eastAsia"/>
              </w:rPr>
            </w:pPr>
            <w:r>
              <w:rPr>
                <w:rFonts w:hint="eastAsia" w:ascii="仿宋_GB2312" w:hAnsi="仿宋_GB2312" w:eastAsia="仿宋_GB2312" w:cs="仿宋_GB2312"/>
                <w:b w:val="0"/>
                <w:bCs w:val="0"/>
                <w:sz w:val="24"/>
                <w:szCs w:val="22"/>
                <w:highlight w:val="none"/>
                <w:lang w:val="en-US" w:eastAsia="zh-CN"/>
              </w:rPr>
              <w:t>注：【投标人为无法定代表人的其他团体组织等时，法定代表人则系指其负责人。法定代表人（或负责人）签字、盖手签章或盖姓名章均为有效法定代表人签署。】</w:t>
            </w:r>
          </w:p>
        </w:tc>
      </w:tr>
      <w:tr w14:paraId="7E221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jc w:val="center"/>
        </w:trPr>
        <w:tc>
          <w:tcPr>
            <w:tcW w:w="704" w:type="dxa"/>
            <w:vAlign w:val="center"/>
          </w:tcPr>
          <w:p w14:paraId="7E5F57E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3</w:t>
            </w:r>
          </w:p>
        </w:tc>
        <w:tc>
          <w:tcPr>
            <w:tcW w:w="1418" w:type="dxa"/>
            <w:vAlign w:val="center"/>
          </w:tcPr>
          <w:p w14:paraId="07DC91A9">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响应文件份数及要求</w:t>
            </w:r>
          </w:p>
        </w:tc>
        <w:tc>
          <w:tcPr>
            <w:tcW w:w="5841" w:type="dxa"/>
            <w:vAlign w:val="center"/>
          </w:tcPr>
          <w:p w14:paraId="440D557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正本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份,副本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p>
          <w:p w14:paraId="38C01EEA">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电子文档</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bookmarkStart w:id="42" w:name="_GoBack"/>
          </w:p>
          <w:bookmarkEnd w:id="42"/>
          <w:p w14:paraId="20030D83">
            <w:pPr>
              <w:rPr>
                <w:rFonts w:hint="eastAsia" w:ascii="仿宋_GB2312" w:hAnsi="仿宋_GB2312" w:eastAsia="仿宋_GB2312" w:cs="仿宋_GB2312"/>
                <w:highlight w:val="none"/>
              </w:rPr>
            </w:pPr>
            <w:r>
              <w:rPr>
                <w:rFonts w:hint="eastAsia" w:ascii="仿宋_GB2312" w:hAnsi="仿宋_GB2312" w:eastAsia="仿宋_GB2312" w:cs="仿宋_GB2312"/>
                <w:sz w:val="24"/>
                <w:szCs w:val="24"/>
                <w:highlight w:val="none"/>
              </w:rPr>
              <w:t>响应人需将响应文件逐页标号并提供目录，供采购评审和采购人存档使用。</w:t>
            </w:r>
          </w:p>
        </w:tc>
      </w:tr>
      <w:tr w14:paraId="74D26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704" w:type="dxa"/>
            <w:vAlign w:val="center"/>
          </w:tcPr>
          <w:p w14:paraId="29BB192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4</w:t>
            </w:r>
          </w:p>
        </w:tc>
        <w:tc>
          <w:tcPr>
            <w:tcW w:w="1418" w:type="dxa"/>
            <w:vAlign w:val="center"/>
          </w:tcPr>
          <w:p w14:paraId="437B9C4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w:t>
            </w:r>
          </w:p>
        </w:tc>
        <w:tc>
          <w:tcPr>
            <w:tcW w:w="5841" w:type="dxa"/>
            <w:vAlign w:val="center"/>
          </w:tcPr>
          <w:p w14:paraId="346A556E">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报价方式：人民币完税价。</w:t>
            </w:r>
          </w:p>
        </w:tc>
      </w:tr>
      <w:tr w14:paraId="23D4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jc w:val="center"/>
        </w:trPr>
        <w:tc>
          <w:tcPr>
            <w:tcW w:w="704" w:type="dxa"/>
            <w:vAlign w:val="center"/>
          </w:tcPr>
          <w:p w14:paraId="4223C91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5</w:t>
            </w:r>
          </w:p>
        </w:tc>
        <w:tc>
          <w:tcPr>
            <w:tcW w:w="1418" w:type="dxa"/>
            <w:vAlign w:val="center"/>
          </w:tcPr>
          <w:p w14:paraId="54F651F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首次响应文件递交截止时间及地点</w:t>
            </w:r>
          </w:p>
        </w:tc>
        <w:tc>
          <w:tcPr>
            <w:tcW w:w="5841" w:type="dxa"/>
            <w:vAlign w:val="center"/>
          </w:tcPr>
          <w:p w14:paraId="4524314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截止时间：202</w:t>
            </w:r>
            <w:r>
              <w:rPr>
                <w:rFonts w:hint="eastAsia" w:ascii="仿宋_GB2312" w:hAnsi="仿宋_GB2312" w:eastAsia="仿宋_GB2312" w:cs="仿宋_GB2312"/>
                <w:highlight w:val="none"/>
                <w:lang w:val="en-US" w:eastAsia="zh-CN"/>
              </w:rPr>
              <w:t>5</w:t>
            </w:r>
            <w:r>
              <w:rPr>
                <w:rFonts w:hint="eastAsia" w:ascii="仿宋_GB2312" w:hAnsi="仿宋_GB2312" w:eastAsia="仿宋_GB2312" w:cs="仿宋_GB2312"/>
                <w:highlight w:val="none"/>
              </w:rPr>
              <w:t>年</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月</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日1</w:t>
            </w:r>
            <w:r>
              <w:rPr>
                <w:rFonts w:hint="eastAsia" w:ascii="仿宋_GB2312" w:hAnsi="仿宋_GB2312" w:eastAsia="仿宋_GB2312" w:cs="仿宋_GB2312"/>
                <w:highlight w:val="none"/>
                <w:lang w:val="en-US" w:eastAsia="zh-CN"/>
              </w:rPr>
              <w:t>8</w:t>
            </w:r>
            <w:r>
              <w:rPr>
                <w:rFonts w:hint="eastAsia" w:ascii="仿宋_GB2312" w:hAnsi="仿宋_GB2312" w:eastAsia="仿宋_GB2312" w:cs="仿宋_GB2312"/>
                <w:highlight w:val="none"/>
              </w:rPr>
              <w:t>点</w:t>
            </w:r>
          </w:p>
          <w:p w14:paraId="387C2DA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地点：北京市丰台区金唐</w:t>
            </w:r>
            <w:r>
              <w:rPr>
                <w:rFonts w:hint="eastAsia" w:ascii="仿宋_GB2312" w:hAnsi="仿宋_GB2312" w:eastAsia="仿宋_GB2312" w:cs="仿宋_GB2312"/>
                <w:highlight w:val="none"/>
                <w:lang w:val="en-US" w:eastAsia="zh-CN"/>
              </w:rPr>
              <w:t>西联大厦A座12层</w:t>
            </w:r>
          </w:p>
        </w:tc>
      </w:tr>
      <w:tr w14:paraId="437C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704" w:type="dxa"/>
            <w:vAlign w:val="center"/>
          </w:tcPr>
          <w:p w14:paraId="640D58B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6</w:t>
            </w:r>
          </w:p>
        </w:tc>
        <w:tc>
          <w:tcPr>
            <w:tcW w:w="1418" w:type="dxa"/>
            <w:vAlign w:val="center"/>
          </w:tcPr>
          <w:p w14:paraId="2837847F">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评审办法</w:t>
            </w:r>
          </w:p>
        </w:tc>
        <w:tc>
          <w:tcPr>
            <w:tcW w:w="5841" w:type="dxa"/>
            <w:vAlign w:val="center"/>
          </w:tcPr>
          <w:p w14:paraId="7D95412B">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b w:val="0"/>
                <w:sz w:val="24"/>
                <w:szCs w:val="22"/>
                <w:highlight w:val="none"/>
                <w:lang w:eastAsia="zh-CN"/>
              </w:rPr>
              <w:t>综合比选</w:t>
            </w:r>
          </w:p>
        </w:tc>
      </w:tr>
      <w:tr w14:paraId="02C29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jc w:val="center"/>
        </w:trPr>
        <w:tc>
          <w:tcPr>
            <w:tcW w:w="704" w:type="dxa"/>
            <w:vAlign w:val="center"/>
          </w:tcPr>
          <w:p w14:paraId="28491091">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7</w:t>
            </w:r>
          </w:p>
        </w:tc>
        <w:tc>
          <w:tcPr>
            <w:tcW w:w="1418" w:type="dxa"/>
            <w:vAlign w:val="center"/>
          </w:tcPr>
          <w:p w14:paraId="770E1C1B">
            <w:pPr>
              <w:rPr>
                <w:rFonts w:hint="eastAsia" w:ascii="仿宋_GB2312" w:hAnsi="仿宋_GB2312" w:eastAsia="仿宋_GB2312" w:cs="仿宋_GB2312"/>
                <w:highlight w:val="none"/>
              </w:rPr>
            </w:pPr>
            <w:r>
              <w:rPr>
                <w:rFonts w:hint="eastAsia" w:ascii="仿宋" w:hAnsi="仿宋" w:eastAsia="仿宋" w:cs="仿宋_GB2312"/>
                <w:kern w:val="0"/>
                <w:sz w:val="24"/>
              </w:rPr>
              <w:t>推荐成交候选供应商的数量</w:t>
            </w:r>
          </w:p>
        </w:tc>
        <w:tc>
          <w:tcPr>
            <w:tcW w:w="5841" w:type="dxa"/>
            <w:vAlign w:val="center"/>
          </w:tcPr>
          <w:p w14:paraId="080CB4DD">
            <w:pPr>
              <w:pStyle w:val="34"/>
              <w:adjustRightInd w:val="0"/>
              <w:snapToGrid w:val="0"/>
              <w:spacing w:line="360" w:lineRule="auto"/>
              <w:jc w:val="left"/>
              <w:outlineLvl w:val="9"/>
              <w:rPr>
                <w:rFonts w:hint="default" w:ascii="仿宋_GB2312" w:hAnsi="仿宋_GB2312" w:eastAsia="仿宋_GB2312" w:cs="仿宋_GB2312"/>
                <w:b w:val="0"/>
                <w:sz w:val="24"/>
                <w:szCs w:val="22"/>
                <w:highlight w:val="none"/>
                <w:lang w:val="en-US" w:eastAsia="zh-CN"/>
              </w:rPr>
            </w:pPr>
            <w:r>
              <w:rPr>
                <w:rFonts w:hint="default" w:ascii="仿宋_GB2312" w:hAnsi="仿宋_GB2312" w:eastAsia="仿宋_GB2312" w:cs="仿宋_GB2312"/>
                <w:b w:val="0"/>
                <w:sz w:val="24"/>
                <w:szCs w:val="22"/>
                <w:highlight w:val="none"/>
                <w:lang w:val="en-US" w:eastAsia="zh-CN"/>
              </w:rPr>
              <w:t>从质量和服务均能满足采购文件实质性响应要求的供应商中，按照最后报价由低到高的顺序推荐成交候选人。推荐成交候选供应商的数量为2家</w:t>
            </w:r>
            <w:r>
              <w:rPr>
                <w:rFonts w:hint="eastAsia" w:ascii="仿宋_GB2312" w:hAnsi="仿宋_GB2312" w:eastAsia="仿宋_GB2312" w:cs="仿宋_GB2312"/>
                <w:b w:val="0"/>
                <w:sz w:val="24"/>
                <w:szCs w:val="22"/>
                <w:highlight w:val="none"/>
                <w:lang w:val="en-US" w:eastAsia="zh-CN"/>
              </w:rPr>
              <w:t>。</w:t>
            </w:r>
          </w:p>
        </w:tc>
      </w:tr>
      <w:tr w14:paraId="6D561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7" w:hRule="atLeast"/>
          <w:jc w:val="center"/>
        </w:trPr>
        <w:tc>
          <w:tcPr>
            <w:tcW w:w="704" w:type="dxa"/>
            <w:vAlign w:val="center"/>
          </w:tcPr>
          <w:p w14:paraId="74FC824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lang w:val="en-US" w:eastAsia="zh-CN"/>
              </w:rPr>
              <w:t>8</w:t>
            </w:r>
          </w:p>
        </w:tc>
        <w:tc>
          <w:tcPr>
            <w:tcW w:w="1418" w:type="dxa"/>
            <w:vAlign w:val="center"/>
          </w:tcPr>
          <w:p w14:paraId="4AE7B42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知识产权</w:t>
            </w:r>
          </w:p>
        </w:tc>
        <w:tc>
          <w:tcPr>
            <w:tcW w:w="5841" w:type="dxa"/>
            <w:vAlign w:val="center"/>
          </w:tcPr>
          <w:p w14:paraId="5CD214D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供应商应保证所提供的任何货物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或其任何部分或该货物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与其他货物一起使用后，不侵犯任何第三方的知识产权、专有技术权、商业秘密权或其他任何权利。如供应商响应内容涉及上述权利，其相关费用应已含在总报价中。如有，需在响应文件中予以说明。</w:t>
            </w:r>
          </w:p>
        </w:tc>
      </w:tr>
      <w:bookmarkEnd w:id="0"/>
    </w:tbl>
    <w:p w14:paraId="44001F00">
      <w:pPr>
        <w:rPr>
          <w:rFonts w:hint="eastAsia" w:ascii="仿宋_GB2312" w:hAnsi="仿宋_GB2312" w:eastAsia="仿宋_GB2312" w:cs="仿宋_GB2312"/>
          <w:bCs/>
          <w:highlight w:val="none"/>
        </w:rPr>
      </w:pPr>
    </w:p>
    <w:p w14:paraId="31B262D9">
      <w:pPr>
        <w:widowControl/>
        <w:jc w:val="left"/>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578B12E0">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第三章 采购需求</w:t>
      </w:r>
    </w:p>
    <w:p w14:paraId="1F4A634E">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项目背景</w:t>
      </w:r>
    </w:p>
    <w:p w14:paraId="7C9ADEC3">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为满足</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rPr>
        <w:t>相关项目需求，需要采购</w:t>
      </w:r>
      <w:r>
        <w:rPr>
          <w:rFonts w:hint="eastAsia" w:ascii="仿宋_GB2312" w:hAnsi="仿宋_GB2312" w:eastAsia="仿宋_GB2312" w:cs="仿宋_GB2312"/>
          <w:sz w:val="24"/>
          <w:szCs w:val="24"/>
          <w:highlight w:val="none"/>
          <w:lang w:val="en-US" w:eastAsia="zh-CN"/>
        </w:rPr>
        <w:t>二次放号查询服务</w:t>
      </w:r>
      <w:r>
        <w:rPr>
          <w:rFonts w:hint="eastAsia" w:ascii="仿宋_GB2312" w:hAnsi="仿宋_GB2312" w:eastAsia="仿宋_GB2312" w:cs="仿宋_GB2312"/>
          <w:sz w:val="24"/>
          <w:szCs w:val="24"/>
          <w:highlight w:val="none"/>
        </w:rPr>
        <w:t>，用于</w:t>
      </w:r>
      <w:r>
        <w:rPr>
          <w:rFonts w:hint="eastAsia" w:ascii="仿宋_GB2312" w:hAnsi="仿宋_GB2312" w:eastAsia="仿宋_GB2312" w:cs="仿宋_GB2312"/>
          <w:sz w:val="24"/>
          <w:szCs w:val="24"/>
          <w:highlight w:val="none"/>
          <w:lang w:val="en-US" w:eastAsia="zh-CN"/>
        </w:rPr>
        <w:t>满足二次放号查询的业务需求</w:t>
      </w:r>
      <w:r>
        <w:rPr>
          <w:rFonts w:hint="eastAsia" w:ascii="仿宋_GB2312" w:hAnsi="仿宋_GB2312" w:eastAsia="仿宋_GB2312" w:cs="仿宋_GB2312"/>
          <w:sz w:val="24"/>
          <w:szCs w:val="24"/>
          <w:highlight w:val="none"/>
        </w:rPr>
        <w:t>。</w:t>
      </w:r>
    </w:p>
    <w:p>
      <w:pPr>
        <w:shd w:val="clear" w:color="auto" w:fill="D9D9D9"/>
      </w:pPr>
      <w:r>
        <w:rPr>
          <w:rFonts w:ascii="仿宋_GB2312" w:hAnsi="仿宋_GB2312"/>
          <w:color w:val="000000"/>
          <w:sz w:val="24"/>
        </w:rPr>
        <w:t>应答：满足。系统支持二次放号查询服务，能够实时处理和查询放号数据，确保高效响应业务需求。具备灵活的查询接口，支持多种查询条件，确保用户能够快速获取所需信息。同时，系统具备数据安全和权限管理功能，保障查询过程中的数据安全性和合规性。</w:t>
      </w:r>
    </w:p>
    <w:p w14:paraId="4E69B9A5">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采购要求</w:t>
      </w:r>
    </w:p>
    <w:p w14:paraId="3BA9036C">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采购说明</w:t>
      </w:r>
    </w:p>
    <w:p w14:paraId="567D0E69">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2.1.1本采购要求中的技术要求，是根据相关项目要求制定的。</w:t>
      </w:r>
    </w:p>
    <w:p>
      <w:pPr>
        <w:shd w:val="clear" w:color="auto" w:fill="D9D9D9"/>
      </w:pPr>
      <w:r>
        <w:rPr>
          <w:rFonts w:ascii="仿宋_GB2312" w:hAnsi="仿宋_GB2312"/>
          <w:color w:val="000000"/>
        </w:rPr>
        <w:t>应答：满足。系统支持根据相关项目要求进行灵活配置，确保满足不同技术需求。我们将根据具体项目特点，提供定制化的解决方案，以实现最佳的功能适配和性能优化。</w:t>
      </w:r>
    </w:p>
    <w:p w14:paraId="3E61DC2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2.1.2本采购需求中所指的用户包括所采购</w:t>
      </w:r>
      <w:r>
        <w:rPr>
          <w:rFonts w:hint="eastAsia" w:ascii="仿宋_GB2312" w:hAnsi="仿宋_GB2312" w:eastAsia="仿宋_GB2312" w:cs="仿宋_GB2312"/>
          <w:szCs w:val="24"/>
          <w:highlight w:val="none"/>
          <w:lang w:val="en-US" w:eastAsia="zh-CN"/>
        </w:rPr>
        <w:t>内容</w:t>
      </w:r>
      <w:r>
        <w:rPr>
          <w:rFonts w:hint="eastAsia" w:ascii="仿宋_GB2312" w:hAnsi="仿宋_GB2312" w:eastAsia="仿宋_GB2312" w:cs="仿宋_GB2312"/>
          <w:szCs w:val="24"/>
          <w:highlight w:val="none"/>
        </w:rPr>
        <w:t>的使用方、集成方、运行方、管理者。</w:t>
      </w:r>
    </w:p>
    <w:p>
      <w:pPr>
        <w:shd w:val="clear" w:color="auto" w:fill="D9D9D9"/>
      </w:pPr>
      <w:r>
        <w:rPr>
          <w:rFonts w:ascii="仿宋_GB2312" w:hAnsi="仿宋_GB2312"/>
          <w:color w:val="000000"/>
        </w:rPr>
        <w:t>应答：满足。系统支持多角色用户管理，包括使用方、集成方、运行方和管理者。各角色可根据权限进行相应操作，确保系统的安全性和灵活性。同时，系统提供角色权限配置功能，便于管理者根据实际需求进行角色分配和权限控制。</w:t>
      </w:r>
    </w:p>
    <w:p w14:paraId="433FBD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2.1.3供应商应诚实守信,保证响应文件真实有效,不得存在提供虚假证明材料、恶意低价等恶意竞标行为，否则将导致响应被拒绝。</w:t>
      </w:r>
    </w:p>
    <w:p>
      <w:pPr>
        <w:shd w:val="clear" w:color="auto" w:fill="D9D9D9"/>
      </w:pPr>
      <w:r>
        <w:rPr>
          <w:rFonts w:ascii="仿宋_GB2312" w:hAnsi="仿宋_GB2312"/>
          <w:color w:val="000000"/>
        </w:rPr>
        <w:t>应答：满足。我方承诺在响应文件中提供真实有效的材料，严格遵循诚实守信的原则，确保所有信息的准确性与合法性。我们将遵循公平竞争的原则，杜绝任何虚假证明及恶意低价行为，以维护良好的市场秩序和行业信誉。</w:t>
      </w:r>
    </w:p>
    <w:p w14:paraId="154B689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2.1.4供应商提供的</w:t>
      </w:r>
      <w:r>
        <w:rPr>
          <w:rFonts w:hint="eastAsia" w:ascii="仿宋_GB2312" w:hAnsi="仿宋_GB2312" w:eastAsia="仿宋_GB2312" w:cs="仿宋_GB2312"/>
          <w:szCs w:val="24"/>
          <w:highlight w:val="none"/>
          <w:lang w:val="en-US" w:eastAsia="zh-CN"/>
        </w:rPr>
        <w:t>技术服务</w:t>
      </w:r>
      <w:r>
        <w:rPr>
          <w:rFonts w:hint="eastAsia" w:ascii="仿宋_GB2312" w:hAnsi="仿宋_GB2312" w:eastAsia="仿宋_GB2312" w:cs="仿宋_GB2312"/>
          <w:szCs w:val="24"/>
          <w:highlight w:val="none"/>
        </w:rPr>
        <w:t>必须符合中华人民共和国相关法律法规销售许可。</w:t>
      </w:r>
    </w:p>
    <w:p>
      <w:pPr>
        <w:shd w:val="clear" w:color="auto" w:fill="D9D9D9"/>
      </w:pPr>
      <w:r>
        <w:rPr>
          <w:rFonts w:ascii="仿宋_GB2312" w:hAnsi="仿宋_GB2312"/>
          <w:color w:val="000000"/>
        </w:rPr>
        <w:t>应答：满足。系统提供的技术服务严格遵循中华人民共和国相关法律法规，确保所有销售许可均符合国家标准。同时，我们将定期进行合规性审查，确保服务持续满足法律要求，保障客户权益和业务安全。</w:t>
      </w:r>
    </w:p>
    <w:p w14:paraId="116BD9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2.1.5供应商所提供的技术服务，如若发生侵犯任何第三方知识产权的行为时，其侵权责任与买方无关，应由供应商承担相应的责任，并不得损害买方的利益。</w:t>
      </w:r>
    </w:p>
    <w:p>
      <w:pPr>
        <w:shd w:val="clear" w:color="auto" w:fill="D9D9D9"/>
      </w:pPr>
      <w:r>
        <w:rPr>
          <w:rFonts w:ascii="仿宋_GB2312" w:hAnsi="仿宋_GB2312"/>
          <w:color w:val="000000"/>
        </w:rPr>
        <w:t>应答：满足。我方承诺在提供技术服务过程中，严格遵循知识产权相关法律法规，确保不侵犯任何第三方的知识产权。如发生侵权行为，我方将承担全部责任，并采取必要措施以保护买方的合法权益，确保买方不受任何损害。</w:t>
      </w:r>
    </w:p>
    <w:p w14:paraId="3879A433">
      <w:pPr>
        <w:keepNext w:val="0"/>
        <w:keepLines w:val="0"/>
        <w:pageBreakBefore w:val="0"/>
        <w:widowControl w:val="0"/>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2.1.6本次采购产品为非进口产品。</w:t>
      </w:r>
    </w:p>
    <w:p>
      <w:pPr>
        <w:shd w:val="clear" w:color="auto" w:fill="D9D9D9"/>
      </w:pPr>
      <w:r>
        <w:rPr>
          <w:rFonts w:ascii="仿宋_GB2312" w:hAnsi="仿宋_GB2312"/>
          <w:color w:val="000000"/>
        </w:rPr>
        <w:t>应答：满足。我方提供的产品均为国内研发和生产的非进口产品，符合国家相关政策要求，确保在质量、性能及售后服务等方面达到行业标准。我们承诺提供完整的技术支持和服务，确保客户的使用体验。</w:t>
      </w:r>
    </w:p>
    <w:p w14:paraId="4DE4030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szCs w:val="24"/>
          <w:highlight w:val="none"/>
        </w:rPr>
        <w:t>本采购需求是根据信息化建设要求制定的。</w:t>
      </w:r>
    </w:p>
    <w:p>
      <w:pPr>
        <w:shd w:val="clear" w:color="auto" w:fill="D9D9D9"/>
      </w:pPr>
      <w:r>
        <w:rPr>
          <w:rFonts w:ascii="仿宋_GB2312" w:hAnsi="仿宋_GB2312"/>
          <w:color w:val="000000"/>
        </w:rPr>
        <w:t>应答：满足。系统支持根据信息化建设要求进行灵活配置，确保各项功能模块与业务需求相匹配。通过标准化接口和数据模型，系统能够高效集成各类信息化应用，提升整体运营效率和数据处理能力。</w:t>
      </w:r>
    </w:p>
    <w:p w14:paraId="5E7EBF8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 w:val="24"/>
          <w:szCs w:val="24"/>
          <w:highlight w:val="none"/>
        </w:rPr>
        <w:t>本采购需求中所指的用户包括项目的使用方、集成方、运行方、管理者。</w:t>
      </w:r>
    </w:p>
    <w:p>
      <w:pPr>
        <w:shd w:val="clear" w:color="auto" w:fill="D9D9D9"/>
      </w:pPr>
      <w:r>
        <w:rPr>
          <w:rFonts w:ascii="仿宋_GB2312" w:hAnsi="仿宋_GB2312"/>
          <w:color w:val="000000"/>
        </w:rPr>
        <w:t>应答：满足。系统支持多角色用户管理，涵盖项目的使用方、集成方、运行方及管理者。各类用户可根据角色权限进行相应操作，确保数据安全与访问控制，提升系统的灵活性与可管理性。</w:t>
      </w:r>
    </w:p>
    <w:p w14:paraId="57A15984">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 w:val="24"/>
          <w:szCs w:val="24"/>
          <w:highlight w:val="none"/>
        </w:rPr>
        <w:t>本采购项目不接受联合</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，未经采购人书面同意不得将项目转包、分包。</w:t>
      </w:r>
    </w:p>
    <w:p>
      <w:pPr>
        <w:shd w:val="clear" w:color="auto" w:fill="D9D9D9"/>
      </w:pPr>
      <w:r>
        <w:rPr>
          <w:rFonts w:ascii="仿宋_GB2312" w:hAnsi="仿宋_GB2312"/>
          <w:color w:val="000000"/>
        </w:rPr>
        <w:t>应答：满足。系统严格遵循采购文件要求，确保所有项目响应均为独立完成，不接受联合响应。同时，项目的实施过程中，未经采购人书面同意，不会进行转包或分包，确保项目的完整性和服务质量。</w:t>
      </w:r>
    </w:p>
    <w:p w14:paraId="27AAACF6">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应诚实守信,保证响应文件真实有效,不得存在提供虚假证明材料、恶意低价等恶意竞标行为，否则将导致</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被拒绝。</w:t>
      </w:r>
    </w:p>
    <w:p>
      <w:pPr>
        <w:shd w:val="clear" w:color="auto" w:fill="D9D9D9"/>
      </w:pPr>
      <w:r>
        <w:rPr>
          <w:rFonts w:ascii="仿宋_GB2312" w:hAnsi="仿宋_GB2312"/>
          <w:color w:val="000000"/>
        </w:rPr>
        <w:t>应答：满足。我方承诺在响应文件中提供真实有效的信息，严格遵循诚实守信的原则，确保所有证明材料的真实性，杜绝任何虚假信息及恶意低价行为。我们将建立内部审核机制，确保投标过程的透明性与合规性，以维护公平竞争的市场环境。</w:t>
      </w:r>
    </w:p>
    <w:p w14:paraId="71F4DF6C">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提供的技术服务必须符合中华人民共和国相关法律法规。</w:t>
      </w:r>
    </w:p>
    <w:p>
      <w:pPr>
        <w:shd w:val="clear" w:color="auto" w:fill="D9D9D9"/>
      </w:pPr>
      <w:r>
        <w:rPr>
          <w:rFonts w:ascii="仿宋_GB2312" w:hAnsi="仿宋_GB2312"/>
          <w:color w:val="000000"/>
        </w:rPr>
        <w:t>应答：满足。系统提供的技术服务严格遵循中华人民共和国相关法律法规，确保所有服务流程、数据处理及信息安全符合国家标准和行业规范。同时，我方将定期进行合规性审查，确保服务持续符合法律要求。</w:t>
      </w:r>
    </w:p>
    <w:p w14:paraId="5158E2D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5</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所提供的服务，如若发生侵犯任何第三方知识产权（包括但不限于著作权、商标、专利、商业秘密等）的行为时，其侵权责任与买方无关，应由</w:t>
      </w:r>
      <w:r>
        <w:rPr>
          <w:rFonts w:hint="eastAsia" w:ascii="仿宋_GB2312" w:hAnsi="仿宋_GB2312" w:eastAsia="仿宋_GB2312" w:cs="仿宋_GB2312"/>
          <w:sz w:val="24"/>
          <w:szCs w:val="24"/>
          <w:highlight w:val="none"/>
          <w:lang w:val="en-US" w:eastAsia="zh-CN"/>
        </w:rPr>
        <w:t>供应商</w:t>
      </w:r>
      <w:r>
        <w:rPr>
          <w:rFonts w:hint="eastAsia" w:ascii="仿宋_GB2312" w:hAnsi="仿宋_GB2312" w:eastAsia="仿宋_GB2312" w:cs="仿宋_GB2312"/>
          <w:sz w:val="24"/>
          <w:szCs w:val="24"/>
          <w:highlight w:val="none"/>
        </w:rPr>
        <w:t>承担相应的责任，并不得损害买方的利益。</w:t>
      </w:r>
    </w:p>
    <w:p>
      <w:pPr>
        <w:shd w:val="clear" w:color="auto" w:fill="D9D9D9"/>
      </w:pPr>
      <w:r>
        <w:rPr>
          <w:rFonts w:ascii="仿宋_GB2312" w:hAnsi="仿宋_GB2312"/>
          <w:color w:val="000000"/>
        </w:rPr>
        <w:t>应答：满足。系统提供全面的知识产权保护机制，确保所有服务和产品均符合相关法律法规，避免侵犯任何第三方的知识产权。供应商承诺承担因侵权行为引起的所有责任，并确保不对买方的利益造成任何损害。我们将定期进行知识产权合规审查，确保持续符合行业标准。</w:t>
      </w:r>
    </w:p>
    <w:p w14:paraId="5F8A9162">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6</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如被采购评审委员会裁定存在恶意竞标行为，采购人有权取消供应商参与此次采购活动资格。</w:t>
      </w:r>
    </w:p>
    <w:p>
      <w:pPr>
        <w:shd w:val="clear" w:color="auto" w:fill="D9D9D9"/>
      </w:pPr>
      <w:r>
        <w:rPr>
          <w:rFonts w:ascii="仿宋_GB2312" w:hAnsi="仿宋_GB2312"/>
          <w:color w:val="000000"/>
        </w:rPr>
        <w:t>应答：满足。系统具备完善的合规性管理模块，能够实时监控供应商的竞标行为，确保透明度和公正性。如发现恶意竞标行为，系统将自动生成警报并记录相关证据，支持采购人依法取消供应商参与资格的决策，保障采购活动的公平性与合法性。</w:t>
      </w:r>
    </w:p>
    <w:p w14:paraId="7395A74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7</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lang w:val="zh-TW"/>
        </w:rPr>
        <w:t>须能开具</w:t>
      </w:r>
      <w:r>
        <w:rPr>
          <w:rFonts w:hint="eastAsia" w:ascii="仿宋_GB2312" w:hAnsi="仿宋_GB2312" w:eastAsia="仿宋_GB2312" w:cs="仿宋_GB2312"/>
          <w:sz w:val="24"/>
          <w:szCs w:val="24"/>
          <w:highlight w:val="none"/>
        </w:rPr>
        <w:t>增值税专用发票</w:t>
      </w:r>
      <w:r>
        <w:rPr>
          <w:rFonts w:hint="eastAsia" w:ascii="仿宋_GB2312" w:hAnsi="仿宋_GB2312" w:eastAsia="仿宋_GB2312" w:cs="仿宋_GB2312"/>
          <w:sz w:val="24"/>
          <w:szCs w:val="24"/>
          <w:highlight w:val="none"/>
          <w:lang w:val="zh-TW"/>
        </w:rPr>
        <w:t>。</w:t>
      </w:r>
    </w:p>
    <w:p>
      <w:pPr>
        <w:shd w:val="clear" w:color="auto" w:fill="D9D9D9"/>
      </w:pPr>
      <w:r>
        <w:rPr>
          <w:rFonts w:ascii="仿宋_GB2312" w:hAnsi="仿宋_GB2312"/>
          <w:color w:val="000000"/>
        </w:rPr>
        <w:t>应答：满足。我方具备开具增值税专用发票的资质，系统能够自动生成符合国家税务要求的增值税专用发票，确保发票信息的准确性和合规性。同时，提供便捷的发票管理功能，支持发票查询、打印及电子发票发送，满足客户的财务需求。</w:t>
      </w:r>
    </w:p>
    <w:p w14:paraId="47AED3D0">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供应商资格要求</w:t>
      </w:r>
    </w:p>
    <w:p w14:paraId="4946B412">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供应商应满足以下条件：</w:t>
      </w:r>
    </w:p>
    <w:p>
      <w:pPr>
        <w:shd w:val="clear" w:color="auto" w:fill="D9D9D9"/>
      </w:pPr>
      <w:r>
        <w:rPr>
          <w:rFonts w:ascii="仿宋_GB2312" w:hAnsi="仿宋_GB2312"/>
          <w:color w:val="000000"/>
        </w:rPr>
        <w:t>应答：满足。系统支持供应商管理功能，能够对供应商信息进行全面的配置与管理，包括新增、修改、删除和查询等操作。同时，系统具备供应商资质审核、合同管理及绩效评估等模块，确保供应商的合规性与服务质量。</w:t>
      </w:r>
    </w:p>
    <w:p w14:paraId="4F08A12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highlight w:val="none"/>
        </w:rPr>
        <w:t>供应商必须具有</w:t>
      </w:r>
      <w:r>
        <w:rPr>
          <w:rFonts w:hint="eastAsia" w:ascii="仿宋_GB2312" w:hAnsi="仿宋_GB2312" w:eastAsia="仿宋_GB2312" w:cs="仿宋_GB2312"/>
          <w:sz w:val="24"/>
          <w:highlight w:val="none"/>
          <w:lang w:val="en-US" w:eastAsia="zh-CN"/>
        </w:rPr>
        <w:t>或被授权使用</w:t>
      </w:r>
      <w:r>
        <w:rPr>
          <w:rFonts w:hint="eastAsia" w:ascii="仿宋_GB2312" w:hAnsi="仿宋_GB2312" w:eastAsia="仿宋_GB2312" w:cs="仿宋_GB2312"/>
          <w:sz w:val="24"/>
          <w:highlight w:val="none"/>
        </w:rPr>
        <w:t>有效的《中华人民共和国基础电信业务经营许可证》。</w:t>
      </w:r>
    </w:p>
    <w:p>
      <w:pPr>
        <w:shd w:val="clear" w:color="auto" w:fill="D9D9D9"/>
      </w:pPr>
      <w:r>
        <w:rPr>
          <w:rFonts w:ascii="仿宋_GB2312" w:hAnsi="仿宋_GB2312"/>
          <w:color w:val="000000"/>
        </w:rPr>
        <w:t>应答：满足。我方具备有效的《中华人民共和国基础电信业务经营许可证》，确保在基础电信业务领域的合法合规运营，能够为项目提供稳定可靠的服务支持。</w:t>
      </w:r>
    </w:p>
    <w:p w14:paraId="7B8A5D90">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供应商至少提供</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Cs w:val="24"/>
          <w:highlight w:val="none"/>
        </w:rPr>
        <w:t>个所投产品20</w:t>
      </w:r>
      <w:r>
        <w:rPr>
          <w:rFonts w:hint="eastAsia" w:ascii="仿宋_GB2312" w:hAnsi="仿宋_GB2312" w:eastAsia="仿宋_GB2312" w:cs="仿宋_GB2312"/>
          <w:szCs w:val="24"/>
          <w:highlight w:val="none"/>
          <w:lang w:val="en-US" w:eastAsia="zh-CN"/>
        </w:rPr>
        <w:t>22</w:t>
      </w:r>
      <w:r>
        <w:rPr>
          <w:rFonts w:hint="eastAsia" w:ascii="仿宋_GB2312" w:hAnsi="仿宋_GB2312" w:eastAsia="仿宋_GB2312" w:cs="仿宋_GB2312"/>
          <w:szCs w:val="24"/>
          <w:highlight w:val="none"/>
        </w:rPr>
        <w:t>年以来同类项目成功案例（可使用供应商全资子公司或分公司的案例），案例需提供合同复印件</w:t>
      </w:r>
      <w:r>
        <w:rPr>
          <w:rFonts w:hint="eastAsia" w:ascii="仿宋_GB2312" w:hAnsi="仿宋_GB2312" w:eastAsia="仿宋_GB2312" w:cs="仿宋_GB2312"/>
          <w:sz w:val="24"/>
          <w:szCs w:val="24"/>
          <w:highlight w:val="none"/>
        </w:rPr>
        <w:t>（至少需要首页、关键页、签字盖章页等盖章）</w:t>
      </w:r>
      <w:r>
        <w:rPr>
          <w:rFonts w:hint="eastAsia" w:ascii="仿宋_GB2312" w:hAnsi="仿宋_GB2312" w:eastAsia="仿宋_GB2312" w:cs="仿宋_GB2312"/>
          <w:sz w:val="24"/>
          <w:szCs w:val="24"/>
          <w:highlight w:val="none"/>
          <w:lang w:eastAsia="zh-CN"/>
        </w:rPr>
        <w:t>。</w:t>
      </w:r>
    </w:p>
    <w:p w14:paraId="4C4DB908">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供应商及原厂必须具有完善的服务制度和专业的服务保障团队，应具有良好的售后服务和24小时响应支持的能力。</w:t>
      </w:r>
    </w:p>
    <w:p>
      <w:pPr>
        <w:shd w:val="clear" w:color="auto" w:fill="D9D9D9"/>
      </w:pPr>
      <w:r>
        <w:rPr>
          <w:rFonts w:ascii="仿宋_GB2312" w:hAnsi="仿宋_GB2312"/>
          <w:color w:val="000000"/>
        </w:rPr>
        <w:t>应答：满足。系统配备专业的售后服务团队，确保提供完善的服务制度。我们承诺提供24小时响应支持，针对客户需求快速响应并解决问题，确保服务质量达到行业标准。同时，定期进行服务质量评估，以持续优化服务流程，提升客户满意度。</w:t>
      </w:r>
    </w:p>
    <w:p w14:paraId="79F749B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供应商应提供商誉声明文件，声明在最近三年内未因自身的任何违约、违法及违反商业道德的行为而导致合同解除或败诉。</w:t>
      </w:r>
    </w:p>
    <w:p>
      <w:pPr>
        <w:shd w:val="clear" w:color="auto" w:fill="D9D9D9"/>
      </w:pPr>
      <w:r>
        <w:rPr>
          <w:rFonts w:ascii="仿宋_GB2312" w:hAnsi="仿宋_GB2312"/>
          <w:color w:val="000000"/>
        </w:rPr>
        <w:t>应答：满足。我方将提供商誉声明文件，确保在最近三年内未因自身的任何违约、违法及违反商业道德的行为而导致合同解除或败诉。我们的合规管理体系严格遵循相关法律法规，并定期进行内部审计，以维护良好的商业信誉和道德标准。</w:t>
      </w:r>
    </w:p>
    <w:p w14:paraId="1F5BDFCD">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技术指标要求说明</w:t>
      </w:r>
    </w:p>
    <w:p w14:paraId="6D49DB8D">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.1</w:t>
      </w:r>
      <w:r>
        <w:rPr>
          <w:rFonts w:hint="eastAsia" w:ascii="仿宋_GB2312" w:hAnsi="仿宋_GB2312" w:eastAsia="仿宋_GB2312" w:cs="仿宋_GB2312"/>
          <w:sz w:val="24"/>
          <w:szCs w:val="24"/>
          <w:highlight w:val="none"/>
          <w:lang w:bidi="ar"/>
        </w:rPr>
        <w:t>本技术指标要求描述的是最低限度的技术要求，并未对一切技术细节做出规定，也未充分引述有关标准和规范的条文，所有技术文件中的技术指标除非在技术指标要求中另作规定外，均应使用相应的国际先进标准、中国国家标准、各行业的相应标准、国际标准化组织标准。本需求中各技术规格及要求所使用的标准和规范如与供应商所执行的标准发生矛盾时，按较高标准执行。</w:t>
      </w:r>
    </w:p>
    <w:p>
      <w:pPr>
        <w:shd w:val="clear" w:color="auto" w:fill="D9D9D9"/>
      </w:pPr>
      <w:r>
        <w:rPr>
          <w:rFonts w:ascii="仿宋_GB2312" w:hAnsi="仿宋_GB2312"/>
          <w:color w:val="000000"/>
        </w:rPr>
        <w:t>应答：满足。系统遵循国际先进标准及中国国家标准，确保所有技术指标符合行业相应标准和国际标准化组织标准。对于本技术指标要求，系统在设计和实施过程中将优先采用较高标准，以保证技术性能和服务质量的最佳化，确保满足采购方的各项需求。</w:t>
      </w:r>
    </w:p>
    <w:p w14:paraId="55530789">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所提供的服务应符合本采购需求文件中的技术要求。如果供应商不能响应本采购需求文件技术要求（详见3采购需求列表中的要求），供应商应在技术偏离表中说明偏离情况；如果供应商不提供技术偏离表说明偏离情况，则认为供应商承诺提供的服务完全符合本采购需求文件的要求。如果技术要求中明确表示必须，而供应商提供的服务达不到该要求，采购人有权中止采购。</w:t>
      </w:r>
    </w:p>
    <w:p>
      <w:pPr>
        <w:shd w:val="clear" w:color="auto" w:fill="D9D9D9"/>
      </w:pPr>
      <w:r>
        <w:rPr>
          <w:rFonts w:ascii="仿宋_GB2312" w:hAnsi="仿宋_GB2312"/>
          <w:color w:val="000000"/>
        </w:rPr>
        <w:t>应答：满足。我方承诺提供的服务完全符合本采购需求文件中的技术要求，所有技术指标均达到或超过规定标准。如有任何偏离情况，我方将及时在技术偏离表中说明。我们将严格按照采购文件的要求执行，确保服务的合规性和可靠性，避免任何可能导致采购中止的情况。</w:t>
      </w:r>
    </w:p>
    <w:p w14:paraId="080976AF">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供应商所提供的服务，如若发生侵犯专利权的行为时，其侵权责任与买方无关，应由供应商承担相应的责任，并不得损害买方的利益。</w:t>
      </w:r>
    </w:p>
    <w:p>
      <w:pPr>
        <w:shd w:val="clear" w:color="auto" w:fill="D9D9D9"/>
      </w:pPr>
      <w:r>
        <w:rPr>
          <w:rFonts w:ascii="仿宋_GB2312" w:hAnsi="仿宋_GB2312"/>
          <w:color w:val="000000"/>
        </w:rPr>
        <w:t>应答：满足。我方承诺在提供服务过程中，严格遵循知识产权相关法律法规，确保不侵犯任何第三方的专利权。如发生侵权行为，供应商将承担全部责任，并采取必要措施以保护买方的合法权益，确保买方不受任何损害。</w:t>
      </w:r>
    </w:p>
    <w:p w14:paraId="5680361C">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产品/服务列表</w:t>
      </w:r>
    </w:p>
    <w:p w14:paraId="50D561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pPr>
        <w:shd w:val="clear" w:color="auto" w:fill="D9D9D9"/>
      </w:pPr>
      <w:r>
        <w:rPr>
          <w:rFonts w:ascii="仿宋_GB2312" w:hAnsi="仿宋_GB2312"/>
          <w:color w:val="000000"/>
          <w:sz w:val="24"/>
        </w:rPr>
        <w:t>应答：满足。系统支持对指标重要性进行分类管理，能够清晰标识“★”、“#”和无标示指标。关键指标的缺失将自动触发应答拒绝机制，确保应答的严谨性和准确性。同时，系统提供直观的界面，便于用户快速识别和管理不同重要性的指标，提升整体管理效率。</w:t>
      </w:r>
    </w:p>
    <w:p w14:paraId="47535766">
      <w:pPr>
        <w:spacing w:line="480" w:lineRule="exact"/>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3.1 采购清单</w:t>
      </w:r>
    </w:p>
    <w:tbl>
      <w:tblPr>
        <w:tblStyle w:val="11"/>
        <w:tblpPr w:leftFromText="180" w:rightFromText="180" w:vertAnchor="text" w:horzAnchor="margin" w:tblpXSpec="center" w:tblpY="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3"/>
        <w:gridCol w:w="2574"/>
        <w:gridCol w:w="2768"/>
      </w:tblGrid>
      <w:tr w14:paraId="4F768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tcPr>
          <w:p w14:paraId="71E44291">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序号</w:t>
            </w:r>
          </w:p>
        </w:tc>
        <w:tc>
          <w:tcPr>
            <w:tcW w:w="1973" w:type="dxa"/>
          </w:tcPr>
          <w:p w14:paraId="62E7174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p>
        </w:tc>
        <w:tc>
          <w:tcPr>
            <w:tcW w:w="2574" w:type="dxa"/>
          </w:tcPr>
          <w:p w14:paraId="492CD9C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概要描述</w:t>
            </w:r>
          </w:p>
        </w:tc>
        <w:tc>
          <w:tcPr>
            <w:tcW w:w="2768" w:type="dxa"/>
          </w:tcPr>
          <w:p w14:paraId="79871BE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备注</w:t>
            </w:r>
          </w:p>
        </w:tc>
      </w:tr>
      <w:tr w14:paraId="101D6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Align w:val="center"/>
          </w:tcPr>
          <w:p w14:paraId="59951DB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973" w:type="dxa"/>
            <w:vAlign w:val="center"/>
          </w:tcPr>
          <w:p w14:paraId="251A6F60">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574" w:type="dxa"/>
            <w:vAlign w:val="center"/>
          </w:tcPr>
          <w:p w14:paraId="4C8D62FE">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55万次二次放号查询，服务周期12个月</w:t>
            </w:r>
          </w:p>
        </w:tc>
        <w:tc>
          <w:tcPr>
            <w:tcW w:w="2768" w:type="dxa"/>
            <w:vAlign w:val="center"/>
          </w:tcPr>
          <w:p w14:paraId="42D71A95">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rPr>
              <w:t>具体要求见 第三章</w:t>
            </w:r>
          </w:p>
        </w:tc>
      </w:tr>
    </w:tbl>
    <w:p w14:paraId="26181845">
      <w:pPr>
        <w:spacing w:line="480" w:lineRule="exact"/>
        <w:rPr>
          <w:rFonts w:hint="eastAsia" w:ascii="仿宋_GB2312" w:hAnsi="仿宋_GB2312" w:eastAsia="仿宋_GB2312" w:cs="仿宋_GB2312"/>
          <w:b/>
          <w:bCs/>
          <w:szCs w:val="24"/>
          <w:highlight w:val="none"/>
          <w:lang w:eastAsia="zh-CN"/>
        </w:rPr>
      </w:pPr>
      <w:r>
        <w:rPr>
          <w:rFonts w:hint="eastAsia" w:ascii="仿宋_GB2312" w:hAnsi="仿宋_GB2312" w:eastAsia="仿宋_GB2312" w:cs="仿宋_GB2312"/>
          <w:b/>
          <w:bCs/>
          <w:szCs w:val="24"/>
          <w:highlight w:val="none"/>
        </w:rPr>
        <w:t>3.</w:t>
      </w:r>
      <w:r>
        <w:rPr>
          <w:rFonts w:hint="eastAsia" w:ascii="仿宋_GB2312" w:hAnsi="仿宋_GB2312" w:eastAsia="仿宋_GB2312" w:cs="仿宋_GB2312"/>
          <w:b/>
          <w:bCs/>
          <w:szCs w:val="24"/>
          <w:highlight w:val="none"/>
          <w:lang w:val="en-US" w:eastAsia="zh-CN"/>
        </w:rPr>
        <w:t>2</w:t>
      </w:r>
      <w:r>
        <w:rPr>
          <w:rFonts w:hint="eastAsia" w:ascii="仿宋_GB2312" w:hAnsi="仿宋_GB2312" w:eastAsia="仿宋_GB2312" w:cs="仿宋_GB2312"/>
          <w:b/>
          <w:bCs/>
          <w:szCs w:val="24"/>
          <w:highlight w:val="none"/>
        </w:rPr>
        <w:t xml:space="preserve"> </w:t>
      </w:r>
      <w:r>
        <w:rPr>
          <w:rFonts w:hint="eastAsia" w:ascii="仿宋_GB2312" w:hAnsi="仿宋_GB2312" w:eastAsia="仿宋_GB2312" w:cs="仿宋_GB2312"/>
          <w:b/>
          <w:bCs/>
          <w:szCs w:val="24"/>
          <w:highlight w:val="none"/>
          <w:lang w:eastAsia="zh-CN"/>
        </w:rPr>
        <w:t>技术商务要求</w:t>
      </w:r>
    </w:p>
    <w:p>
      <w:pPr>
        <w:shd w:val="clear" w:color="auto" w:fill="D9D9D9"/>
      </w:pPr>
      <w:r>
        <w:rPr>
          <w:rFonts w:ascii="仿宋_GB2312" w:hAnsi="仿宋_GB2312"/>
          <w:b/>
          <w:color w:val="000000"/>
        </w:rPr>
        <w:t>应答：满足。系统支持可视化创建多种类型的数据源，包括传统数据库、文件系统、消息队列、SaaS API及NoSQL等。用户可以通过界面化管理进行数据源的新增、修改和删除操作，同时具备强大的搜索功能，确保数据源的高效配置与管理。</w:t>
      </w:r>
    </w:p>
    <w:p w14:paraId="01AC74B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（1）技术要求</w:t>
      </w:r>
    </w:p>
    <w:tbl>
      <w:tblPr>
        <w:tblStyle w:val="11"/>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0"/>
        <w:gridCol w:w="642"/>
        <w:gridCol w:w="1340"/>
        <w:gridCol w:w="3583"/>
        <w:gridCol w:w="2363"/>
      </w:tblGrid>
      <w:tr w14:paraId="0C210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69B67C">
            <w:pPr>
              <w:keepNext w:val="0"/>
              <w:keepLines w:val="0"/>
              <w:widowControl/>
              <w:suppressLineNumbers w:val="0"/>
              <w:jc w:val="center"/>
              <w:textAlignment w:val="center"/>
              <w:rPr>
                <w:rFonts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序号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37D5B2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重要性</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1675A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指标项</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6A1EFF">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A8286">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kern w:val="0"/>
                <w:sz w:val="24"/>
                <w:szCs w:val="24"/>
              </w:rPr>
              <w:t>是否提供证明材料及方式</w:t>
            </w:r>
          </w:p>
        </w:tc>
      </w:tr>
      <w:tr w14:paraId="5F48E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23B0C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4E2CDF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DF6F5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AD00C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查询手机号是否为二次放号；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B3E6B68">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0C86E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D97016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F4C49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54157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5CA96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支持中国移动、中国电信、中国联通手机号查询；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DDF31A">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F2CA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0AA87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C482E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E6083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2E88A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支持根据携转前的最近一次开户时间作为判定二次号的依据；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54F5BF6">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2D81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5486A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460D9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B1B73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8BA228">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支持200qps并发；</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C38A1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50A15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179555">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091221">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716D1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D24B00">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全年整体可用率大于99%；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E0B3F6">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63CFD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CA04C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88840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C43C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ACA8E7">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接口平均处理时延小于400ms；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0D57F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4EC5B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2778F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BDDD5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026A3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B9294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支持专线和互联网两种方式对接；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B3CB3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3EE15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1317B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57C8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6E4E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0B82D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专线接入需要支持路由动态冗余切换；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EC3261">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749F3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446E5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71D99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D9D9B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E31B6C">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采用双活节点的高可靠设计；</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9B7B93C">
            <w:pPr>
              <w:jc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bCs/>
                <w:sz w:val="24"/>
                <w:szCs w:val="24"/>
                <w:lang w:val="en-US" w:eastAsia="zh-CN"/>
              </w:rPr>
              <w:t>是，提供高可靠部署方案，并加盖供应商公章</w:t>
            </w:r>
          </w:p>
        </w:tc>
      </w:tr>
      <w:tr w14:paraId="3164C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54A0D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86884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029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E48AB">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整体查得率大于98%；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741CB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6139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6294A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7801A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B9D1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76ED8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二次放号数据库每日更新同步数据，前台信息72小时内同步到后台数据库；</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7F68B4">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101A9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F8711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96EF85">
            <w:pPr>
              <w:jc w:val="center"/>
              <w:rPr>
                <w:rFonts w:hint="default" w:ascii="仿宋_GB2312" w:hAnsi="宋体" w:eastAsia="仿宋_GB2312" w:cs="仿宋_GB2312"/>
                <w:i w:val="0"/>
                <w:iCs w:val="0"/>
                <w:color w:val="000000"/>
                <w:sz w:val="24"/>
                <w:szCs w:val="24"/>
                <w:u w:val="none"/>
              </w:rPr>
            </w:pP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FD1D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DF540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支持数据复核，在T+1日内反馈；</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97ED1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63E08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21BC8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8B1A1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C232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75E0A">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故障受理时间7*24小时，故障恢复时限4小时。</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97B2D5">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bl>
    <w:p w14:paraId="5178FF4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p>
    <w:p w14:paraId="26707D9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（2）商务要求</w:t>
      </w:r>
    </w:p>
    <w:tbl>
      <w:tblPr>
        <w:tblStyle w:val="11"/>
        <w:tblW w:w="8423"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
        <w:gridCol w:w="844"/>
        <w:gridCol w:w="1803"/>
        <w:gridCol w:w="3020"/>
        <w:gridCol w:w="1926"/>
      </w:tblGrid>
      <w:tr w14:paraId="27785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830" w:type="dxa"/>
            <w:vAlign w:val="center"/>
          </w:tcPr>
          <w:p w14:paraId="143BA697">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序号</w:t>
            </w:r>
          </w:p>
        </w:tc>
        <w:tc>
          <w:tcPr>
            <w:tcW w:w="844" w:type="dxa"/>
            <w:vAlign w:val="center"/>
          </w:tcPr>
          <w:p w14:paraId="1C772480">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重要性</w:t>
            </w:r>
          </w:p>
        </w:tc>
        <w:tc>
          <w:tcPr>
            <w:tcW w:w="1803" w:type="dxa"/>
            <w:vAlign w:val="center"/>
          </w:tcPr>
          <w:p w14:paraId="111B1C3D">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内容</w:t>
            </w:r>
          </w:p>
        </w:tc>
        <w:tc>
          <w:tcPr>
            <w:tcW w:w="3020" w:type="dxa"/>
            <w:vAlign w:val="center"/>
          </w:tcPr>
          <w:p w14:paraId="40007655">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服务要求标准</w:t>
            </w:r>
          </w:p>
        </w:tc>
        <w:tc>
          <w:tcPr>
            <w:tcW w:w="1926" w:type="dxa"/>
            <w:vAlign w:val="center"/>
          </w:tcPr>
          <w:p w14:paraId="1BB549DB">
            <w:pPr>
              <w:jc w:val="center"/>
              <w:rPr>
                <w:rFonts w:hint="eastAsia" w:ascii="仿宋_GB2312" w:hAnsi="仿宋_GB2312" w:eastAsia="仿宋_GB2312" w:cs="仿宋_GB2312"/>
                <w:b/>
                <w:sz w:val="24"/>
                <w:szCs w:val="24"/>
              </w:rPr>
            </w:pPr>
            <w:r>
              <w:rPr>
                <w:rFonts w:hint="eastAsia" w:ascii="仿宋_GB2312" w:hAnsi="仿宋_GB2312" w:eastAsia="仿宋_GB2312" w:cs="仿宋_GB2312"/>
                <w:b/>
                <w:kern w:val="0"/>
                <w:sz w:val="24"/>
                <w:szCs w:val="24"/>
              </w:rPr>
              <w:t>是否提供证明材料及方式</w:t>
            </w:r>
          </w:p>
        </w:tc>
      </w:tr>
      <w:tr w14:paraId="75F3B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6DC9C1A0">
            <w:pPr>
              <w:widowControl/>
              <w:jc w:val="center"/>
              <w:textAlignment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1</w:t>
            </w:r>
          </w:p>
        </w:tc>
        <w:tc>
          <w:tcPr>
            <w:tcW w:w="844" w:type="dxa"/>
            <w:vAlign w:val="center"/>
          </w:tcPr>
          <w:p w14:paraId="0156D70C">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6A5BC68A">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技术要求</w:t>
            </w:r>
          </w:p>
        </w:tc>
        <w:tc>
          <w:tcPr>
            <w:tcW w:w="3020" w:type="dxa"/>
            <w:vAlign w:val="center"/>
          </w:tcPr>
          <w:p w14:paraId="3185B8A0">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详见服务要求详情“1.1 技术总体要求”章节</w:t>
            </w:r>
          </w:p>
        </w:tc>
        <w:tc>
          <w:tcPr>
            <w:tcW w:w="1926" w:type="dxa"/>
            <w:vAlign w:val="center"/>
          </w:tcPr>
          <w:p w14:paraId="0266431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C513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2C62031">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2</w:t>
            </w:r>
          </w:p>
        </w:tc>
        <w:tc>
          <w:tcPr>
            <w:tcW w:w="844" w:type="dxa"/>
            <w:vAlign w:val="center"/>
          </w:tcPr>
          <w:p w14:paraId="13433AF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88AF31">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3020" w:type="dxa"/>
            <w:vAlign w:val="center"/>
          </w:tcPr>
          <w:p w14:paraId="4393F4E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1926" w:type="dxa"/>
            <w:vAlign w:val="center"/>
          </w:tcPr>
          <w:p w14:paraId="46D023F8">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6ED49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1EBF88">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3</w:t>
            </w:r>
          </w:p>
        </w:tc>
        <w:tc>
          <w:tcPr>
            <w:tcW w:w="844" w:type="dxa"/>
            <w:vAlign w:val="center"/>
          </w:tcPr>
          <w:p w14:paraId="6694C7B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6C94946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3020" w:type="dxa"/>
            <w:vAlign w:val="center"/>
          </w:tcPr>
          <w:p w14:paraId="692CD27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1926" w:type="dxa"/>
            <w:vAlign w:val="center"/>
          </w:tcPr>
          <w:p w14:paraId="2C32F1FE">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70502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1E1EFC4">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4</w:t>
            </w:r>
          </w:p>
        </w:tc>
        <w:tc>
          <w:tcPr>
            <w:tcW w:w="844" w:type="dxa"/>
            <w:vAlign w:val="center"/>
          </w:tcPr>
          <w:p w14:paraId="184EDDC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3EB6F13">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服务开通要求</w:t>
            </w:r>
          </w:p>
        </w:tc>
        <w:tc>
          <w:tcPr>
            <w:tcW w:w="3020" w:type="dxa"/>
            <w:vAlign w:val="center"/>
          </w:tcPr>
          <w:p w14:paraId="2A7BDD49">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1926" w:type="dxa"/>
            <w:vAlign w:val="center"/>
          </w:tcPr>
          <w:p w14:paraId="6B7BD1A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3207A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861C125">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5</w:t>
            </w:r>
          </w:p>
        </w:tc>
        <w:tc>
          <w:tcPr>
            <w:tcW w:w="844" w:type="dxa"/>
            <w:vAlign w:val="center"/>
          </w:tcPr>
          <w:p w14:paraId="7F900BC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36A1090E">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服务实施要求</w:t>
            </w:r>
          </w:p>
        </w:tc>
        <w:tc>
          <w:tcPr>
            <w:tcW w:w="3020" w:type="dxa"/>
            <w:vAlign w:val="center"/>
          </w:tcPr>
          <w:p w14:paraId="5B737ED5">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1926" w:type="dxa"/>
            <w:vAlign w:val="center"/>
          </w:tcPr>
          <w:p w14:paraId="60B40C6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6D8C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9C3A74">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6</w:t>
            </w:r>
          </w:p>
        </w:tc>
        <w:tc>
          <w:tcPr>
            <w:tcW w:w="844" w:type="dxa"/>
            <w:vAlign w:val="center"/>
          </w:tcPr>
          <w:p w14:paraId="4ACABB3F">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803" w:type="dxa"/>
            <w:vAlign w:val="center"/>
          </w:tcPr>
          <w:p w14:paraId="26E84A4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3020" w:type="dxa"/>
            <w:vAlign w:val="center"/>
          </w:tcPr>
          <w:p w14:paraId="0CAD6E42">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1926" w:type="dxa"/>
            <w:vAlign w:val="center"/>
          </w:tcPr>
          <w:p w14:paraId="26340B63">
            <w:pPr>
              <w:jc w:val="cente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否</w:t>
            </w:r>
          </w:p>
        </w:tc>
      </w:tr>
      <w:tr w14:paraId="34F08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7373CD">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7</w:t>
            </w:r>
          </w:p>
        </w:tc>
        <w:tc>
          <w:tcPr>
            <w:tcW w:w="844" w:type="dxa"/>
            <w:vAlign w:val="center"/>
          </w:tcPr>
          <w:p w14:paraId="412960CD">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5DF4E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技术支持与售后服务要求</w:t>
            </w:r>
          </w:p>
        </w:tc>
        <w:tc>
          <w:tcPr>
            <w:tcW w:w="3020" w:type="dxa"/>
            <w:vAlign w:val="center"/>
          </w:tcPr>
          <w:p w14:paraId="1A7ECCB6">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详见服务要求详情“4.1技术支持与售后服务”章节</w:t>
            </w:r>
          </w:p>
        </w:tc>
        <w:tc>
          <w:tcPr>
            <w:tcW w:w="1926" w:type="dxa"/>
            <w:vAlign w:val="center"/>
          </w:tcPr>
          <w:p w14:paraId="5D2295FC">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AFE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8596CDB">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8</w:t>
            </w:r>
          </w:p>
        </w:tc>
        <w:tc>
          <w:tcPr>
            <w:tcW w:w="844" w:type="dxa"/>
            <w:vAlign w:val="center"/>
          </w:tcPr>
          <w:p w14:paraId="7B534FBD">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5A4FA5C3">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支持与服务要求</w:t>
            </w:r>
          </w:p>
        </w:tc>
        <w:tc>
          <w:tcPr>
            <w:tcW w:w="3020" w:type="dxa"/>
            <w:vAlign w:val="center"/>
          </w:tcPr>
          <w:p w14:paraId="5EC34757">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详见服务要求详情“4.2支持与服务要求说明”章节</w:t>
            </w:r>
          </w:p>
        </w:tc>
        <w:tc>
          <w:tcPr>
            <w:tcW w:w="1926" w:type="dxa"/>
            <w:vAlign w:val="center"/>
          </w:tcPr>
          <w:p w14:paraId="7F8F5FB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092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FF479DF">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9</w:t>
            </w:r>
          </w:p>
        </w:tc>
        <w:tc>
          <w:tcPr>
            <w:tcW w:w="844" w:type="dxa"/>
            <w:vAlign w:val="center"/>
          </w:tcPr>
          <w:p w14:paraId="10469A93">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sz w:val="24"/>
                <w:szCs w:val="24"/>
              </w:rPr>
              <w:t>#</w:t>
            </w:r>
          </w:p>
        </w:tc>
        <w:tc>
          <w:tcPr>
            <w:tcW w:w="1803" w:type="dxa"/>
            <w:vAlign w:val="center"/>
          </w:tcPr>
          <w:p w14:paraId="2E7602E4">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重要时期保障服务</w:t>
            </w:r>
          </w:p>
        </w:tc>
        <w:tc>
          <w:tcPr>
            <w:tcW w:w="3020" w:type="dxa"/>
            <w:vAlign w:val="center"/>
          </w:tcPr>
          <w:p w14:paraId="147662FD">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详见服务要求详情“4.3重要通讯保障服务”章节</w:t>
            </w:r>
          </w:p>
        </w:tc>
        <w:tc>
          <w:tcPr>
            <w:tcW w:w="1926" w:type="dxa"/>
            <w:vAlign w:val="center"/>
          </w:tcPr>
          <w:p w14:paraId="6691D5F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25F61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5C0854C">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10</w:t>
            </w:r>
          </w:p>
        </w:tc>
        <w:tc>
          <w:tcPr>
            <w:tcW w:w="844" w:type="dxa"/>
            <w:vAlign w:val="center"/>
          </w:tcPr>
          <w:p w14:paraId="47CEFF2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1803" w:type="dxa"/>
            <w:vAlign w:val="center"/>
          </w:tcPr>
          <w:p w14:paraId="614A84DA">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服务罚则</w:t>
            </w:r>
          </w:p>
        </w:tc>
        <w:tc>
          <w:tcPr>
            <w:tcW w:w="3020" w:type="dxa"/>
            <w:vAlign w:val="center"/>
          </w:tcPr>
          <w:p w14:paraId="4EA861CA">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详见服务要求详情“4.4 服务罚则”</w:t>
            </w:r>
          </w:p>
        </w:tc>
        <w:tc>
          <w:tcPr>
            <w:tcW w:w="1926" w:type="dxa"/>
            <w:vAlign w:val="center"/>
          </w:tcPr>
          <w:p w14:paraId="18112A57">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1A569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05C706A">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11</w:t>
            </w:r>
          </w:p>
        </w:tc>
        <w:tc>
          <w:tcPr>
            <w:tcW w:w="844" w:type="dxa"/>
            <w:vAlign w:val="center"/>
          </w:tcPr>
          <w:p w14:paraId="5A6A91E9">
            <w:pPr>
              <w:jc w:val="center"/>
              <w:rPr>
                <w:rFonts w:hint="eastAsia" w:ascii="仿宋_GB2312" w:hAnsi="仿宋_GB2312" w:eastAsia="仿宋_GB2312" w:cs="仿宋_GB2312"/>
                <w:sz w:val="24"/>
                <w:szCs w:val="24"/>
              </w:rPr>
            </w:pPr>
          </w:p>
        </w:tc>
        <w:tc>
          <w:tcPr>
            <w:tcW w:w="1803" w:type="dxa"/>
            <w:vAlign w:val="center"/>
          </w:tcPr>
          <w:p w14:paraId="40B3B942">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安全服务</w:t>
            </w:r>
          </w:p>
        </w:tc>
        <w:tc>
          <w:tcPr>
            <w:tcW w:w="3020" w:type="dxa"/>
            <w:vAlign w:val="center"/>
          </w:tcPr>
          <w:p w14:paraId="414E71B4">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详见服务要求详情“4.5 安全服务”</w:t>
            </w:r>
          </w:p>
        </w:tc>
        <w:tc>
          <w:tcPr>
            <w:tcW w:w="1926" w:type="dxa"/>
            <w:vAlign w:val="center"/>
          </w:tcPr>
          <w:p w14:paraId="68082FA0">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7A77C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A421F2">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rPr>
              <w:t>1</w:t>
            </w:r>
            <w:r>
              <w:rPr>
                <w:rFonts w:hint="eastAsia" w:ascii="仿宋_GB2312" w:hAnsi="仿宋_GB2312" w:eastAsia="仿宋_GB2312" w:cs="仿宋_GB2312"/>
                <w:kern w:val="0"/>
                <w:sz w:val="24"/>
                <w:szCs w:val="24"/>
                <w:lang w:val="en-US" w:eastAsia="zh-CN"/>
              </w:rPr>
              <w:t>2</w:t>
            </w:r>
          </w:p>
        </w:tc>
        <w:tc>
          <w:tcPr>
            <w:tcW w:w="844" w:type="dxa"/>
            <w:vAlign w:val="center"/>
          </w:tcPr>
          <w:p w14:paraId="240F50A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1FD642DD">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保密要求</w:t>
            </w:r>
          </w:p>
        </w:tc>
        <w:tc>
          <w:tcPr>
            <w:tcW w:w="3020" w:type="dxa"/>
            <w:vAlign w:val="center"/>
          </w:tcPr>
          <w:p w14:paraId="6B17289B">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详见服务要求详情“5 保密要求”章节</w:t>
            </w:r>
          </w:p>
        </w:tc>
        <w:tc>
          <w:tcPr>
            <w:tcW w:w="1926" w:type="dxa"/>
            <w:vAlign w:val="center"/>
          </w:tcPr>
          <w:p w14:paraId="4F3DFBE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13606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35B81F27">
            <w:pPr>
              <w:widowControl/>
              <w:jc w:val="center"/>
              <w:textAlignment w:val="center"/>
              <w:rPr>
                <w:rFonts w:hint="default"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13</w:t>
            </w:r>
          </w:p>
        </w:tc>
        <w:tc>
          <w:tcPr>
            <w:tcW w:w="844" w:type="dxa"/>
            <w:vAlign w:val="center"/>
          </w:tcPr>
          <w:p w14:paraId="4FE49736">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D7296BA">
            <w:pPr>
              <w:jc w:val="both"/>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付款方式</w:t>
            </w:r>
          </w:p>
        </w:tc>
        <w:tc>
          <w:tcPr>
            <w:tcW w:w="3020" w:type="dxa"/>
            <w:vAlign w:val="center"/>
          </w:tcPr>
          <w:p w14:paraId="09B5AE73">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1926" w:type="dxa"/>
            <w:vAlign w:val="center"/>
          </w:tcPr>
          <w:p w14:paraId="407AB7AB">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bl>
    <w:p w14:paraId="6571B824">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1016733A">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7A34C601">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4470B216">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3E9EE929">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r>
        <w:rPr>
          <w:rFonts w:hint="eastAsia" w:ascii="仿宋_GB2312" w:hAnsi="仿宋_GB2312" w:eastAsia="仿宋_GB2312" w:cs="仿宋_GB2312"/>
          <w:b/>
          <w:bCs/>
          <w:sz w:val="24"/>
          <w:szCs w:val="24"/>
          <w:highlight w:val="none"/>
          <w:lang w:bidi="ar"/>
        </w:rPr>
        <w:t>服务要求详情</w:t>
      </w:r>
    </w:p>
    <w:p w14:paraId="423EBB62">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产品要求</w:t>
      </w:r>
    </w:p>
    <w:p>
      <w:pPr>
        <w:shd w:val="clear" w:color="auto" w:fill="D9D9D9"/>
      </w:pPr>
      <w:r>
        <w:rPr>
          <w:rFonts w:ascii="仿宋_GB2312" w:hAnsi="仿宋_GB2312"/>
          <w:color w:val="000000"/>
          <w:sz w:val="24"/>
        </w:rPr>
        <w:t>应答：满足。系统支持二次放号查询服务，能够实时获取和展示放号信息，提供多种查询方式，包括按时间、按区域和按号码类型等。同时，系统具备高效的数据处理能力，确保查询结果的准确性和及时性，支持用户自定义查询条件，提升用户体验。</w:t>
      </w:r>
    </w:p>
    <w:p w14:paraId="2A2BC494">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1.1技术总体要求</w:t>
      </w:r>
    </w:p>
    <w:p w14:paraId="76D9428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1.1.1可靠性要求</w:t>
      </w:r>
    </w:p>
    <w:p>
      <w:pPr>
        <w:shd w:val="clear" w:color="auto" w:fill="D9D9D9"/>
      </w:pPr>
      <w:r>
        <w:rPr>
          <w:rFonts w:ascii="仿宋_GB2312" w:hAnsi="仿宋_GB2312"/>
          <w:color w:val="000000"/>
          <w:sz w:val="24"/>
        </w:rPr>
        <w:t>应答：满足。系统具备高可用性设计，采用冗余架构和故障转移机制，确保在单点故障情况下仍能保持服务连续性。同时，系统支持定期备份和数据恢复功能，最大限度降低数据丢失风险，满足行业标准的可靠性要求。</w:t>
      </w:r>
    </w:p>
    <w:p w14:paraId="714EAF1C">
      <w:pPr>
        <w:pStyle w:val="33"/>
        <w:spacing w:line="560" w:lineRule="exact"/>
        <w:ind w:left="0"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必须切实保障高稳定、高可靠性，可靠性应达到99%。</w:t>
      </w:r>
    </w:p>
    <w:p w14:paraId="1DBC2BD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1.1.2扩展性要求</w:t>
      </w:r>
    </w:p>
    <w:p>
      <w:pPr>
        <w:shd w:val="clear" w:color="auto" w:fill="D9D9D9"/>
      </w:pPr>
      <w:r>
        <w:rPr>
          <w:rFonts w:ascii="仿宋_GB2312" w:hAnsi="仿宋_GB2312"/>
          <w:color w:val="000000"/>
          <w:sz w:val="24"/>
        </w:rPr>
        <w:t>应答：满足。系统具备良好的扩展性，支持模块化设计，能够根据需求灵活增加或替换功能模块。同时，系统采用标准化接口，确保与第三方系统的无缝集成，支持横向和纵向扩展，满足未来业务发展的需求。</w:t>
      </w:r>
    </w:p>
    <w:p w14:paraId="0BCF125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具有升级和扩展能力，便于扩充并具有支持</w:t>
      </w:r>
      <w:r>
        <w:rPr>
          <w:rFonts w:hint="eastAsia" w:ascii="仿宋_GB2312" w:hAnsi="仿宋_GB2312" w:eastAsia="仿宋_GB2312" w:cs="仿宋_GB2312"/>
          <w:sz w:val="24"/>
          <w:szCs w:val="24"/>
          <w:lang w:val="en-US" w:eastAsia="zh-CN"/>
        </w:rPr>
        <w:t>对接</w:t>
      </w:r>
      <w:r>
        <w:rPr>
          <w:rFonts w:hint="eastAsia" w:ascii="仿宋_GB2312" w:hAnsi="仿宋_GB2312" w:eastAsia="仿宋_GB2312" w:cs="仿宋_GB2312"/>
          <w:sz w:val="24"/>
          <w:szCs w:val="24"/>
        </w:rPr>
        <w:t>接口</w:t>
      </w:r>
      <w:r>
        <w:rPr>
          <w:rFonts w:hint="eastAsia" w:ascii="仿宋_GB2312" w:hAnsi="仿宋_GB2312" w:eastAsia="仿宋_GB2312" w:cs="仿宋_GB2312"/>
          <w:sz w:val="24"/>
          <w:szCs w:val="24"/>
          <w:lang w:val="en-US" w:eastAsia="zh-CN"/>
        </w:rPr>
        <w:t>升级</w:t>
      </w:r>
      <w:r>
        <w:rPr>
          <w:rFonts w:hint="eastAsia" w:ascii="仿宋_GB2312" w:hAnsi="仿宋_GB2312" w:eastAsia="仿宋_GB2312" w:cs="仿宋_GB2312"/>
          <w:sz w:val="24"/>
          <w:szCs w:val="24"/>
        </w:rPr>
        <w:t>的能力。</w:t>
      </w:r>
    </w:p>
    <w:p>
      <w:pPr>
        <w:shd w:val="clear" w:color="auto" w:fill="D9D9D9"/>
      </w:pPr>
      <w:r>
        <w:rPr>
          <w:rFonts w:ascii="仿宋_GB2312" w:hAnsi="仿宋_GB2312"/>
          <w:color w:val="000000"/>
          <w:sz w:val="24"/>
        </w:rPr>
        <w:t>应答：满足。系统具备灵活的升级和扩展能力，支持二次放号查询服务的功能扩展。通过模块化设计，能够方便地添加新功能或对接接口，确保系统在未来的需求变化中保持高效和兼容性。</w:t>
      </w:r>
    </w:p>
    <w:p w14:paraId="2372AF9F">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1.1.3成熟性要求</w:t>
      </w:r>
    </w:p>
    <w:p>
      <w:pPr>
        <w:shd w:val="clear" w:color="auto" w:fill="D9D9D9"/>
      </w:pPr>
      <w:r>
        <w:rPr>
          <w:rFonts w:ascii="仿宋_GB2312" w:hAnsi="仿宋_GB2312"/>
          <w:color w:val="000000"/>
          <w:sz w:val="24"/>
        </w:rPr>
        <w:t>应答：满足。系统具备成熟的技术架构，经过多次实际应用验证，确保高可用性和稳定性。我们采用业界领先的技术标准，具备完善的文档和支持体系，能够快速响应用户需求，持续优化系统性能。系统的成熟性体现在其可靠的功能模块和用户友好的操作界面，确保用户能够顺利上手并高效使用。</w:t>
      </w:r>
    </w:p>
    <w:p w14:paraId="155CFB07">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在技术上是先进而成熟的，产品化程度高，以相当范围的市场化应用历程证明其性能稳定。</w:t>
      </w:r>
    </w:p>
    <w:p>
      <w:pPr>
        <w:shd w:val="clear" w:color="auto" w:fill="D9D9D9"/>
      </w:pPr>
      <w:r>
        <w:rPr>
          <w:rFonts w:ascii="仿宋_GB2312" w:hAnsi="仿宋_GB2312"/>
          <w:color w:val="000000"/>
          <w:sz w:val="24"/>
        </w:rPr>
        <w:t>应答：满足。系统具备先进且成熟的二次放号查询服务，经过广泛市场应用验证其性能稳定，确保高效的数据处理能力和可靠的查询响应时间。同时，产品化程度高，符合行业标准，能够满足用户在不同场景下的需求。</w:t>
      </w:r>
    </w:p>
    <w:p w14:paraId="37AD40B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1.1.4管理性要求</w:t>
      </w:r>
    </w:p>
    <w:p>
      <w:pPr>
        <w:shd w:val="clear" w:color="auto" w:fill="D9D9D9"/>
      </w:pPr>
      <w:r>
        <w:rPr>
          <w:rFonts w:ascii="仿宋_GB2312" w:hAnsi="仿宋_GB2312"/>
          <w:color w:val="000000"/>
          <w:sz w:val="24"/>
        </w:rPr>
        <w:t>应答：满足。系统支持全面的管理性功能，包括用户权限管理、数据源监控和日志审计。用户可以通过界面化操作进行角色分配和权限设置，确保数据安全性。同时，系统提供实时监控工具，能够跟踪数据源的使用情况，并生成详细的操作日志，以便于后续审计和分析。</w:t>
      </w:r>
    </w:p>
    <w:p w14:paraId="099D47E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应具备必要的监控管理、性能管理、配置管理、用户管理和安全审计管理等功能，有利于今后的运行维护管理。</w:t>
      </w:r>
    </w:p>
    <w:p>
      <w:pPr>
        <w:shd w:val="clear" w:color="auto" w:fill="D9D9D9"/>
      </w:pPr>
      <w:r>
        <w:rPr>
          <w:rFonts w:ascii="仿宋_GB2312" w:hAnsi="仿宋_GB2312"/>
          <w:color w:val="000000"/>
          <w:sz w:val="24"/>
        </w:rPr>
        <w:t>应答：满足。系统支持全面的监控管理，能够实时监测二次放号查询服务的性能指标，并提供详细的性能分析报告。同时，具备配置管理功能，支持对系统参数的灵活调整。用户管理模块确保用户权限的精细化控制，而安全审计管理功能则记录所有操作日志，便于后续的审计和合规检查。这些功能将有效提升系统的运行维护管理效率。</w:t>
      </w:r>
    </w:p>
    <w:p w14:paraId="78BF4FC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1.1.5适用性要求</w:t>
      </w:r>
    </w:p>
    <w:p>
      <w:pPr>
        <w:shd w:val="clear" w:color="auto" w:fill="D9D9D9"/>
      </w:pPr>
      <w:r>
        <w:rPr>
          <w:rFonts w:ascii="仿宋_GB2312" w:hAnsi="仿宋_GB2312"/>
          <w:color w:val="000000"/>
          <w:sz w:val="24"/>
        </w:rPr>
        <w:t>应答：满足。系统支持多种数据源的可视化创建，包括传统数据库、文件系统、消息队列、SaaS API及NoSQL等。用户可通过友好的界面进行数据源的配置管理，支持新增、修改、删除等操作，并具备高效的搜索功能，确保数据源的灵活性和适用性。</w:t>
      </w:r>
    </w:p>
    <w:p w14:paraId="733DFA43">
      <w:pPr>
        <w:pStyle w:val="8"/>
        <w:spacing w:line="560" w:lineRule="exact"/>
        <w:ind w:firstLine="64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所采购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产品，应与采购人现有设备有良好的兼容性,必须满足采购人的实际需要。</w:t>
      </w:r>
    </w:p>
    <w:p>
      <w:pPr>
        <w:shd w:val="clear" w:color="auto" w:fill="D9D9D9"/>
      </w:pPr>
      <w:r>
        <w:rPr>
          <w:rFonts w:ascii="仿宋_GB2312" w:hAnsi="仿宋_GB2312"/>
          <w:color w:val="000000"/>
          <w:sz w:val="24"/>
        </w:rPr>
        <w:t>应答：满足。系统支持与采购人现有设备的无缝对接，采用标准化接口和协议，确保兼容性良好。通过灵活的配置选项，能够满足采购人对二次放号查询服务的实际需求，确保系统在不同环境下的稳定运行。</w:t>
      </w:r>
    </w:p>
    <w:p w14:paraId="2EA2E1F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1.1.6开放性要求</w:t>
      </w:r>
    </w:p>
    <w:p>
      <w:pPr>
        <w:shd w:val="clear" w:color="auto" w:fill="D9D9D9"/>
      </w:pPr>
      <w:r>
        <w:rPr>
          <w:rFonts w:ascii="仿宋_GB2312" w:hAnsi="仿宋_GB2312"/>
          <w:color w:val="000000"/>
          <w:sz w:val="24"/>
        </w:rPr>
        <w:t>应答：满足。系统支持开放性架构，能够灵活集成多种外部数据源和服务，包括传统数据库、文件系统、消息队列、SaaS API及NoSQL等。通过标准化接口和API，确保与第三方系统的无缝对接，满足用户多样化的数据处理需求。</w:t>
      </w:r>
    </w:p>
    <w:p w14:paraId="7296773D">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遵循国际和国内标准，支持多种计算机网络协议，实现系统间互连。</w:t>
      </w:r>
    </w:p>
    <w:p>
      <w:pPr>
        <w:shd w:val="clear" w:color="auto" w:fill="D9D9D9"/>
      </w:pPr>
      <w:r>
        <w:rPr>
          <w:rFonts w:ascii="仿宋_GB2312" w:hAnsi="仿宋_GB2312"/>
          <w:color w:val="000000"/>
          <w:sz w:val="24"/>
        </w:rPr>
        <w:t>应答：满足。系统遵循国际和国内标准，支持多种计算机网络协议，包括但不限于TCP/IP、HTTP/HTTPS、MQTT等，实现系统间的高效互连与数据交换。通过标准化接口，确保不同系统之间的兼容性和可扩展性，满足多样化的业务需求。</w:t>
      </w:r>
    </w:p>
    <w:p w14:paraId="67227F3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1.1.7经济性要求</w:t>
      </w:r>
    </w:p>
    <w:p>
      <w:pPr>
        <w:shd w:val="clear" w:color="auto" w:fill="D9D9D9"/>
      </w:pPr>
      <w:r>
        <w:rPr>
          <w:rFonts w:ascii="仿宋_GB2312" w:hAnsi="仿宋_GB2312"/>
          <w:color w:val="000000"/>
          <w:sz w:val="24"/>
        </w:rPr>
        <w:t>应答：满足。系统在设计上充分考虑经济性，采用高效的资源管理策略，确保在运行过程中最大限度地降低运营成本。同时，系统支持灵活的定价模型，能够根据用户需求进行调整，确保投资回报率的最优化。此外，系统的维护和升级成本低，用户可在不增加额外支出的情况下，享受持续的技术支持和功能更新。</w:t>
      </w:r>
    </w:p>
    <w:p w14:paraId="7447DE5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与采购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相关的系统配置应充分考虑性能价格比，选择最优的技术方案。</w:t>
      </w:r>
    </w:p>
    <w:p>
      <w:pPr>
        <w:shd w:val="clear" w:color="auto" w:fill="D9D9D9"/>
      </w:pPr>
      <w:r>
        <w:rPr>
          <w:rFonts w:ascii="仿宋_GB2312" w:hAnsi="仿宋_GB2312"/>
          <w:color w:val="000000"/>
          <w:sz w:val="24"/>
        </w:rPr>
        <w:t>应答：满足。系统在与采购二次放号查询服务相关的配置中，充分考虑性能与价格的平衡，采用高效的负载均衡技术与缓存机制，确保查询响应时间在毫秒级。同时，选用成熟的数据库技术，如MySQL或PostgreSQL，结合高性价比的云服务平台，确保系统的可扩展性与稳定性，满足业务需求的同时控制成本。</w:t>
      </w:r>
    </w:p>
    <w:p w14:paraId="5D3BBC98">
      <w:pPr>
        <w:keepNext/>
        <w:keepLines/>
        <w:spacing w:line="560" w:lineRule="exact"/>
        <w:ind w:firstLine="0" w:firstLineChars="0"/>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2服务</w:t>
      </w:r>
      <w:r>
        <w:rPr>
          <w:rFonts w:hint="eastAsia" w:ascii="仿宋_GB2312" w:hAnsi="仿宋_GB2312" w:eastAsia="仿宋_GB2312" w:cs="仿宋_GB2312"/>
          <w:bCs/>
          <w:sz w:val="24"/>
          <w:szCs w:val="24"/>
        </w:rPr>
        <w:t>标准要求</w:t>
      </w:r>
    </w:p>
    <w:p w14:paraId="160741E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1</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，其运营商应有完善的质量检测手段和质量保证体系，产品符合国家标准和行业标准。</w:t>
      </w:r>
    </w:p>
    <w:p>
      <w:pPr>
        <w:shd w:val="clear" w:color="auto" w:fill="D9D9D9"/>
      </w:pPr>
      <w:r>
        <w:rPr>
          <w:rFonts w:ascii="仿宋_GB2312" w:hAnsi="仿宋_GB2312"/>
          <w:color w:val="000000"/>
          <w:sz w:val="24"/>
        </w:rPr>
        <w:t>应答：满足。我方提供的二次放号查询服务由具备完善质量检测手段的运营商支持，确保服务质量符合国家标准及行业标准。我们实施严格的质量保证体系，包括定期的质量评估和监控，确保服务的稳定性和可靠性。</w:t>
      </w:r>
    </w:p>
    <w:p w14:paraId="6FE149C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2</w:t>
      </w:r>
      <w:r>
        <w:rPr>
          <w:rFonts w:hint="eastAsia" w:ascii="仿宋_GB2312" w:hAnsi="仿宋_GB2312" w:eastAsia="仿宋_GB2312" w:cs="仿宋_GB2312"/>
          <w:sz w:val="24"/>
          <w:szCs w:val="24"/>
        </w:rPr>
        <w:t>供应商提供的所有技术文件中的技术指标除非在技术指标要求中另作规定外，均应使用相应的国际先进标准、中国国家标准、各行业的相应标准、国际标准化组织标准。</w:t>
      </w:r>
    </w:p>
    <w:p>
      <w:pPr>
        <w:shd w:val="clear" w:color="auto" w:fill="D9D9D9"/>
      </w:pPr>
      <w:r>
        <w:rPr>
          <w:rFonts w:ascii="仿宋_GB2312" w:hAnsi="仿宋_GB2312"/>
          <w:color w:val="000000"/>
          <w:sz w:val="24"/>
        </w:rPr>
        <w:t>应答：满足。系统提供的所有技术文件均严格遵循国际先进标准、中国国家标准及行业相关标准，确保技术指标的合规性与先进性。我们将依据国际标准化组织的标准进行全面评估与验证，以确保所提供的技术解决方案符合最高的行业要求。</w:t>
      </w:r>
    </w:p>
    <w:p w14:paraId="58D0B85C">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3</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查询、响应</w:t>
      </w:r>
      <w:r>
        <w:rPr>
          <w:rFonts w:hint="eastAsia" w:ascii="仿宋_GB2312" w:hAnsi="仿宋_GB2312" w:eastAsia="仿宋_GB2312" w:cs="仿宋_GB2312"/>
          <w:sz w:val="24"/>
          <w:szCs w:val="24"/>
        </w:rPr>
        <w:t>等评测指标，都应按国内外通行的现行标准和相应的技术规范执行。而这些标准和技术规范应为合同签字日为止最新公布发行的标准和技术规范。</w:t>
      </w:r>
    </w:p>
    <w:p w14:paraId="68FB60FD">
      <w:pPr>
        <w:spacing w:line="560" w:lineRule="exact"/>
        <w:ind w:firstLine="480"/>
        <w:rPr>
          <w:rFonts w:hint="eastAsia" w:ascii="仿宋_GB2312" w:hAnsi="仿宋_GB2312" w:eastAsia="仿宋_GB2312" w:cs="仿宋_GB2312"/>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应确保返回结果准确，若</w:t>
      </w:r>
      <w:r>
        <w:rPr>
          <w:rFonts w:hint="eastAsia" w:ascii="仿宋_GB2312" w:hAnsi="仿宋_GB2312" w:eastAsia="仿宋_GB2312" w:cs="仿宋_GB2312"/>
          <w:sz w:val="24"/>
          <w:szCs w:val="24"/>
        </w:rPr>
        <w:t>因</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提供的服务问题导致</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使用该服务出现问题，影响</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正常开展工作</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采购人</w:t>
      </w:r>
      <w:r>
        <w:rPr>
          <w:rFonts w:hint="eastAsia" w:ascii="仿宋_GB2312" w:hAnsi="仿宋_GB2312" w:eastAsia="仿宋_GB2312" w:cs="仿宋_GB2312"/>
          <w:sz w:val="24"/>
          <w:szCs w:val="24"/>
          <w:lang w:val="en-US" w:eastAsia="zh-CN"/>
        </w:rPr>
        <w:t>保留索赔和终止合同的权利。</w:t>
      </w:r>
    </w:p>
    <w:p>
      <w:pPr>
        <w:shd w:val="clear" w:color="auto" w:fill="D9D9D9"/>
      </w:pPr>
      <w:r>
        <w:rPr>
          <w:rFonts w:ascii="仿宋_GB2312" w:hAnsi="仿宋_GB2312"/>
          <w:color w:val="000000"/>
          <w:sz w:val="24"/>
        </w:rPr>
        <w:t>应答：满足。系统提供的二次放号查询服务具备高准确性，采用先进的数据校验机制，确保返回结果的可靠性。若因服务问题导致采购人工作受到影响，我方承诺及时响应并解决问题，确保采购人权益。同时，遵循合同条款，保障采购人索赔及终止合同的权利。</w:t>
      </w:r>
    </w:p>
    <w:p w14:paraId="2AF0D73A">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5</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应符合《电信服务规范》所约定的标准。</w:t>
      </w:r>
    </w:p>
    <w:p>
      <w:pPr>
        <w:shd w:val="clear" w:color="auto" w:fill="D9D9D9"/>
      </w:pPr>
      <w:r>
        <w:rPr>
          <w:rFonts w:ascii="仿宋_GB2312" w:hAnsi="仿宋_GB2312"/>
          <w:color w:val="000000"/>
          <w:sz w:val="24"/>
        </w:rPr>
        <w:t>应答：满足。系统提供的二次放号查询服务严格遵循《电信服务规范》所约定的标准，确保服务的合规性与可靠性。我们采用先进的查询算法和数据处理技术，能够实时响应用户请求，并提供准确的放号信息，确保用户体验达到行业最佳水平。</w:t>
      </w:r>
    </w:p>
    <w:p w14:paraId="5A6B61AB">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供应商应根据业务需要投入相应的软件及硬件系统，保证相关数据的安全，做到防入侵、防病毒等措施；应制定相应的业务管理规则及操作制度，确定各部门、岗位的个人信息安全管理责任，信息安全义务落实到人，落实到岗位。</w:t>
      </w:r>
    </w:p>
    <w:p>
      <w:pPr>
        <w:shd w:val="clear" w:color="auto" w:fill="D9D9D9"/>
      </w:pPr>
      <w:r>
        <w:rPr>
          <w:rFonts w:ascii="仿宋_GB2312" w:hAnsi="仿宋_GB2312"/>
          <w:color w:val="000000"/>
          <w:sz w:val="24"/>
        </w:rPr>
        <w:t>应答：满足。系统配备先进的防火墙和入侵检测系统，确保数据安全，防止入侵和病毒攻击。同时，我方将制定详细的业务管理规则和操作制度，明确各部门及岗位的个人信息安全管理责任，确保信息安全义务落实到每位员工和具体岗位。</w:t>
      </w:r>
    </w:p>
    <w:p w14:paraId="463E4155">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7</w:t>
      </w:r>
      <w:r>
        <w:rPr>
          <w:rFonts w:hint="eastAsia" w:ascii="仿宋_GB2312" w:hAnsi="仿宋_GB2312" w:eastAsia="仿宋_GB2312" w:cs="仿宋_GB2312"/>
          <w:sz w:val="24"/>
          <w:szCs w:val="24"/>
        </w:rPr>
        <w:t xml:space="preserve"> 供应商应当制定网络安全事件应急预案，及时处置系统漏洞、计算机病毒、网络攻击、网络侵入等安全风险；在发生危害网络安全的事件时，立即启动应急预案，采取相应的补救措施，并按照规定向有关主管部门报告。</w:t>
      </w:r>
    </w:p>
    <w:p>
      <w:pPr>
        <w:shd w:val="clear" w:color="auto" w:fill="D9D9D9"/>
      </w:pPr>
      <w:r>
        <w:rPr>
          <w:rFonts w:ascii="仿宋_GB2312" w:hAnsi="仿宋_GB2312"/>
          <w:color w:val="000000"/>
          <w:sz w:val="24"/>
        </w:rPr>
        <w:t>应答：满足。系统具备完善的网络安全事件应急预案，能够及时识别和处置系统漏洞、计算机病毒、网络攻击及网络侵入等安全风险。在发生网络安全事件时，系统将立即启动应急预案，采取有效的补救措施，并按照相关法规要求，及时向主管部门报告，确保网络安全的持续性和稳定性。</w:t>
      </w:r>
    </w:p>
    <w:p w14:paraId="0213EA61">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8</w:t>
      </w:r>
      <w:r>
        <w:rPr>
          <w:rFonts w:hint="eastAsia" w:ascii="仿宋_GB2312" w:hAnsi="仿宋_GB2312" w:eastAsia="仿宋_GB2312" w:cs="仿宋_GB2312"/>
          <w:sz w:val="24"/>
          <w:szCs w:val="24"/>
        </w:rPr>
        <w:t xml:space="preserve"> 因对数据源对系统进行调整、升级、扩容等措施而导致服务中断，以及因网络、设备等因素，造成服务的延时，供应商保证在获知前述情况的4小时内通知。</w:t>
      </w:r>
    </w:p>
    <w:p>
      <w:pPr>
        <w:shd w:val="clear" w:color="auto" w:fill="D9D9D9"/>
      </w:pPr>
      <w:r>
        <w:rPr>
          <w:rFonts w:ascii="仿宋_GB2312" w:hAnsi="仿宋_GB2312"/>
          <w:color w:val="000000"/>
          <w:sz w:val="24"/>
        </w:rPr>
        <w:t>应答：满足。系统具备实时监控功能，能够及时识别数据源调整、升级、扩容等情况。供应商承诺在获知服务中断或因网络、设备等因素导致的延时后，4小时内通过系统通知用户，确保用户及时了解服务状态并采取相应措施。</w:t>
      </w:r>
    </w:p>
    <w:p w14:paraId="193A94F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3服务</w:t>
      </w:r>
      <w:r>
        <w:rPr>
          <w:rFonts w:hint="eastAsia" w:ascii="仿宋_GB2312" w:hAnsi="仿宋_GB2312" w:eastAsia="仿宋_GB2312" w:cs="仿宋_GB2312"/>
          <w:bCs/>
          <w:sz w:val="24"/>
          <w:szCs w:val="24"/>
        </w:rPr>
        <w:t>质量保证要求</w:t>
      </w:r>
    </w:p>
    <w:p>
      <w:pPr>
        <w:shd w:val="clear" w:color="auto" w:fill="D9D9D9"/>
      </w:pPr>
      <w:r>
        <w:rPr>
          <w:rFonts w:ascii="仿宋_GB2312" w:hAnsi="仿宋_GB2312"/>
          <w:color w:val="000000"/>
          <w:sz w:val="24"/>
        </w:rPr>
        <w:t>应答：满足。系统提供全面的服务质量保证机制，包括服务可用性监控、故障自动恢复和性能优化等功能。我们将定期进行服务质量评估，确保系统在99.9%的可用性水平上运行，并提供24/7的技术支持，及时响应客户需求，确保服务的连续性和稳定性。</w:t>
      </w:r>
    </w:p>
    <w:p w14:paraId="48EC2E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.1采购人保留要求</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供应商在做出响应时，针对提供的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产品出具独立第三方测试报告的权利，如该测试报告表明供应商所提供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不能达到采购文件所要求的技术需求，供应商</w:t>
      </w:r>
      <w:r>
        <w:rPr>
          <w:rFonts w:hint="eastAsia" w:ascii="仿宋_GB2312" w:hAnsi="仿宋_GB2312" w:eastAsia="仿宋_GB2312" w:cs="仿宋_GB2312"/>
          <w:sz w:val="24"/>
          <w:szCs w:val="24"/>
          <w:lang w:val="en-US" w:eastAsia="zh-CN"/>
        </w:rPr>
        <w:t>应立即整改，直至满足采购文件所要求的技术需求</w:t>
      </w:r>
      <w:r>
        <w:rPr>
          <w:rFonts w:hint="eastAsia" w:ascii="仿宋_GB2312" w:hAnsi="仿宋_GB2312" w:eastAsia="仿宋_GB2312" w:cs="仿宋_GB2312"/>
          <w:sz w:val="24"/>
          <w:szCs w:val="24"/>
        </w:rPr>
        <w:t>。</w:t>
      </w:r>
    </w:p>
    <w:p>
      <w:pPr>
        <w:shd w:val="clear" w:color="auto" w:fill="D9D9D9"/>
      </w:pPr>
      <w:r>
        <w:rPr>
          <w:rFonts w:ascii="仿宋_GB2312" w:hAnsi="仿宋_GB2312"/>
          <w:color w:val="000000"/>
          <w:sz w:val="24"/>
        </w:rPr>
        <w:t>应答：满足。系统支持提供独立第三方测试报告的功能，确保二次放号查询服务符合采购文件的技术需求。若测试报告显示服务未达标，我方承诺立即进行整改，并在规定时间内重新提交符合要求的服务，确保满足采购人对技术指标的所有要求。</w:t>
      </w:r>
    </w:p>
    <w:p w14:paraId="20A24484">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供应商必须根据本次采购的实际需求，提供合理和必需的配置和报价建议。 </w:t>
      </w:r>
    </w:p>
    <w:p>
      <w:pPr>
        <w:shd w:val="clear" w:color="auto" w:fill="D9D9D9"/>
      </w:pPr>
      <w:r>
        <w:rPr>
          <w:rFonts w:ascii="仿宋_GB2312" w:hAnsi="仿宋_GB2312"/>
          <w:color w:val="000000"/>
          <w:sz w:val="24"/>
        </w:rPr>
        <w:t>应答：满足。我方将根据本次采购的实际需求，提供详尽的配置方案及合理的报价建议。系统将结合行业标准，确保所提供的配置具备高效性和可扩展性，满足客户的业务需求，并在报价中体现透明性和竞争力。</w:t>
      </w:r>
    </w:p>
    <w:p w14:paraId="488F2D32">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供应商所提供的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必须能够与用户现有设备</w:t>
      </w:r>
      <w:r>
        <w:rPr>
          <w:rFonts w:hint="eastAsia" w:ascii="仿宋_GB2312" w:hAnsi="仿宋_GB2312" w:eastAsia="仿宋_GB2312" w:cs="仿宋_GB2312"/>
          <w:sz w:val="24"/>
          <w:szCs w:val="24"/>
          <w:lang w:val="en-US" w:eastAsia="zh-CN"/>
        </w:rPr>
        <w:t>及系统</w:t>
      </w:r>
      <w:r>
        <w:rPr>
          <w:rFonts w:hint="eastAsia" w:ascii="仿宋_GB2312" w:hAnsi="仿宋_GB2312" w:eastAsia="仿宋_GB2312" w:cs="仿宋_GB2312"/>
          <w:sz w:val="24"/>
          <w:szCs w:val="24"/>
        </w:rPr>
        <w:t>实现稳定连接。</w:t>
      </w:r>
    </w:p>
    <w:p>
      <w:pPr>
        <w:shd w:val="clear" w:color="auto" w:fill="D9D9D9"/>
      </w:pPr>
      <w:r>
        <w:rPr>
          <w:rFonts w:ascii="仿宋_GB2312" w:hAnsi="仿宋_GB2312"/>
          <w:color w:val="000000"/>
          <w:sz w:val="24"/>
        </w:rPr>
        <w:t>应答：满足。系统支持与用户现有设备及系统的稳定连接，采用标准化的接口协议，如RESTful API和SOAP，确保数据的高效传输与交互。同时，系统具备自动重连机制和故障恢复能力，确保在网络波动或设备故障情况下，依然能够维持稳定的服务连接。</w:t>
      </w:r>
    </w:p>
    <w:p w14:paraId="00554DA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供应商必须对所提供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进行运行技术保障和维护工作的服务。</w:t>
      </w:r>
    </w:p>
    <w:p>
      <w:pPr>
        <w:shd w:val="clear" w:color="auto" w:fill="D9D9D9"/>
      </w:pPr>
      <w:r>
        <w:rPr>
          <w:rFonts w:ascii="仿宋_GB2312" w:hAnsi="仿宋_GB2312"/>
          <w:color w:val="000000"/>
          <w:sz w:val="24"/>
        </w:rPr>
        <w:t>应答：满足。系统提供全面的二次放号查询服务技术保障，配备专业的运维团队，确保服务的高可用性与稳定性。我们将实施24/7监控机制，及时响应并处理潜在故障，确保查询服务的连续性和准确性。同时，定期进行系统维护和性能优化，确保服务始终符合行业标准和用户需求。</w:t>
      </w:r>
    </w:p>
    <w:p w14:paraId="39259005">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开通要求</w:t>
      </w:r>
    </w:p>
    <w:p w14:paraId="22AB3173">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供应商应按照合同约定，</w:t>
      </w:r>
      <w:r>
        <w:rPr>
          <w:rFonts w:hint="eastAsia" w:ascii="仿宋_GB2312" w:hAnsi="仿宋_GB2312" w:eastAsia="仿宋_GB2312" w:cs="仿宋_GB2312"/>
          <w:sz w:val="24"/>
          <w:szCs w:val="24"/>
          <w:lang w:val="en-US" w:eastAsia="zh-CN"/>
        </w:rPr>
        <w:t>配合完成接口适配和系统调试</w:t>
      </w: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10</w:t>
      </w:r>
      <w:r>
        <w:rPr>
          <w:rFonts w:hint="eastAsia" w:ascii="仿宋_GB2312" w:hAnsi="仿宋_GB2312" w:eastAsia="仿宋_GB2312" w:cs="仿宋_GB2312"/>
          <w:sz w:val="24"/>
          <w:szCs w:val="24"/>
        </w:rPr>
        <w:t>个工作日内具备</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服务初次实施的配置和部署条件，并根据我单位要求，完成</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服务的正式启用。</w:t>
      </w:r>
    </w:p>
    <w:p>
      <w:pPr>
        <w:shd w:val="clear" w:color="auto" w:fill="D9D9D9"/>
      </w:pPr>
      <w:r>
        <w:rPr>
          <w:rFonts w:ascii="仿宋_GB2312" w:hAnsi="仿宋_GB2312"/>
          <w:color w:val="000000"/>
          <w:sz w:val="24"/>
        </w:rPr>
        <w:t>应答：满足。系统支持接口适配与系统调试，供应商将按照合同约定，在10个工作日内完成二次放号查询服务的配置与部署。我们将确保所有实施条件满足贵单位的要求，并在调试完成后，顺利启动二次放号查询服务，确保服务的稳定性与可靠性。</w:t>
      </w:r>
    </w:p>
    <w:p w14:paraId="5D98C78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验收要求</w:t>
      </w:r>
    </w:p>
    <w:p>
      <w:pPr>
        <w:shd w:val="clear" w:color="auto" w:fill="D9D9D9"/>
      </w:pPr>
      <w:r>
        <w:rPr>
          <w:rFonts w:ascii="仿宋_GB2312" w:hAnsi="仿宋_GB2312"/>
          <w:color w:val="000000"/>
          <w:sz w:val="24"/>
        </w:rPr>
        <w:t>应答：满足。系统实施后，将依据预先定义的验收标准进行全面测试，确保所有功能模块正常运行。验收过程包括功能测试、性能测试和安全性测试，确保系统满足业务需求和技术规范。我们将提供详细的验收报告，记录测试结果和整改措施，确保客户满意度达到100%。</w:t>
      </w:r>
    </w:p>
    <w:p w14:paraId="6AEE6DCD">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3.1</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要求</w:t>
      </w:r>
    </w:p>
    <w:p w14:paraId="44F5D723">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 xml:space="preserve">3.1.1供应商应派遣有经验的技术人员组成工作小组实施技术服务，软硬件的调试和调优服务、培训等。 </w:t>
      </w:r>
    </w:p>
    <w:p>
      <w:pPr>
        <w:shd w:val="clear" w:color="auto" w:fill="D9D9D9"/>
      </w:pPr>
      <w:r>
        <w:rPr>
          <w:rFonts w:ascii="仿宋_GB2312" w:hAnsi="仿宋_GB2312"/>
          <w:color w:val="000000"/>
          <w:sz w:val="24"/>
        </w:rPr>
        <w:t>应答：满足。我方将派遣经验丰富的技术人员组成专门工作小组，负责实施全方位的技术服务，包括软硬件的调试与调优。工作小组将根据项目需求提供系统培训，确保用户能够熟练掌握系统操作，提升使用效率。我们承诺按照行业最佳实践执行，确保服务质量达到客户预期。</w:t>
      </w:r>
    </w:p>
    <w:p w14:paraId="3BA46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安装实施的主要目标是使采购的二次放号查询服务能够正常使用，确保与之相联的全部系统正常联通、服务正常运行并能支持其他相关应用的正常运行。</w:t>
      </w:r>
    </w:p>
    <w:p>
      <w:pPr>
        <w:shd w:val="clear" w:color="auto" w:fill="D9D9D9"/>
      </w:pPr>
      <w:r>
        <w:rPr>
          <w:rFonts w:ascii="仿宋_GB2312" w:hAnsi="仿宋_GB2312"/>
          <w:color w:val="000000"/>
          <w:sz w:val="24"/>
        </w:rPr>
        <w:t>应答：满足。系统支持二次放号查询服务的快速安装与实施，确保与相关系统的无缝对接。我们将采用标准化的实施流程，确保服务正常运行，并提供全面的技术支持，以支持其他相关应用的正常运行。实施过程中将进行系统联调，确保各项功能稳定可靠。</w:t>
      </w:r>
    </w:p>
    <w:p w14:paraId="6FF08200">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3.1.2 供应商在部署二次放号查询服务之前，应先对用户的相关人员进行培训，并在用户相关技术人员的监督下进行配置、检测和排除故障。</w:t>
      </w:r>
    </w:p>
    <w:p>
      <w:pPr>
        <w:shd w:val="clear" w:color="auto" w:fill="D9D9D9"/>
      </w:pPr>
      <w:r>
        <w:rPr>
          <w:rFonts w:ascii="仿宋_GB2312" w:hAnsi="仿宋_GB2312"/>
          <w:color w:val="000000"/>
          <w:sz w:val="24"/>
        </w:rPr>
        <w:t>应答：满足。系统支持在部署二次放号查询服务之前，提供全面的培训方案，确保用户相关人员掌握系统操作和维护技能。同时，在配置、检测和故障排除过程中，系统将与用户的技术人员紧密合作，确保所有步骤在专业监督下进行，以保障服务的顺利实施和高效运行。</w:t>
      </w:r>
    </w:p>
    <w:p w14:paraId="6409C075">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3.1.3供应商必须响应下列调试要求：</w:t>
      </w:r>
    </w:p>
    <w:p>
      <w:pPr>
        <w:shd w:val="clear" w:color="auto" w:fill="D9D9D9"/>
      </w:pPr>
      <w:r>
        <w:rPr>
          <w:rFonts w:ascii="仿宋_GB2312" w:hAnsi="仿宋_GB2312"/>
          <w:color w:val="000000"/>
          <w:sz w:val="24"/>
        </w:rPr>
        <w:t>应答：满足。系统支持全面的调试功能，包括实时监控、日志记录和错误追踪，确保在数据处理过程中能够快速定位和解决问题。此外，系统提供可视化调试工具，支持用户通过图形界面进行调试操作，提升调试效率和准确性。</w:t>
      </w:r>
    </w:p>
    <w:p w14:paraId="6F6BF10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按本采购需求书要求对其二次放号查询服务产品的配置进行调测检查，并做调测报告。所提供二次放号查询服务应在合同中所规定的环境下，实现正常运行并达到合同要求的产品技术规格中的功能。</w:t>
      </w:r>
    </w:p>
    <w:p>
      <w:pPr>
        <w:shd w:val="clear" w:color="auto" w:fill="D9D9D9"/>
      </w:pPr>
      <w:r>
        <w:rPr>
          <w:rFonts w:ascii="仿宋_GB2312" w:hAnsi="仿宋_GB2312"/>
          <w:color w:val="000000"/>
          <w:sz w:val="24"/>
        </w:rPr>
        <w:t>应答：满足。我方将对二次放号查询服务产品进行全面的配置调测检查，确保其在合同规定的环境下正常运行。调测报告将详细记录每项功能的测试结果，确保所有技术规格均达到合同要求。我方承诺提供高效的技术支持，确保服务的持续稳定性和可靠性。</w:t>
      </w:r>
    </w:p>
    <w:p w14:paraId="61ED949B">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完成与配套设备的联合调试，保证二次放号查询服务的可用性。</w:t>
      </w:r>
    </w:p>
    <w:p>
      <w:pPr>
        <w:shd w:val="clear" w:color="auto" w:fill="D9D9D9"/>
      </w:pPr>
      <w:r>
        <w:rPr>
          <w:rFonts w:ascii="仿宋_GB2312" w:hAnsi="仿宋_GB2312"/>
          <w:color w:val="000000"/>
          <w:sz w:val="24"/>
        </w:rPr>
        <w:t>应答：满足。系统支持与配套设备的联合调试，确保二次放号查询服务的高可用性。通过系统集成测试和现场调试，及时发现并解决潜在问题，确保各组件之间的协同工作达到预期效果，保障服务的稳定性和可靠性。</w:t>
      </w:r>
    </w:p>
    <w:p w14:paraId="5C4B803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当所供二次放号查询服务在调测中出现性能指标或功能上不符合技术要求时，由供应商负责免费解决。因缺少某些部件或服务，而导致达不到项目的设计指标，设备供应商须无偿提供这些部件或服务，使项目满足设计要求。</w:t>
      </w:r>
    </w:p>
    <w:p>
      <w:pPr>
        <w:shd w:val="clear" w:color="auto" w:fill="D9D9D9"/>
      </w:pPr>
      <w:r>
        <w:rPr>
          <w:rFonts w:ascii="仿宋_GB2312" w:hAnsi="仿宋_GB2312"/>
          <w:color w:val="000000"/>
          <w:sz w:val="24"/>
        </w:rPr>
        <w:t>应答：满足。我方承诺在二次放号查询服务调测过程中，若出现性能指标或功能不符合技术要求的情况，将由我方负责免费解决。同时，若因缺少某些部件或服务导致项目未能达到设计指标，我方将无偿提供所需部件或服务，确保项目符合设计要求，保障系统的稳定性和可靠性。</w:t>
      </w:r>
    </w:p>
    <w:p w14:paraId="183C0354">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如调测中出现不符合合同要求的严重质量问题时，用户保留索赔和终止合同的权利。</w:t>
      </w:r>
    </w:p>
    <w:p>
      <w:pPr>
        <w:shd w:val="clear" w:color="auto" w:fill="D9D9D9"/>
      </w:pPr>
      <w:r>
        <w:rPr>
          <w:rFonts w:ascii="仿宋_GB2312" w:hAnsi="仿宋_GB2312"/>
          <w:color w:val="000000"/>
          <w:sz w:val="24"/>
        </w:rPr>
        <w:t>应答：满足。系统将严格遵循合同要求，确保交付的产品和服务符合质量标准。如在调测过程中发现严重质量问题，我方将积极配合用户进行整改，并承担相应的责任。同时，用户保留索赔和终止合同的权利，我方承诺在合同条款内妥善处理相关事宜，确保用户权益得到保障。</w:t>
      </w:r>
    </w:p>
    <w:p w14:paraId="7A76C56A">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3.1.4供应商必须响应下列配合要求：</w:t>
      </w:r>
    </w:p>
    <w:p>
      <w:pPr>
        <w:shd w:val="clear" w:color="auto" w:fill="D9D9D9"/>
      </w:pPr>
      <w:r>
        <w:rPr>
          <w:rFonts w:ascii="仿宋_GB2312" w:hAnsi="仿宋_GB2312"/>
          <w:color w:val="000000"/>
          <w:sz w:val="24"/>
        </w:rPr>
        <w:t>应答：满足。系统支持与各类供应商的高效协作，具备接口标准化设计，确保与供应商系统的无缝对接。同时，系统提供实时数据共享和反馈机制，支持供应商在项目实施过程中的需求调整和信息更新，确保项目进度和质量的有效管理。</w:t>
      </w:r>
    </w:p>
    <w:p w14:paraId="1D7AF806">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在项目实施过程中，服从项目建设单位的统一管理，严格执行甲方的相关管理制度和标准规范。</w:t>
      </w:r>
    </w:p>
    <w:p w14:paraId="34DC9D3E">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在项目实施过程中，供应商必须指派一名经验丰富的人员作为客户代表，负责记录每次的工作内容，并在每次工作结束前提交最终用户认可。</w:t>
      </w:r>
    </w:p>
    <w:p>
      <w:pPr>
        <w:shd w:val="clear" w:color="auto" w:fill="D9D9D9"/>
      </w:pPr>
      <w:r>
        <w:rPr>
          <w:rFonts w:ascii="仿宋_GB2312" w:hAnsi="仿宋_GB2312"/>
          <w:color w:val="000000"/>
          <w:sz w:val="24"/>
        </w:rPr>
        <w:t>应答：满足。系统将指派一名具备丰富项目管理经验的客户代表，负责全面记录项目实施过程中的每项工作内容。该代表将确保在每次工作结束前，及时与最终用户沟通并提交工作成果，确保用户的认可与满意度。</w:t>
      </w:r>
    </w:p>
    <w:p w14:paraId="61A50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完成与本项目有关的用户提出的其他任务。</w:t>
      </w:r>
    </w:p>
    <w:p w14:paraId="6545588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供应商应在最终用户要求的期限内完成以上工作。否则，由此而带来的损失，由供应商承担相应责任。</w:t>
      </w:r>
    </w:p>
    <w:p>
      <w:pPr>
        <w:shd w:val="clear" w:color="auto" w:fill="D9D9D9"/>
      </w:pPr>
      <w:r>
        <w:rPr>
          <w:rFonts w:ascii="仿宋_GB2312" w:hAnsi="仿宋_GB2312"/>
          <w:color w:val="000000"/>
          <w:sz w:val="24"/>
        </w:rPr>
        <w:t>应答：满足。我方承诺在最终用户要求的期限内完成所有工作，确保项目按时交付。若因我方原因导致延误，将承担相应的责任，确保用户权益得到保障。我们将通过严格的项目管理和进度监控，确保各项任务按计划推进。</w:t>
      </w:r>
    </w:p>
    <w:p w14:paraId="20A4728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3.2</w:t>
      </w:r>
      <w:r>
        <w:rPr>
          <w:rFonts w:hint="eastAsia" w:ascii="仿宋_GB2312" w:hAnsi="仿宋_GB2312" w:eastAsia="仿宋_GB2312" w:cs="仿宋_GB2312"/>
          <w:bCs/>
          <w:sz w:val="24"/>
          <w:szCs w:val="24"/>
          <w:lang w:val="en-US" w:eastAsia="zh-CN"/>
        </w:rPr>
        <w:t>服务</w:t>
      </w:r>
      <w:r>
        <w:rPr>
          <w:rFonts w:hint="eastAsia" w:ascii="仿宋_GB2312" w:hAnsi="仿宋_GB2312" w:eastAsia="仿宋_GB2312" w:cs="仿宋_GB2312"/>
          <w:bCs/>
          <w:sz w:val="24"/>
          <w:szCs w:val="24"/>
        </w:rPr>
        <w:t>验收要求</w:t>
      </w:r>
    </w:p>
    <w:p w14:paraId="5E26DC01">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3.2.1 二次放号查询服务业务开通是指供应商和采购方双方商定的全部功能。供应商在相关二次放号查询服务配置全部完成，服务开通并测试成功后，提供业务竣工单，通知并配合用户进行二次放号查询服务验收。</w:t>
      </w:r>
    </w:p>
    <w:p>
      <w:pPr>
        <w:shd w:val="clear" w:color="auto" w:fill="D9D9D9"/>
      </w:pPr>
      <w:r>
        <w:rPr>
          <w:rFonts w:ascii="仿宋_GB2312" w:hAnsi="仿宋_GB2312"/>
          <w:color w:val="000000"/>
          <w:sz w:val="24"/>
        </w:rPr>
        <w:t>应答：满足。系统支持全面的二次放号查询服务业务开通流程，确保供应商与采购方双方的功能需求得到充分满足。在相关服务配置完成后，系统将自动生成业务竣工单，并在服务测试成功后及时通知用户，配合进行二次放号查询服务的验收，确保服务的顺利交付与实施。</w:t>
      </w:r>
    </w:p>
    <w:p w14:paraId="6F955CF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3.2.2如果二次放号查询服务不能按照合同规定通过验收，供应商应采取一切补救措施以使验收测试能够在用户要求的期限内进行，再次验收测试由供应商负担费用。</w:t>
      </w:r>
    </w:p>
    <w:p>
      <w:pPr>
        <w:shd w:val="clear" w:color="auto" w:fill="D9D9D9"/>
      </w:pPr>
      <w:r>
        <w:rPr>
          <w:rFonts w:ascii="仿宋_GB2312" w:hAnsi="仿宋_GB2312"/>
          <w:color w:val="000000"/>
          <w:sz w:val="24"/>
        </w:rPr>
        <w:t>应答：满足。系统提供全面的二次放号查询服务，确保符合合同规定的验收标准。如未通过验收，我方将立即采取补救措施，确保在用户要求的期限内完成验收测试。再次验收测试的费用由我方承担，确保用户权益得到充分保障。</w:t>
      </w:r>
    </w:p>
    <w:p w14:paraId="0F6AEC4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3.2.3 验收通过后，由供应商开具相关验收单据，并由用户签字确认。用户签字确认日期为实际开通日，供应商自实际开通日起开始对使用业务计收二次放号查询服务使用费。</w:t>
      </w:r>
    </w:p>
    <w:p w14:paraId="42A546B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3.2.</w:t>
      </w:r>
      <w:r>
        <w:rPr>
          <w:rFonts w:hint="eastAsia" w:ascii="仿宋_GB2312" w:hAnsi="仿宋_GB2312" w:eastAsia="仿宋_GB2312" w:cs="仿宋_GB2312"/>
          <w:sz w:val="24"/>
          <w:szCs w:val="24"/>
          <w:lang w:val="en-US" w:eastAsia="zh-CN"/>
        </w:rPr>
        <w:t>4每次向供应商支付服务使用费前，需要开展该支付周期服务使用情况验收工作，对该支付周期服务运行质量、故障情况进行评估，用户根据实际运行情况出具支付周期验收报告，发送给供应商双方确认后签字。验收报告作为该支付周期服务使用费的支付依据。</w:t>
      </w:r>
    </w:p>
    <w:p w14:paraId="1D9C917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4．技术支持与服务要求</w:t>
      </w:r>
    </w:p>
    <w:p>
      <w:pPr>
        <w:shd w:val="clear" w:color="auto" w:fill="D9D9D9"/>
      </w:pPr>
      <w:r>
        <w:rPr>
          <w:rFonts w:ascii="仿宋_GB2312" w:hAnsi="仿宋_GB2312"/>
          <w:color w:val="000000"/>
          <w:sz w:val="24"/>
        </w:rPr>
        <w:t>应答：满足。系统提供全面的技术支持与服务，涵盖7x24小时在线客服、定期系统维护和升级服务。我们拥有专业的技术团队，确保快速响应客户需求，提供定制化的技术培训和文档支持，确保用户能够高效使用系统并解决潜在问题。</w:t>
      </w:r>
    </w:p>
    <w:p w14:paraId="2B013CA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4.1技术支持与售后服务</w:t>
      </w:r>
    </w:p>
    <w:p>
      <w:pPr>
        <w:shd w:val="clear" w:color="auto" w:fill="D9D9D9"/>
      </w:pPr>
      <w:r>
        <w:rPr>
          <w:rFonts w:ascii="仿宋_GB2312" w:hAnsi="仿宋_GB2312"/>
          <w:color w:val="000000"/>
          <w:sz w:val="24"/>
        </w:rPr>
        <w:t>应答：满足。系统提供全面的技术支持与售后服务，确保用户在使用过程中遇到的问题能够及时解决。我们设有24/7的客户服务热线和在线支持平台，提供技术咨询、故障排除及系统维护服务。此外，定期的系统升级和培训服务将确保用户始终掌握最新的功能与技术应用。</w:t>
      </w:r>
    </w:p>
    <w:p w14:paraId="78642B8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4.1.1服务响应时限：7*24小时受理投诉（通过统一客户电话或集团客户经理），在接到申告电话后，5分钟电话回复，故障响应时间不超过10分钟。</w:t>
      </w:r>
    </w:p>
    <w:p>
      <w:pPr>
        <w:shd w:val="clear" w:color="auto" w:fill="D9D9D9"/>
      </w:pPr>
      <w:r>
        <w:rPr>
          <w:rFonts w:ascii="仿宋_GB2312" w:hAnsi="仿宋_GB2312"/>
          <w:color w:val="000000"/>
          <w:sz w:val="24"/>
        </w:rPr>
        <w:t>应答：满足。系统提供7*24小时的客户服务支持，通过统一客户电话和集团客户经理受理投诉。在接到申告电话后，系统确保在5分钟内给予电话回复，故障响应时间不超过10分钟，确保客户问题得到及时处理和解决。</w:t>
      </w:r>
    </w:p>
    <w:p w14:paraId="1154A61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4.1.2系统运行过程中如果出现技术故障（如</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w:t>
      </w:r>
      <w:r>
        <w:rPr>
          <w:rFonts w:hint="eastAsia" w:ascii="仿宋_GB2312" w:hAnsi="仿宋_GB2312" w:eastAsia="仿宋_GB2312" w:cs="仿宋_GB2312"/>
          <w:sz w:val="24"/>
          <w:szCs w:val="24"/>
          <w:lang w:val="en-US" w:eastAsia="zh-CN"/>
        </w:rPr>
        <w:t>服务异常</w:t>
      </w:r>
      <w:r>
        <w:rPr>
          <w:rFonts w:hint="eastAsia" w:ascii="仿宋_GB2312" w:hAnsi="仿宋_GB2312" w:eastAsia="仿宋_GB2312" w:cs="仿宋_GB2312"/>
          <w:sz w:val="24"/>
          <w:szCs w:val="24"/>
        </w:rPr>
        <w:t>等），应满足以下故障处理时限要求：</w:t>
      </w:r>
    </w:p>
    <w:p>
      <w:pPr>
        <w:shd w:val="clear" w:color="auto" w:fill="D9D9D9"/>
      </w:pPr>
      <w:r>
        <w:rPr>
          <w:rFonts w:ascii="仿宋_GB2312" w:hAnsi="仿宋_GB2312"/>
          <w:color w:val="000000"/>
          <w:sz w:val="24"/>
        </w:rPr>
        <w:t>应答：满足。系统具备完善的故障监测与处理机制，能够在故障发生后迅速识别并自动报警。针对不同类型的技术故障，系统设定了明确的处理时限，确保在故障发生后30分钟内启动应急响应，1小时内完成初步诊断，并在4小时内恢复系统正常运行，最大限度降低业务影响。</w:t>
      </w:r>
    </w:p>
    <w:p w14:paraId="3A1EB06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故障修复时间小于4小时，并在不晚于故障修复后30分钟内反馈故障结果，3个工作日内提供故障分析报告，重大故障需加盖公章（中断超过4小时未恢复，视为重大故障）。</w:t>
      </w:r>
    </w:p>
    <w:p>
      <w:pPr>
        <w:shd w:val="clear" w:color="auto" w:fill="D9D9D9"/>
      </w:pPr>
      <w:r>
        <w:rPr>
          <w:rFonts w:ascii="仿宋_GB2312" w:hAnsi="仿宋_GB2312"/>
          <w:color w:val="000000"/>
          <w:sz w:val="24"/>
        </w:rPr>
        <w:t>应答：满足。系统具备快速响应机制，故障修复时间承诺在4小时内，且在故障修复后30分钟内反馈故障结果。针对故障分析，我方将在3个工作日内提供详尽的分析报告，重大故障（指中断超过4小时未恢复）将由相关负责人加盖公章，以确保报告的正式性和权威性。</w:t>
      </w:r>
    </w:p>
    <w:p w14:paraId="4B0197E7">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4.1.3割接通报时限：计划内割接提前至少5个工作日通知到用户，并在用户同意后方可进行。</w:t>
      </w:r>
    </w:p>
    <w:p>
      <w:pPr>
        <w:shd w:val="clear" w:color="auto" w:fill="D9D9D9"/>
      </w:pPr>
      <w:r>
        <w:rPr>
          <w:rFonts w:ascii="仿宋_GB2312" w:hAnsi="仿宋_GB2312"/>
          <w:color w:val="000000"/>
          <w:sz w:val="24"/>
        </w:rPr>
        <w:t>应答：满足。系统支持在计划内割接时提前至少5个工作日通过通知功能告知用户，并在用户确认同意后方可执行割接操作，确保用户充分了解割接安排，减少对业务的影响。</w:t>
      </w:r>
    </w:p>
    <w:p w14:paraId="2CCBDBF5">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4.2支持与服务要求说明</w:t>
      </w:r>
    </w:p>
    <w:p>
      <w:pPr>
        <w:shd w:val="clear" w:color="auto" w:fill="D9D9D9"/>
      </w:pPr>
      <w:r>
        <w:rPr>
          <w:rFonts w:ascii="仿宋_GB2312" w:hAnsi="仿宋_GB2312"/>
          <w:color w:val="000000"/>
          <w:sz w:val="24"/>
        </w:rPr>
        <w:t>应答：满足。系统支持全面的技术支持与服务，涵盖7x24小时的在线服务响应，确保用户在使用过程中遇到的问题能够及时解决。同时，提供定期的系统维护与升级服务，确保系统始终保持最佳性能和安全性。此外，系统还支持定制化培训服务，帮助用户快速掌握系统操作与管理，提高使用效率。</w:t>
      </w:r>
    </w:p>
    <w:p w14:paraId="39DD5C45">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4.2.1在“4.支持与服务”一节中的所有内容对节假日也不例外；</w:t>
      </w:r>
    </w:p>
    <w:p>
      <w:pPr>
        <w:shd w:val="clear" w:color="auto" w:fill="D9D9D9"/>
      </w:pPr>
      <w:r>
        <w:rPr>
          <w:rFonts w:ascii="仿宋_GB2312" w:hAnsi="仿宋_GB2312"/>
          <w:color w:val="000000"/>
          <w:sz w:val="24"/>
        </w:rPr>
        <w:t>应答：满足。系统在“4.支持与服务”一节中提供的所有服务内容，包括节假日的技术支持和响应，确保在任何时间段内均能满足用户需求。我们将安排专门的技术团队，确保节假日期间的服务质量和响应速度达到行业标准。</w:t>
      </w:r>
    </w:p>
    <w:p w14:paraId="4200DF4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4.2.2在“4.支持与服务”一节中的“故障恢复”指从发现</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故障并通知有关供应商后，经过相应的技术服务使</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继续正常提供服务，才视为“故障恢复”。</w:t>
      </w:r>
    </w:p>
    <w:p>
      <w:pPr>
        <w:shd w:val="clear" w:color="auto" w:fill="D9D9D9"/>
      </w:pPr>
      <w:r>
        <w:rPr>
          <w:rFonts w:ascii="仿宋_GB2312" w:hAnsi="仿宋_GB2312"/>
          <w:color w:val="000000"/>
          <w:sz w:val="24"/>
        </w:rPr>
        <w:t>应答：满足。系统具备完善的故障恢复机制，能够在发现系统故障后，迅速通知相关技术支持团队。我们将通过远程诊断和现场支持相结合的方式，确保在最短时间内恢复系统正常服务，最大程度减少业务中断时间。同时，系统支持定期备份和恢复演练，以确保故障恢复方案的有效性和可靠性。</w:t>
      </w:r>
    </w:p>
    <w:p w14:paraId="0A7CB60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4.3重要通讯保障服务</w:t>
      </w:r>
    </w:p>
    <w:p>
      <w:pPr>
        <w:shd w:val="clear" w:color="auto" w:fill="D9D9D9"/>
      </w:pPr>
      <w:r>
        <w:rPr>
          <w:rFonts w:ascii="仿宋_GB2312" w:hAnsi="仿宋_GB2312"/>
          <w:color w:val="000000"/>
          <w:sz w:val="24"/>
        </w:rPr>
        <w:t>应答：满足。系统支持重要通讯保障服务，具备高可用性和冗余设计，确保在关键时刻通讯畅通。采用业界领先的加密技术，保障数据传输的安全性。同时，系统支持多种通讯渠道，包括但不限于语音、短信和即时消息，确保信息及时传达。通过智能监控和故障预警机制，实时监测通讯状态，提升服务可靠性。</w:t>
      </w:r>
    </w:p>
    <w:p w14:paraId="3735DF3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4.3.1根据用户要求，在各类重要通讯保障（以下简称重保）时（春节、两会、国庆以及用户要求的其他重要保障时间），对用户</w:t>
      </w:r>
      <w:r>
        <w:rPr>
          <w:rFonts w:hint="eastAsia" w:ascii="仿宋_GB2312" w:hAnsi="仿宋_GB2312" w:eastAsia="仿宋_GB2312" w:cs="仿宋_GB2312"/>
          <w:sz w:val="24"/>
          <w:szCs w:val="24"/>
          <w:lang w:val="en-US" w:eastAsia="zh-CN"/>
        </w:rPr>
        <w:t>采购的二次放号查询服务</w:t>
      </w:r>
      <w:r>
        <w:rPr>
          <w:rFonts w:hint="eastAsia" w:ascii="仿宋_GB2312" w:hAnsi="仿宋_GB2312" w:eastAsia="仿宋_GB2312" w:cs="仿宋_GB2312"/>
          <w:sz w:val="24"/>
          <w:szCs w:val="24"/>
        </w:rPr>
        <w:t>进行重点保障，提前对</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环境进行巡检，及时发现安全隐患并及时处理，加强监控及值班安排降低故障处理时限。</w:t>
      </w:r>
    </w:p>
    <w:p>
      <w:pPr>
        <w:shd w:val="clear" w:color="auto" w:fill="D9D9D9"/>
      </w:pPr>
      <w:r>
        <w:rPr>
          <w:rFonts w:ascii="仿宋_GB2312" w:hAnsi="仿宋_GB2312"/>
          <w:color w:val="000000"/>
          <w:sz w:val="24"/>
        </w:rPr>
        <w:t>应答：满足。系统支持在各类重要通讯保障期间（如春节、两会、国庆等）对二次放号查询服务进行重点保障。我们将提前对系统环境进行全面巡检，确保及时发现并处理安全隐患。同时，系统具备实时监控功能，并安排专门值班团队，以降低故障处理时限，确保服务的高可用性和稳定性。</w:t>
      </w:r>
    </w:p>
    <w:p w14:paraId="0E5C22DC">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重要时期保障：可根据用户需要指派技术专家在重保期间（“双11”、“双12”、“春节”等）组建专项保障团队，第一时间响应各类事件。对于重保期保障服务，供应商不再另行收取费用。</w:t>
      </w:r>
    </w:p>
    <w:p>
      <w:pPr>
        <w:shd w:val="clear" w:color="auto" w:fill="D9D9D9"/>
      </w:pPr>
      <w:r>
        <w:rPr>
          <w:rFonts w:ascii="仿宋_GB2312" w:hAnsi="仿宋_GB2312"/>
          <w:color w:val="000000"/>
          <w:sz w:val="24"/>
        </w:rPr>
        <w:t>应答：满足。系统支持根据用户需求，灵活指派技术专家组建专项保障团队，确保在重要时期如“双11”、“双12”、“春节”等高峰期提供及时响应服务。我们的团队将第一时间处理各类事件，且在重保期内，相关保障服务不再收取额外费用，确保用户的业务连续性和稳定性。</w:t>
      </w:r>
    </w:p>
    <w:p w14:paraId="3A9DF364">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4.4服务罚则</w:t>
      </w:r>
    </w:p>
    <w:p w14:paraId="487DA3F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服务使</w:t>
      </w:r>
      <w:r>
        <w:rPr>
          <w:rFonts w:hint="eastAsia" w:ascii="仿宋_GB2312" w:hAnsi="仿宋_GB2312" w:eastAsia="仿宋_GB2312" w:cs="仿宋_GB2312"/>
          <w:sz w:val="24"/>
          <w:szCs w:val="24"/>
        </w:rPr>
        <w:t>用期间</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负责服务的维护工作，应尽量避免</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出现故障。</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w:t>
      </w:r>
      <w:r>
        <w:rPr>
          <w:rFonts w:hint="eastAsia" w:ascii="仿宋_GB2312" w:hAnsi="仿宋_GB2312" w:eastAsia="仿宋_GB2312" w:cs="仿宋_GB2312"/>
          <w:sz w:val="24"/>
          <w:szCs w:val="24"/>
          <w:lang w:val="en-US" w:eastAsia="zh-CN"/>
        </w:rPr>
        <w:t>应用</w:t>
      </w:r>
      <w:r>
        <w:rPr>
          <w:rFonts w:hint="eastAsia" w:ascii="仿宋_GB2312" w:hAnsi="仿宋_GB2312" w:eastAsia="仿宋_GB2312" w:cs="仿宋_GB2312"/>
          <w:sz w:val="24"/>
          <w:szCs w:val="24"/>
        </w:rPr>
        <w:t>服务出现非用户端原因导致的故障，按照以下标准进行故障扣款：</w:t>
      </w:r>
    </w:p>
    <w:p>
      <w:pPr>
        <w:shd w:val="clear" w:color="auto" w:fill="D9D9D9"/>
      </w:pPr>
      <w:r>
        <w:rPr>
          <w:rFonts w:ascii="仿宋_GB2312" w:hAnsi="仿宋_GB2312"/>
          <w:color w:val="000000"/>
          <w:sz w:val="24"/>
        </w:rPr>
        <w:t>应答：满足。系统提供全面的维护支持，确保服务的高可用性和稳定性。我们设有专业的运维团队，负责实时监控和故障响应，最大限度地减少服务中断时间。对于非用户端原因导致的故障，我们将严格按照合同约定的标准进行故障扣款，确保透明和公正的服务质量管理。</w:t>
      </w:r>
    </w:p>
    <w:p w14:paraId="40CDC3E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故障超过30分钟减免该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的10%。</w:t>
      </w:r>
    </w:p>
    <w:p>
      <w:pPr>
        <w:shd w:val="clear" w:color="auto" w:fill="D9D9D9"/>
      </w:pPr>
      <w:r>
        <w:rPr>
          <w:rFonts w:ascii="仿宋_GB2312" w:hAnsi="仿宋_GB2312"/>
          <w:color w:val="000000"/>
          <w:sz w:val="24"/>
        </w:rPr>
        <w:t>应答：满足。系统具备高可用性设计，采用冗余架构和自动故障转移机制，确保单次应用服务故障时间控制在30分钟以内。若发生超过30分钟的不可用情况，我方承诺按照比选文件要求，减免该服务当月使用费的10%。</w:t>
      </w:r>
    </w:p>
    <w:p w14:paraId="78160E9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1小时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的20%。</w:t>
      </w:r>
    </w:p>
    <w:p>
      <w:pPr>
        <w:shd w:val="clear" w:color="auto" w:fill="D9D9D9"/>
      </w:pPr>
      <w:r>
        <w:rPr>
          <w:rFonts w:ascii="仿宋_GB2312" w:hAnsi="仿宋_GB2312"/>
          <w:color w:val="000000"/>
          <w:sz w:val="24"/>
        </w:rPr>
        <w:t>应答：满足。系统具备高可用性设计，确保单次应用服务故障响应时间不超过1小时。若发生故障，我方将按照合同约定，主动减免该服务当月使用费的20%，以保障客户权益并提升服务满意度。</w:t>
      </w:r>
    </w:p>
    <w:p w14:paraId="3BE0BD50">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2小时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的30%。</w:t>
      </w:r>
    </w:p>
    <w:p>
      <w:pPr>
        <w:shd w:val="clear" w:color="auto" w:fill="D9D9D9"/>
      </w:pPr>
      <w:r>
        <w:rPr>
          <w:rFonts w:ascii="仿宋_GB2312" w:hAnsi="仿宋_GB2312"/>
          <w:color w:val="000000"/>
          <w:sz w:val="24"/>
        </w:rPr>
        <w:t>应答：满足。系统具备高可用性设计，确保单次应用服务故障响应时间不超过2小时。若发生故障，我方承诺在故障恢复后，自动计算并减免该服务当月使用费的30%，以保障客户权益并提升服务满意度。</w:t>
      </w:r>
    </w:p>
    <w:p w14:paraId="6AFEE6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3小时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的40%。</w:t>
      </w:r>
    </w:p>
    <w:p>
      <w:pPr>
        <w:shd w:val="clear" w:color="auto" w:fill="D9D9D9"/>
      </w:pPr>
      <w:r>
        <w:rPr>
          <w:rFonts w:ascii="仿宋_GB2312" w:hAnsi="仿宋_GB2312"/>
          <w:color w:val="000000"/>
          <w:sz w:val="24"/>
        </w:rPr>
        <w:t>应答：满足。系统设定了严格的服务可用性监控机制，一旦单次应用服务不可用故障超过3小时，将自动触发费用减免流程，确保该服务当月使用费减免40%。此机制旨在保障客户权益，提升服务质量。</w:t>
      </w:r>
    </w:p>
    <w:p w14:paraId="78834D5A">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4小时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的50%。</w:t>
      </w:r>
    </w:p>
    <w:p>
      <w:pPr>
        <w:shd w:val="clear" w:color="auto" w:fill="D9D9D9"/>
      </w:pPr>
      <w:r>
        <w:rPr>
          <w:rFonts w:ascii="仿宋_GB2312" w:hAnsi="仿宋_GB2312"/>
          <w:color w:val="000000"/>
          <w:sz w:val="24"/>
        </w:rPr>
        <w:t>应答：满足。系统具备高可用性设计，确保单次应用服务故障恢复时间不超过4小时。若故障超出该时限，我方承诺减免该服务当月使用费的50%，以体现对客户服务质量的重视与责任。</w:t>
      </w:r>
    </w:p>
    <w:p w14:paraId="4DAAF8C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5小时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w:t>
      </w:r>
    </w:p>
    <w:p>
      <w:pPr>
        <w:shd w:val="clear" w:color="auto" w:fill="D9D9D9"/>
      </w:pPr>
      <w:r>
        <w:rPr>
          <w:rFonts w:ascii="仿宋_GB2312" w:hAnsi="仿宋_GB2312"/>
          <w:color w:val="000000"/>
          <w:sz w:val="24"/>
        </w:rPr>
        <w:t>应答：满足。系统具备高可用性设计，确保单次应用服务故障时间不超过5小时。若发生故障，我方承诺按照合同约定减免当月使用费，确保客户权益得到保障。同时，系统将实施实时监控和故障自动恢复机制，以降低服务不可用的风险。</w:t>
      </w:r>
    </w:p>
    <w:p w14:paraId="5621D7B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（7）当月</w:t>
      </w:r>
      <w:r>
        <w:rPr>
          <w:rFonts w:hint="eastAsia" w:ascii="仿宋_GB2312" w:hAnsi="仿宋_GB2312" w:eastAsia="仿宋_GB2312" w:cs="仿宋_GB2312"/>
          <w:sz w:val="24"/>
          <w:szCs w:val="24"/>
          <w:lang w:val="en-US" w:eastAsia="zh-CN"/>
        </w:rPr>
        <w:t>应用服务</w:t>
      </w:r>
      <w:r>
        <w:rPr>
          <w:rFonts w:hint="eastAsia" w:ascii="仿宋_GB2312" w:hAnsi="仿宋_GB2312" w:eastAsia="仿宋_GB2312" w:cs="仿宋_GB2312"/>
          <w:sz w:val="24"/>
          <w:szCs w:val="24"/>
        </w:rPr>
        <w:t>故障累计</w:t>
      </w:r>
      <w:r>
        <w:rPr>
          <w:rFonts w:hint="eastAsia" w:ascii="仿宋_GB2312" w:hAnsi="仿宋_GB2312" w:eastAsia="仿宋_GB2312" w:cs="仿宋_GB2312"/>
          <w:sz w:val="24"/>
          <w:szCs w:val="24"/>
          <w:lang w:val="en-US" w:eastAsia="zh-CN"/>
        </w:rPr>
        <w:t>不可用时间超过</w:t>
      </w:r>
      <w:r>
        <w:rPr>
          <w:rFonts w:hint="eastAsia" w:ascii="仿宋_GB2312" w:hAnsi="仿宋_GB2312" w:eastAsia="仿宋_GB2312" w:cs="仿宋_GB2312"/>
          <w:sz w:val="24"/>
          <w:szCs w:val="24"/>
        </w:rPr>
        <w:t>12小时减免该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w:t>
      </w:r>
      <w:r>
        <w:rPr>
          <w:rFonts w:hint="eastAsia" w:ascii="仿宋_GB2312" w:hAnsi="仿宋_GB2312" w:eastAsia="仿宋_GB2312" w:cs="仿宋_GB2312"/>
          <w:sz w:val="24"/>
          <w:szCs w:val="24"/>
        </w:rPr>
        <w:t>费的25%。</w:t>
      </w:r>
    </w:p>
    <w:p>
      <w:pPr>
        <w:shd w:val="clear" w:color="auto" w:fill="D9D9D9"/>
      </w:pPr>
      <w:r>
        <w:rPr>
          <w:rFonts w:ascii="仿宋_GB2312" w:hAnsi="仿宋_GB2312"/>
          <w:color w:val="000000"/>
          <w:sz w:val="24"/>
        </w:rPr>
        <w:t>应答：满足。系统设定了故障监控机制，能够实时跟踪应用服务的可用性。当月应用服务故障累计不可用时间超过12小时时，系统将自动计算并减免该服务当月使用费的25%。此机制确保用户权益，提升服务透明度。</w:t>
      </w:r>
    </w:p>
    <w:p w14:paraId="593060CE">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4.5安全服务</w:t>
      </w:r>
    </w:p>
    <w:p w14:paraId="4775E4E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4.5.1供应商对本项目中提供的产品或服务定期进行安全漏洞检查，频率不应低于3个月1次 ，并按照该频率主动报告其提供的产品或服务是否受中高危漏洞影响。当发现提供的产品或服务存在漏洞时，供应商有义务及时书面报告用户，并尽快采取适当的措施修正或减轻发现的威胁，不得隐瞒漏洞、不得设置后门或恶意程序。遇到紧急高危漏洞，应及时进行报告（不限于电话、邮件或其他约定方式）并出具解决方案，保障为用户提供的产品或服务安全、稳定运行。</w:t>
      </w:r>
    </w:p>
    <w:p>
      <w:pPr>
        <w:shd w:val="clear" w:color="auto" w:fill="D9D9D9"/>
      </w:pPr>
      <w:r>
        <w:rPr>
          <w:rFonts w:ascii="仿宋_GB2312" w:hAnsi="仿宋_GB2312"/>
          <w:color w:val="000000"/>
          <w:sz w:val="24"/>
        </w:rPr>
        <w:t>应答：满足。我方将定期对提供的产品和服务进行安全漏洞检查，检查频率为每三个月一次，并主动报告中高危漏洞的影响情况。若发现漏洞，我方承诺及时书面通知用户，并迅速采取修正措施，确保无隐瞒行为，不设置后门或恶意程序。在遇到紧急高危漏洞时，我方将通过电话、邮件等方式迅速报告，并提供详细的解决方案，确保用户产品和服务的安全与稳定运行。</w:t>
      </w:r>
    </w:p>
    <w:p w14:paraId="2EF8904A">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前款所称书面报告，方式限于书面发函及电子邮件形式，告知内容包括但不限于描述安全风险事实、描述漏洞详情、可能后果及建议措施等，书面报告内容应当发现相关漏洞当日到达用户。</w:t>
      </w:r>
    </w:p>
    <w:p>
      <w:pPr>
        <w:shd w:val="clear" w:color="auto" w:fill="D9D9D9"/>
      </w:pPr>
      <w:r>
        <w:rPr>
          <w:rFonts w:ascii="仿宋_GB2312" w:hAnsi="仿宋_GB2312"/>
          <w:color w:val="000000"/>
          <w:sz w:val="24"/>
        </w:rPr>
        <w:t>应答：满足。系统支持通过书面发函及电子邮件形式及时告知用户安全风险信息。报告内容包括对安全漏洞的详细描述、可能导致的后果及相应的建议措施，确保在发现相关漏洞当日内将报告送达用户，保障用户信息安全。</w:t>
      </w:r>
    </w:p>
    <w:p w14:paraId="780B6A4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供应商在收到用户反馈其提供的产品或服务存在风险信息后，应立即核查确认，及时给出临时处置建议，确认受风险影响后应立即启动应急预案，安排专业工程师现场进行影响情况分析，同时，二线专家全程进行及时的技术支持，并及时出具事件处置报告。</w:t>
      </w:r>
    </w:p>
    <w:p>
      <w:pPr>
        <w:shd w:val="clear" w:color="auto" w:fill="D9D9D9"/>
      </w:pPr>
      <w:r>
        <w:rPr>
          <w:rFonts w:ascii="仿宋_GB2312" w:hAnsi="仿宋_GB2312"/>
          <w:color w:val="000000"/>
          <w:sz w:val="24"/>
        </w:rPr>
        <w:t>应答：满足。我方建立了完善的风险管理机制，确保在收到用户反馈后，立即启动核查程序。系统支持快速响应，及时提供临时处置建议，并在确认风险影响后，迅速启动应急预案。专业工程师将现场进行影响情况分析，二线专家全程提供技术支持，确保问题得到有效解决。同时，我方将及时出具事件处置报告，确保信息透明和责任明确。</w:t>
      </w:r>
    </w:p>
    <w:p w14:paraId="21911FCF">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 xml:space="preserve"> </w:t>
      </w:r>
      <w:r>
        <w:rPr>
          <w:rFonts w:hint="eastAsia" w:ascii="仿宋_GB2312" w:hAnsi="仿宋_GB2312" w:eastAsia="仿宋_GB2312" w:cs="仿宋_GB2312"/>
          <w:sz w:val="24"/>
          <w:szCs w:val="24"/>
        </w:rPr>
        <w:t>保密要求</w:t>
      </w:r>
    </w:p>
    <w:p w14:paraId="2851AE4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5.1供应商应严守用户的机密，不经用户批准不得以任何的形式将用户资料及信息带出工作现场及透露给第三方。</w:t>
      </w:r>
    </w:p>
    <w:p>
      <w:pPr>
        <w:shd w:val="clear" w:color="auto" w:fill="D9D9D9"/>
      </w:pPr>
      <w:r>
        <w:rPr>
          <w:rFonts w:ascii="仿宋_GB2312" w:hAnsi="仿宋_GB2312"/>
          <w:color w:val="000000"/>
          <w:sz w:val="24"/>
        </w:rPr>
        <w:t>应答：满足。系统具备严格的数据安全管理机制，确保用户机密信息的保密性。所有用户资料及信息均在加密环境下存储与传输，未经用户明确授权，系统不允许任何形式的外部访问或数据导出。同时，系统实施访问控制和审计日志，以监控和记录所有数据访问行为，确保信息安全符合行业标准。</w:t>
      </w:r>
    </w:p>
    <w:p w14:paraId="706ABD0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5.2供应商应与用户签署的合作协议中包含保密要求或者单独签订保密协议，严格遵守用户单位相关保密规定及要求。供应商应对本单位参与人员出具保密承诺函，如果供应商及其参与人员发生失泄密行为，供应商应承担全部责任。</w:t>
      </w:r>
    </w:p>
    <w:p>
      <w:pPr>
        <w:shd w:val="clear" w:color="auto" w:fill="D9D9D9"/>
      </w:pPr>
      <w:r>
        <w:rPr>
          <w:rFonts w:ascii="仿宋_GB2312" w:hAnsi="仿宋_GB2312"/>
          <w:color w:val="000000"/>
          <w:sz w:val="24"/>
        </w:rPr>
        <w:t>应答：满足。我方将与用户签署包含保密要求的合作协议，并可单独签订保密协议，严格遵守用户单位的相关保密规定及要求。同时，我方将对参与项目的所有人员出具保密承诺函，确保信息安全。如发生失泄密行为，我方将承担全部责任，确保用户的商业秘密和敏感信息得到充分保护。</w:t>
      </w:r>
    </w:p>
    <w:p w14:paraId="6750D60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5.3上述供应商包括但不限于代理商、生产商以及相关服务商。</w:t>
      </w:r>
    </w:p>
    <w:p>
      <w:pPr>
        <w:shd w:val="clear" w:color="auto" w:fill="D9D9D9"/>
      </w:pPr>
      <w:r>
        <w:rPr>
          <w:rFonts w:ascii="仿宋_GB2312" w:hAnsi="仿宋_GB2312"/>
          <w:color w:val="000000"/>
          <w:sz w:val="24"/>
        </w:rPr>
        <w:t>应答：满足。系统支持多种供应商类型的管理，包括代理商、生产商及相关服务商，能够实现对不同供应商的资质审核、合同管理及绩效评估，确保供应链的高效运作和服务质量。</w:t>
      </w:r>
    </w:p>
    <w:p w14:paraId="7959791F">
      <w:pPr>
        <w:keepNext/>
        <w:keepLines/>
        <w:pageBreakBefore w:val="0"/>
        <w:widowControl/>
        <w:numPr>
          <w:ilvl w:val="0"/>
          <w:numId w:val="3"/>
        </w:numPr>
        <w:kinsoku/>
        <w:wordWrap/>
        <w:overflowPunct/>
        <w:topLinePunct w:val="0"/>
        <w:autoSpaceDE/>
        <w:autoSpaceDN/>
        <w:bidi w:val="0"/>
        <w:adjustRightInd/>
        <w:snapToGrid/>
        <w:spacing w:line="560" w:lineRule="exact"/>
        <w:ind w:left="68" w:firstLine="0" w:firstLineChars="0"/>
        <w:jc w:val="left"/>
        <w:textAlignment w:val="auto"/>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付款方式</w:t>
      </w:r>
    </w:p>
    <w:tbl>
      <w:tblPr>
        <w:tblStyle w:val="11"/>
        <w:tblpPr w:leftFromText="180" w:rightFromText="180" w:vertAnchor="text" w:tblpY="1"/>
        <w:tblOverlap w:val="never"/>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74"/>
        <w:gridCol w:w="2467"/>
        <w:gridCol w:w="1394"/>
        <w:gridCol w:w="1258"/>
        <w:gridCol w:w="645"/>
      </w:tblGrid>
      <w:tr w14:paraId="0E71C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846" w:type="dxa"/>
            <w:vAlign w:val="center"/>
          </w:tcPr>
          <w:p w14:paraId="1FCF122F">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kern w:val="0"/>
                <w:sz w:val="24"/>
                <w:szCs w:val="24"/>
                <w:highlight w:val="none"/>
              </w:rPr>
              <w:t>序号</w:t>
            </w:r>
          </w:p>
        </w:tc>
        <w:tc>
          <w:tcPr>
            <w:tcW w:w="2174" w:type="dxa"/>
            <w:vAlign w:val="center"/>
          </w:tcPr>
          <w:p w14:paraId="5BCCF4D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付款节点（进度）</w:t>
            </w:r>
          </w:p>
        </w:tc>
        <w:tc>
          <w:tcPr>
            <w:tcW w:w="2467" w:type="dxa"/>
            <w:vAlign w:val="center"/>
          </w:tcPr>
          <w:p w14:paraId="25D7085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付款条件</w:t>
            </w:r>
          </w:p>
        </w:tc>
        <w:tc>
          <w:tcPr>
            <w:tcW w:w="1394" w:type="dxa"/>
            <w:vAlign w:val="center"/>
          </w:tcPr>
          <w:p w14:paraId="03F985EB">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付款比例（或金额）</w:t>
            </w:r>
          </w:p>
        </w:tc>
        <w:tc>
          <w:tcPr>
            <w:tcW w:w="1258" w:type="dxa"/>
          </w:tcPr>
          <w:p w14:paraId="3DB9BC8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资金支付方式</w:t>
            </w:r>
          </w:p>
        </w:tc>
        <w:tc>
          <w:tcPr>
            <w:tcW w:w="645" w:type="dxa"/>
            <w:vAlign w:val="center"/>
          </w:tcPr>
          <w:p w14:paraId="296DE1F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备注</w:t>
            </w:r>
          </w:p>
        </w:tc>
      </w:tr>
      <w:tr w14:paraId="4882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 w:hRule="atLeast"/>
        </w:trPr>
        <w:tc>
          <w:tcPr>
            <w:tcW w:w="846" w:type="dxa"/>
            <w:vAlign w:val="center"/>
          </w:tcPr>
          <w:p w14:paraId="4F3B106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2174" w:type="dxa"/>
            <w:vAlign w:val="center"/>
          </w:tcPr>
          <w:p w14:paraId="6E5922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半年方式付费，即每年的7月份缴纳当年1月-6月的服务使用费用，次年的1月份缴纳前一年度7月-12月服务使用费用</w:t>
            </w:r>
          </w:p>
        </w:tc>
        <w:tc>
          <w:tcPr>
            <w:tcW w:w="2467" w:type="dxa"/>
            <w:vAlign w:val="center"/>
          </w:tcPr>
          <w:p w14:paraId="0D5B2104">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1.完成支付周期服务使用情况验收</w:t>
            </w:r>
          </w:p>
          <w:p w14:paraId="685B1F12">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2.收到供应商账单</w:t>
            </w:r>
          </w:p>
        </w:tc>
        <w:tc>
          <w:tcPr>
            <w:tcW w:w="1394" w:type="dxa"/>
            <w:vAlign w:val="center"/>
          </w:tcPr>
          <w:p w14:paraId="32322F8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当期服务使用费/次</w:t>
            </w:r>
          </w:p>
        </w:tc>
        <w:tc>
          <w:tcPr>
            <w:tcW w:w="1258" w:type="dxa"/>
            <w:vAlign w:val="center"/>
          </w:tcPr>
          <w:p w14:paraId="16650531">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数字人民币或银行转账</w:t>
            </w:r>
          </w:p>
        </w:tc>
        <w:tc>
          <w:tcPr>
            <w:tcW w:w="645" w:type="dxa"/>
            <w:vAlign w:val="center"/>
          </w:tcPr>
          <w:p w14:paraId="77A3AA68">
            <w:pPr>
              <w:jc w:val="center"/>
              <w:rPr>
                <w:rFonts w:hint="eastAsia" w:ascii="仿宋_GB2312" w:hAnsi="仿宋_GB2312" w:eastAsia="仿宋_GB2312" w:cs="仿宋_GB2312"/>
                <w:sz w:val="24"/>
                <w:szCs w:val="24"/>
                <w:highlight w:val="none"/>
                <w:lang w:val="en-US" w:eastAsia="zh-CN"/>
              </w:rPr>
            </w:pPr>
          </w:p>
        </w:tc>
      </w:tr>
    </w:tbl>
    <w:p w14:paraId="54A60E9B">
      <w:pPr>
        <w:pStyle w:val="2"/>
        <w:rPr>
          <w:rFonts w:hint="eastAsia"/>
          <w:lang w:val="en-US" w:eastAsia="zh-CN"/>
        </w:rPr>
      </w:pPr>
    </w:p>
    <w:p w14:paraId="5E72EA12">
      <w:pPr>
        <w:keepNext/>
        <w:keepLines/>
        <w:widowControl/>
        <w:numPr>
          <w:ilvl w:val="0"/>
          <w:numId w:val="3"/>
        </w:numPr>
        <w:ind w:left="68"/>
        <w:jc w:val="left"/>
        <w:outlineLvl w:val="9"/>
        <w:rPr>
          <w:rFonts w:hint="eastAsia"/>
          <w:lang w:val="en-US" w:eastAsia="zh-CN"/>
        </w:rPr>
      </w:pPr>
      <w:r>
        <w:rPr>
          <w:rFonts w:hint="eastAsia" w:ascii="仿宋_GB2312" w:hAnsi="仿宋_GB2312" w:eastAsia="仿宋_GB2312" w:cs="仿宋_GB2312"/>
          <w:b w:val="0"/>
          <w:bCs w:val="0"/>
          <w:sz w:val="24"/>
          <w:szCs w:val="24"/>
        </w:rPr>
        <w:t>合同文本</w:t>
      </w:r>
    </w:p>
    <w:p w14:paraId="7AA502A8">
      <w:pPr>
        <w:spacing w:line="560" w:lineRule="exact"/>
        <w:rPr>
          <w:rFonts w:ascii="仿宋_GB2312" w:eastAsia="仿宋_GB2312"/>
          <w:lang w:val="en"/>
        </w:rPr>
      </w:pPr>
    </w:p>
    <w:p w14:paraId="577C5209">
      <w:pPr>
        <w:keepNext w:val="0"/>
        <w:keepLines w:val="0"/>
        <w:widowControl/>
        <w:suppressLineNumbers w:val="0"/>
        <w:spacing w:line="560" w:lineRule="exact"/>
        <w:jc w:val="center"/>
        <w:rPr>
          <w:rFonts w:hint="eastAsia" w:ascii="仿宋_GB2312" w:hAnsi="Times New Roman" w:eastAsia="仿宋_GB2312" w:cs="Times New Roman"/>
          <w:sz w:val="44"/>
          <w:szCs w:val="44"/>
          <w:lang w:val="en-US"/>
        </w:rPr>
      </w:pPr>
      <w:r>
        <w:rPr>
          <w:rFonts w:hint="eastAsia" w:ascii="仿宋_GB2312" w:hAnsi="Times New Roman" w:eastAsia="仿宋_GB2312" w:cs="Times New Roman"/>
          <w:b w:val="0"/>
          <w:bCs w:val="0"/>
          <w:kern w:val="2"/>
          <w:sz w:val="44"/>
          <w:szCs w:val="44"/>
          <w:lang w:val="en-US" w:eastAsia="zh-CN" w:bidi="ar"/>
        </w:rPr>
        <w:t>数字人民币运营管理中心有限公司与</w:t>
      </w:r>
    </w:p>
    <w:p w14:paraId="2763DF11">
      <w:pPr>
        <w:spacing w:line="560" w:lineRule="exact"/>
        <w:jc w:val="center"/>
        <w:rPr>
          <w:rFonts w:ascii="仿宋_GB2312" w:hAnsi="Times New Roman" w:eastAsia="仿宋_GB2312" w:cs="Times New Roman"/>
          <w:sz w:val="44"/>
          <w:szCs w:val="44"/>
        </w:rPr>
      </w:pPr>
      <w:r>
        <w:rPr>
          <w:rFonts w:hint="eastAsia" w:ascii="仿宋_GB2312" w:hAnsi="Times New Roman" w:eastAsia="仿宋_GB2312" w:cs="Times New Roman"/>
          <w:sz w:val="44"/>
          <w:szCs w:val="44"/>
          <w:u w:val="single"/>
        </w:rPr>
        <w:t xml:space="preserve">       </w:t>
      </w:r>
      <w:r>
        <w:rPr>
          <w:rFonts w:hint="eastAsia" w:ascii="仿宋_GB2312" w:hAnsi="Times New Roman" w:eastAsia="仿宋_GB2312" w:cs="Times New Roman"/>
          <w:sz w:val="44"/>
          <w:szCs w:val="44"/>
          <w:u w:val="none"/>
          <w:lang w:val="en-US" w:eastAsia="zh-CN"/>
        </w:rPr>
        <w:t>2025年二次放号查询</w:t>
      </w:r>
      <w:r>
        <w:rPr>
          <w:rFonts w:hint="eastAsia" w:ascii="仿宋_GB2312" w:hAnsi="Times New Roman" w:eastAsia="仿宋_GB2312" w:cs="Times New Roman"/>
          <w:sz w:val="44"/>
          <w:szCs w:val="44"/>
        </w:rPr>
        <w:t>服务采购合同</w:t>
      </w:r>
    </w:p>
    <w:p w14:paraId="3D7168B7">
      <w:pPr>
        <w:spacing w:line="560" w:lineRule="exact"/>
        <w:rPr>
          <w:rFonts w:ascii="仿宋_GB2312" w:hAnsi="仿宋" w:eastAsia="仿宋_GB2312"/>
          <w:sz w:val="32"/>
          <w:szCs w:val="32"/>
        </w:rPr>
      </w:pPr>
      <w:r>
        <w:rPr>
          <w:rFonts w:hint="eastAsia" w:ascii="仿宋_GB2312" w:hAnsi="仿宋" w:eastAsia="仿宋_GB2312"/>
          <w:spacing w:val="-7"/>
          <w:sz w:val="32"/>
          <w:szCs w:val="32"/>
        </w:rPr>
        <w:t>合同编号：</w:t>
      </w:r>
      <w:r>
        <w:rPr>
          <w:rFonts w:hint="eastAsia" w:ascii="仿宋_GB2312" w:hAnsi="仿宋" w:eastAsia="仿宋_GB2312"/>
          <w:color w:val="FF0000"/>
          <w:spacing w:val="-7"/>
          <w:sz w:val="32"/>
          <w:szCs w:val="32"/>
        </w:rPr>
        <w:t xml:space="preserve"> </w:t>
      </w:r>
      <w:r>
        <w:rPr>
          <w:rFonts w:hint="eastAsia" w:ascii="仿宋_GB2312" w:hAnsi="仿宋" w:eastAsia="仿宋_GB2312"/>
          <w:spacing w:val="-7"/>
          <w:sz w:val="32"/>
          <w:szCs w:val="32"/>
        </w:rPr>
        <w:t xml:space="preserve">                   签</w:t>
      </w:r>
      <w:r>
        <w:rPr>
          <w:rFonts w:hint="eastAsia" w:ascii="仿宋_GB2312" w:hAnsi="仿宋" w:eastAsia="仿宋_GB2312"/>
          <w:spacing w:val="-8"/>
          <w:sz w:val="32"/>
          <w:szCs w:val="32"/>
        </w:rPr>
        <w:t>订</w:t>
      </w:r>
      <w:r>
        <w:rPr>
          <w:rFonts w:hint="eastAsia" w:ascii="仿宋_GB2312" w:hAnsi="仿宋" w:eastAsia="仿宋_GB2312"/>
          <w:spacing w:val="-7"/>
          <w:sz w:val="32"/>
          <w:szCs w:val="32"/>
        </w:rPr>
        <w:t>地</w:t>
      </w:r>
      <w:r>
        <w:rPr>
          <w:rFonts w:hint="eastAsia" w:ascii="仿宋_GB2312" w:hAnsi="仿宋" w:eastAsia="仿宋_GB2312"/>
          <w:spacing w:val="-8"/>
          <w:sz w:val="32"/>
          <w:szCs w:val="32"/>
        </w:rPr>
        <w:t>点</w:t>
      </w:r>
      <w:r>
        <w:rPr>
          <w:rFonts w:hint="eastAsia" w:ascii="仿宋_GB2312" w:hAnsi="仿宋" w:eastAsia="仿宋_GB2312"/>
          <w:spacing w:val="-7"/>
          <w:sz w:val="32"/>
          <w:szCs w:val="32"/>
        </w:rPr>
        <w:t>：北京市丰台区</w:t>
      </w:r>
    </w:p>
    <w:p w14:paraId="4B982916">
      <w:pPr>
        <w:spacing w:line="560" w:lineRule="exact"/>
        <w:rPr>
          <w:rFonts w:hint="default" w:ascii="仿宋_GB2312" w:hAnsi="仿宋" w:eastAsia="仿宋_GB2312"/>
          <w:b/>
          <w:sz w:val="32"/>
          <w:szCs w:val="32"/>
          <w:lang w:val="en-US" w:eastAsia="zh-CN"/>
        </w:rPr>
      </w:pPr>
      <w:r>
        <w:rPr>
          <w:rFonts w:hint="eastAsia" w:ascii="仿宋_GB2312" w:hAnsi="仿宋" w:eastAsia="仿宋_GB2312"/>
          <w:b/>
          <w:spacing w:val="-7"/>
          <w:sz w:val="32"/>
          <w:szCs w:val="32"/>
        </w:rPr>
        <w:t xml:space="preserve">甲   </w:t>
      </w:r>
      <w:r>
        <w:rPr>
          <w:rFonts w:hint="eastAsia" w:ascii="仿宋_GB2312" w:hAnsi="仿宋" w:eastAsia="仿宋_GB2312"/>
          <w:b/>
          <w:spacing w:val="-8"/>
          <w:sz w:val="32"/>
          <w:szCs w:val="32"/>
        </w:rPr>
        <w:t>方</w:t>
      </w:r>
      <w:r>
        <w:rPr>
          <w:rFonts w:hint="eastAsia" w:ascii="仿宋_GB2312" w:hAnsi="仿宋" w:eastAsia="仿宋_GB2312"/>
          <w:b/>
          <w:spacing w:val="17"/>
          <w:sz w:val="32"/>
          <w:szCs w:val="32"/>
        </w:rPr>
        <w:t>：</w:t>
      </w:r>
      <w:r>
        <w:rPr>
          <w:rFonts w:hint="eastAsia" w:ascii="仿宋_GB2312" w:hAnsi="仿宋" w:eastAsia="仿宋_GB2312"/>
          <w:b/>
          <w:spacing w:val="17"/>
          <w:sz w:val="32"/>
          <w:szCs w:val="32"/>
          <w:lang w:val="en-US" w:eastAsia="zh-CN"/>
        </w:rPr>
        <w:t>数字人民币运营管理中心有限公司</w:t>
      </w:r>
    </w:p>
    <w:p w14:paraId="276D0151">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1BD84F7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546DC6FF">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 xml:space="preserve">联 系 人： </w:t>
      </w:r>
    </w:p>
    <w:p w14:paraId="1278100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联系电话：</w:t>
      </w:r>
    </w:p>
    <w:p w14:paraId="230B01BB">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传真号码：</w:t>
      </w:r>
    </w:p>
    <w:p w14:paraId="784E371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E-mail：</w:t>
      </w:r>
    </w:p>
    <w:p w14:paraId="575A3196">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数字人民币钱包开立运营机构：</w:t>
      </w:r>
    </w:p>
    <w:p w14:paraId="06F302CC">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数字人民币对公钱包编号：</w:t>
      </w:r>
    </w:p>
    <w:p w14:paraId="433759F4">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税    号：</w:t>
      </w:r>
    </w:p>
    <w:p w14:paraId="3D82CDB7">
      <w:pPr>
        <w:spacing w:line="560" w:lineRule="exact"/>
        <w:rPr>
          <w:rFonts w:ascii="仿宋_GB2312" w:hAnsi="仿宋" w:eastAsia="仿宋_GB2312"/>
          <w:b/>
          <w:sz w:val="32"/>
          <w:szCs w:val="32"/>
        </w:rPr>
      </w:pPr>
      <w:r>
        <w:rPr>
          <w:rFonts w:hint="eastAsia" w:ascii="仿宋_GB2312" w:hAnsi="仿宋" w:eastAsia="仿宋_GB2312"/>
          <w:b/>
          <w:spacing w:val="-7"/>
          <w:sz w:val="32"/>
          <w:szCs w:val="32"/>
        </w:rPr>
        <w:t xml:space="preserve">乙    方： </w:t>
      </w:r>
    </w:p>
    <w:p w14:paraId="5E1ACAC8">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44E24AAD">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38579787">
      <w:pPr>
        <w:spacing w:line="560" w:lineRule="exact"/>
        <w:rPr>
          <w:rFonts w:ascii="仿宋_GB2312" w:hAnsi="仿宋" w:eastAsia="仿宋_GB2312"/>
          <w:color w:val="FF0000"/>
          <w:spacing w:val="-7"/>
          <w:sz w:val="32"/>
          <w:szCs w:val="32"/>
        </w:rPr>
      </w:pPr>
      <w:r>
        <w:rPr>
          <w:rFonts w:hint="eastAsia" w:ascii="仿宋_GB2312" w:hAnsi="仿宋" w:eastAsia="仿宋_GB2312"/>
          <w:spacing w:val="-7"/>
          <w:sz w:val="32"/>
          <w:szCs w:val="32"/>
        </w:rPr>
        <w:t>联 系 人：</w:t>
      </w:r>
    </w:p>
    <w:p w14:paraId="135CF73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联系电话：</w:t>
      </w:r>
      <w:r>
        <w:rPr>
          <w:rFonts w:hint="eastAsia" w:ascii="仿宋_GB2312" w:hAnsi="仿宋" w:eastAsia="仿宋_GB2312"/>
          <w:sz w:val="32"/>
          <w:szCs w:val="32"/>
        </w:rPr>
        <w:t xml:space="preserve"> </w:t>
      </w:r>
    </w:p>
    <w:p w14:paraId="70853619">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传真号码：</w:t>
      </w:r>
      <w:r>
        <w:rPr>
          <w:rFonts w:hint="eastAsia" w:ascii="仿宋_GB2312" w:hAnsi="仿宋" w:eastAsia="仿宋_GB2312"/>
          <w:sz w:val="32"/>
          <w:szCs w:val="32"/>
        </w:rPr>
        <w:t xml:space="preserve"> </w:t>
      </w:r>
    </w:p>
    <w:p w14:paraId="4179489B">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E-mail：</w:t>
      </w:r>
    </w:p>
    <w:p w14:paraId="64E32E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开户银行：</w:t>
      </w:r>
    </w:p>
    <w:p w14:paraId="104E00BA">
      <w:pPr>
        <w:spacing w:line="560" w:lineRule="exact"/>
        <w:rPr>
          <w:rFonts w:ascii="仿宋_GB2312" w:hAnsi="仿宋" w:eastAsia="仿宋_GB2312"/>
          <w:spacing w:val="-7"/>
          <w:sz w:val="32"/>
          <w:szCs w:val="32"/>
        </w:rPr>
      </w:pPr>
      <w:r>
        <w:rPr>
          <w:rFonts w:hint="eastAsia" w:ascii="仿宋_GB2312" w:hAnsi="仿宋" w:eastAsia="仿宋_GB2312" w:cs="Adobe 仿宋 Std R"/>
          <w:spacing w:val="-7"/>
          <w:sz w:val="32"/>
          <w:szCs w:val="32"/>
        </w:rPr>
        <w:t>数字人民币钱包开立</w:t>
      </w:r>
      <w:r>
        <w:rPr>
          <w:rFonts w:hint="eastAsia" w:ascii="仿宋_GB2312" w:hAnsi="仿宋" w:eastAsia="仿宋_GB2312"/>
          <w:spacing w:val="-7"/>
          <w:sz w:val="32"/>
          <w:szCs w:val="32"/>
        </w:rPr>
        <w:t>运营机构：</w:t>
      </w:r>
    </w:p>
    <w:p w14:paraId="1D9807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数字人民币对公钱包编号：</w:t>
      </w:r>
    </w:p>
    <w:p w14:paraId="6C75F4BA">
      <w:pPr>
        <w:spacing w:line="560" w:lineRule="exact"/>
        <w:jc w:val="left"/>
        <w:rPr>
          <w:rFonts w:ascii="仿宋_GB2312" w:hAnsi="仿宋" w:eastAsia="仿宋_GB2312"/>
          <w:bCs/>
          <w:sz w:val="32"/>
          <w:szCs w:val="32"/>
        </w:rPr>
      </w:pPr>
      <w:r>
        <w:rPr>
          <w:rFonts w:hint="eastAsia" w:ascii="仿宋_GB2312" w:hAnsi="仿宋" w:eastAsia="仿宋_GB2312"/>
          <w:bCs/>
          <w:sz w:val="32"/>
          <w:szCs w:val="32"/>
        </w:rPr>
        <w:t>税    号：</w:t>
      </w:r>
    </w:p>
    <w:p w14:paraId="043A82A7">
      <w:pPr>
        <w:spacing w:line="560" w:lineRule="exact"/>
        <w:ind w:firstLine="480"/>
        <w:rPr>
          <w:rFonts w:ascii="仿宋_GB2312" w:hAnsi="仿宋" w:eastAsia="仿宋_GB2312"/>
          <w:sz w:val="32"/>
          <w:szCs w:val="32"/>
        </w:rPr>
      </w:pPr>
      <w:r>
        <w:rPr>
          <w:rFonts w:hint="eastAsia" w:ascii="仿宋_GB2312" w:hAnsi="仿宋" w:eastAsia="仿宋_GB2312"/>
          <w:sz w:val="32"/>
          <w:szCs w:val="32"/>
        </w:rPr>
        <w:t>根据</w:t>
      </w:r>
      <w:r>
        <w:rPr>
          <w:rFonts w:hint="eastAsia" w:ascii="仿宋_GB2312" w:hAnsi="仿宋" w:eastAsia="仿宋_GB2312"/>
          <w:sz w:val="32"/>
          <w:szCs w:val="32"/>
          <w:u w:val="single"/>
        </w:rPr>
        <w:t>数字人民币运营管理中心有限公司2025年二次放号查询服务采购项目</w:t>
      </w:r>
      <w:r>
        <w:rPr>
          <w:rFonts w:hint="eastAsia" w:ascii="仿宋_GB2312" w:hAnsi="仿宋" w:eastAsia="仿宋_GB2312"/>
          <w:spacing w:val="-7"/>
          <w:sz w:val="32"/>
          <w:szCs w:val="32"/>
        </w:rPr>
        <w:t>的采购结果，</w:t>
      </w:r>
      <w:r>
        <w:rPr>
          <w:rFonts w:hint="eastAsia" w:ascii="仿宋_GB2312" w:hAnsi="仿宋" w:eastAsia="仿宋_GB2312"/>
          <w:sz w:val="32"/>
          <w:szCs w:val="32"/>
        </w:rPr>
        <w:t>甲方与乙方经过充分协商，本着自愿、平等、互利、诚实信用的原则，按照下述条款签署</w:t>
      </w:r>
      <w:r>
        <w:rPr>
          <w:rStyle w:val="35"/>
          <w:rFonts w:hint="eastAsia" w:ascii="仿宋_GB2312" w:hAnsi="仿宋" w:eastAsia="仿宋_GB2312"/>
          <w:color w:val="000000"/>
          <w:sz w:val="32"/>
          <w:szCs w:val="32"/>
          <w:u w:val="none"/>
        </w:rPr>
        <w:t>本服务采购合同（以下简称“</w:t>
      </w:r>
      <w:r>
        <w:rPr>
          <w:rFonts w:hint="eastAsia" w:ascii="仿宋_GB2312" w:hAnsi="仿宋" w:eastAsia="仿宋_GB2312"/>
          <w:sz w:val="32"/>
          <w:szCs w:val="32"/>
        </w:rPr>
        <w:t>本合同</w:t>
      </w:r>
      <w:r>
        <w:rPr>
          <w:rStyle w:val="35"/>
          <w:rFonts w:hint="eastAsia" w:ascii="仿宋_GB2312" w:hAnsi="仿宋" w:eastAsia="仿宋_GB2312"/>
          <w:color w:val="000000"/>
          <w:sz w:val="32"/>
          <w:szCs w:val="32"/>
          <w:u w:val="none"/>
        </w:rPr>
        <w:t>”或“合同”）</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数字人民币运营管理的全面查询服务，具备高效的数据处理能力和灵活的查询接口，确保用户能够便捷地获取实时数据。系统设计遵循行业标准，确保数据安全和隐私保护，满足甲方对服务质量的高要求。</w:t>
      </w:r>
    </w:p>
    <w:p w14:paraId="53B2F68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sz w:val="32"/>
          <w:szCs w:val="32"/>
        </w:rPr>
        <w:t>1、合同的组成及解释规则</w:t>
      </w:r>
    </w:p>
    <w:p>
      <w:pPr>
        <w:shd w:val="clear" w:color="auto" w:fill="D9D9D9"/>
      </w:pPr>
      <w:r>
        <w:rPr>
          <w:rFonts w:ascii="仿宋_GB2312" w:hAnsi="仿宋_GB2312"/>
          <w:b/>
          <w:color w:val="000000"/>
          <w:sz w:val="32"/>
        </w:rPr>
        <w:t>应答：满足。系统支持合同的组成及解释规则管理，能够对合同条款进行结构化定义，确保各项条款之间的逻辑关系清晰可见。同时，系统提供合同版本控制功能，支持对合同的修改和解释进行追溯，确保合同执行过程中的合规性与透明度。</w:t>
      </w:r>
    </w:p>
    <w:p w14:paraId="54FDCB6D">
      <w:pPr>
        <w:spacing w:line="560" w:lineRule="exact"/>
        <w:ind w:firstLine="640" w:firstLineChars="200"/>
        <w:rPr>
          <w:rFonts w:ascii="仿宋_GB2312" w:hAnsi="仿宋" w:eastAsia="仿宋_GB2312" w:cs="宋体"/>
          <w:b/>
          <w:sz w:val="32"/>
          <w:szCs w:val="32"/>
        </w:rPr>
      </w:pPr>
      <w:r>
        <w:rPr>
          <w:rFonts w:hint="eastAsia" w:ascii="仿宋_GB2312" w:hAnsi="仿宋" w:eastAsia="仿宋_GB2312" w:cs="宋体"/>
          <w:sz w:val="32"/>
          <w:szCs w:val="32"/>
        </w:rPr>
        <w:t>1.1</w:t>
      </w:r>
      <w:r>
        <w:rPr>
          <w:rFonts w:hint="eastAsia" w:ascii="仿宋_GB2312" w:hAnsi="仿宋" w:eastAsia="仿宋_GB2312" w:cs="宋体"/>
          <w:sz w:val="32"/>
          <w:szCs w:val="32"/>
          <w:lang w:val="zh-CN"/>
        </w:rPr>
        <w:t>下述文件是构成本合同不可分割的部分</w:t>
      </w:r>
      <w:r>
        <w:rPr>
          <w:rFonts w:hint="eastAsia" w:ascii="仿宋_GB2312" w:hAnsi="仿宋" w:eastAsia="仿宋_GB2312" w:cs="宋体"/>
          <w:sz w:val="32"/>
          <w:szCs w:val="32"/>
        </w:rPr>
        <w:t>:</w:t>
      </w:r>
    </w:p>
    <w:p>
      <w:pPr>
        <w:shd w:val="clear" w:color="auto" w:fill="D9D9D9"/>
      </w:pPr>
      <w:r>
        <w:rPr>
          <w:rFonts w:ascii="仿宋_GB2312" w:hAnsi="仿宋_GB2312"/>
          <w:color w:val="000000"/>
          <w:sz w:val="32"/>
        </w:rPr>
        <w:t>应答：满足。系统支持将相关文件进行统一管理，确保所有文件版本可追溯，并可实现文件的增删改查操作。所有文件将被视为合同的一部分，系统将提供完整的文档记录和审计功能，以确保合规性和透明度。</w:t>
      </w:r>
    </w:p>
    <w:p w14:paraId="2771EED0">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（1）本合同条款及其所有附件。</w:t>
      </w:r>
    </w:p>
    <w:p w14:paraId="58E36FB6">
      <w:pPr>
        <w:spacing w:line="560" w:lineRule="exact"/>
        <w:ind w:firstLine="640" w:firstLineChars="200"/>
        <w:rPr>
          <w:rFonts w:ascii="仿宋_GB2312" w:hAnsi="仿宋" w:eastAsia="仿宋_GB2312" w:cs="宋体"/>
          <w:sz w:val="32"/>
          <w:szCs w:val="32"/>
          <w:u w:val="single"/>
        </w:rPr>
      </w:pPr>
      <w:r>
        <w:rPr>
          <w:rFonts w:hint="eastAsia" w:ascii="仿宋_GB2312" w:hAnsi="仿宋" w:eastAsia="仿宋_GB2312" w:cs="宋体"/>
          <w:sz w:val="32"/>
          <w:szCs w:val="32"/>
        </w:rPr>
        <w:t>（2）甲方的招标文件/谈判文件/采购文件/谈判邀请函/比选邀请函/询价邀请函及/澄清、解答文件</w:t>
      </w:r>
      <w:bookmarkStart w:id="3" w:name="_Hlk70602906"/>
      <w:r>
        <w:rPr>
          <w:rFonts w:hint="eastAsia" w:ascii="仿宋_GB2312" w:hAnsi="仿宋" w:eastAsia="仿宋_GB2312" w:cs="宋体"/>
          <w:sz w:val="32"/>
          <w:szCs w:val="32"/>
        </w:rPr>
        <w:t>等</w:t>
      </w:r>
      <w:r>
        <w:rPr>
          <w:rFonts w:hint="eastAsia" w:ascii="仿宋_GB2312" w:hAnsi="仿宋" w:eastAsia="仿宋_GB2312" w:cs="宋体"/>
          <w:sz w:val="32"/>
          <w:szCs w:val="32"/>
          <w:u w:val="single"/>
        </w:rPr>
        <w:t xml:space="preserve">          </w:t>
      </w:r>
      <w:bookmarkEnd w:id="3"/>
      <w:r>
        <w:rPr>
          <w:rFonts w:hint="eastAsia" w:ascii="仿宋_GB2312" w:hAnsi="仿宋" w:eastAsia="仿宋_GB2312" w:cs="宋体"/>
          <w:sz w:val="32"/>
          <w:szCs w:val="32"/>
        </w:rPr>
        <w:t>（以下简称“采购文件”）。</w:t>
      </w:r>
    </w:p>
    <w:p w14:paraId="28418444">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（3）乙方的响应文件/投标文件/澄清、质疑文件等</w:t>
      </w:r>
      <w:r>
        <w:rPr>
          <w:rFonts w:hint="eastAsia" w:ascii="仿宋_GB2312" w:hAnsi="仿宋" w:eastAsia="仿宋_GB2312" w:cs="宋体"/>
          <w:sz w:val="32"/>
          <w:szCs w:val="32"/>
          <w:u w:val="single"/>
        </w:rPr>
        <w:t xml:space="preserve">        </w:t>
      </w:r>
      <w:r>
        <w:rPr>
          <w:rFonts w:hint="eastAsia" w:ascii="仿宋_GB2312" w:hAnsi="仿宋" w:eastAsia="仿宋_GB2312" w:cs="宋体"/>
          <w:sz w:val="32"/>
          <w:szCs w:val="32"/>
        </w:rPr>
        <w:t>（以下简称“响应文件”）。</w:t>
      </w:r>
    </w:p>
    <w:p>
      <w:pPr>
        <w:shd w:val="clear" w:color="auto" w:fill="D9D9D9"/>
      </w:pPr>
      <w:r>
        <w:rPr>
          <w:rFonts w:ascii="仿宋_GB2312" w:hAnsi="仿宋_GB2312"/>
          <w:color w:val="000000"/>
          <w:sz w:val="32"/>
        </w:rPr>
        <w:t>应答：满足。系统支持对响应文件的全面管理，包括投标文件、澄清及质疑文件的上传、存档、检索和版本控制功能。所有文件均可通过界面化操作进行管理，确保信息的准确性和可追溯性。同时，系统支持权限设置，保障文件的安全性和保密性。</w:t>
      </w:r>
    </w:p>
    <w:p w14:paraId="747BF4CC">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（4）成交通知书/中标通知书/中选通知书等。</w:t>
      </w:r>
    </w:p>
    <w:p w14:paraId="526B3CF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（5）双方与合同有关的往来信函、传真经双方加盖单位公章确认后视为本合同的组成部分。</w:t>
      </w:r>
    </w:p>
    <w:p w14:paraId="770F4139">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（6）经双方加盖单位公章确认的补充协议。</w:t>
      </w:r>
    </w:p>
    <w:p w14:paraId="1F4611F5">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1.2 如果乙方的响应文件内容违背或低于甲方采购文件要求或任何可能导致影响当次采购目的的情形，均应当被视为乙方自动放弃响应文件中相应部分并接受甲方采购文件要求。如果乙方的响应文件内容高于甲方采购文件要求，以乙方的响应文件内容为准，甲方明确要求以采购文件为准的除外。如果合同正文条款与合同附件有矛盾之处，按照合同正文条款内容进行解释。如果合同附件之间有矛盾之处，按照有利于甲方的合同附件内容进行解释。</w:t>
      </w:r>
    </w:p>
    <w:p>
      <w:pPr>
        <w:shd w:val="clear" w:color="auto" w:fill="D9D9D9"/>
      </w:pPr>
      <w:r>
        <w:rPr>
          <w:rFonts w:ascii="仿宋_GB2312" w:hAnsi="仿宋_GB2312"/>
          <w:color w:val="000000"/>
          <w:sz w:val="32"/>
        </w:rPr>
        <w:t>应答：满足。我方将严格遵循甲方采购文件的要求，确保响应文件的内容与甲方的采购标准一致。如有任何不符之处，我方将自动放弃相应部分，并接受甲方的采购文件要求。同时，我方承诺在合同正文与附件之间的矛盾时，将优先遵循合同正文条款，确保合同的有效性和执行力。如附件之间存在矛盾，我方将依据有利于甲方的内容进行解释，确保甲方的利益最大化。</w:t>
      </w:r>
    </w:p>
    <w:p w14:paraId="5E2BAD5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1.3 上述合同文件应能够相互解释、相互说明。如合同文件之间出现不一致，除本合同另有约定外，1.1第（1）款至（5）款的排列顺序就是合同文件的优先解释顺序。如双方根据1.1第（6）款达成的补充协议与原合同存在不一致，以签订日期在后的补充协议为准。</w:t>
      </w:r>
    </w:p>
    <w:p>
      <w:pPr>
        <w:shd w:val="clear" w:color="auto" w:fill="D9D9D9"/>
      </w:pPr>
      <w:r>
        <w:rPr>
          <w:rFonts w:ascii="仿宋_GB2312" w:hAnsi="仿宋_GB2312"/>
          <w:color w:val="000000"/>
          <w:sz w:val="32"/>
        </w:rPr>
        <w:t>应答：满足。系统支持合同文件的相互解释和说明功能，能够自动识别并处理合同文件之间的优先解释顺序。对于合同条款的排列顺序，系统将依据约定的优先级进行解析，确保在出现不一致时，能够优先执行最新签订的补充协议，保障合同执行的合规性和有效性。</w:t>
      </w:r>
    </w:p>
    <w:p w14:paraId="4CA67598">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2、服务价格和内容</w:t>
      </w:r>
    </w:p>
    <w:p w14:paraId="5A67CC1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2.1 本合同的总金额（含税）：人民币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元（大写：人民币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整），其中二次放号查询服务单价（含税）为人民币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/次），二次放号查询服务调用预估总次数为</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，实际金额按照甲方二次放号查询服务实际有效调用次数×服务单价确定，遵循如下安排：</w:t>
      </w:r>
    </w:p>
    <w:p>
      <w:pPr>
        <w:shd w:val="clear" w:color="auto" w:fill="D9D9D9"/>
      </w:pPr>
      <w:r>
        <w:rPr>
          <w:rFonts w:ascii="仿宋_GB2312" w:hAnsi="仿宋_GB2312"/>
          <w:color w:val="000000"/>
          <w:sz w:val="32"/>
        </w:rPr>
        <w:t>应答：满足。系统支持根据合同约定的总金额和服务单价，自动计算二次放号查询服务的实际费用。通过系统配置，能够实时跟踪和记录每次服务调用的有效次数，确保费用结算的准确性和透明度。同时，系统具备灵活的计费管理功能，支持根据实际调用次数生成详细的费用报表，满足甲方的财务管理需求。</w:t>
      </w:r>
    </w:p>
    <w:p w14:paraId="4C328B2D">
      <w:pPr>
        <w:spacing w:line="560" w:lineRule="exact"/>
        <w:ind w:firstLine="640" w:firstLineChars="200"/>
        <w:rPr>
          <w:rFonts w:hint="eastAsia" w:ascii="仿宋_GB2312" w:hAnsi="仿宋" w:eastAsia="仿宋_GB2312"/>
          <w:sz w:val="32"/>
          <w:szCs w:val="32"/>
        </w:rPr>
      </w:pPr>
      <w:r>
        <w:rPr>
          <w:rFonts w:ascii="仿宋_GB2312" w:hAnsi="仿宋" w:eastAsia="仿宋_GB2312"/>
          <w:sz w:val="32"/>
          <w:szCs w:val="32"/>
        </w:rPr>
        <w:t xml:space="preserve">2.1.1 </w:t>
      </w:r>
      <w:r>
        <w:rPr>
          <w:rFonts w:hint="eastAsia" w:ascii="仿宋_GB2312" w:hAnsi="仿宋" w:eastAsia="仿宋_GB2312"/>
          <w:sz w:val="32"/>
          <w:szCs w:val="32"/>
        </w:rPr>
        <w:t>二次放号查询服务调用次数指甲方“有效调用”二次放号查询服务的次数，乙方系统明确返回查询号码是否属于二次放号号码算作一次有效调用，实际有效调用次数以甲乙双方确认的对账数据为准。</w:t>
      </w:r>
    </w:p>
    <w:p>
      <w:pPr>
        <w:shd w:val="clear" w:color="auto" w:fill="D9D9D9"/>
      </w:pPr>
      <w:r>
        <w:rPr>
          <w:rFonts w:ascii="仿宋_GB2312" w:hAnsi="仿宋_GB2312"/>
          <w:color w:val="000000"/>
          <w:sz w:val="32"/>
        </w:rPr>
        <w:t>应答：满足。我方系统支持二次放号查询服务的高效调用，能够明确返回查询号码是否属于二次放号号码，确保每次有效调用均被准确记录。系统具备完善的对账功能，能够与甲方进行数据对接，确保实际有效调用次数的准确性和可追溯性。</w:t>
      </w:r>
    </w:p>
    <w:p w14:paraId="065A8C22">
      <w:pPr>
        <w:spacing w:line="560" w:lineRule="exact"/>
        <w:ind w:firstLine="640" w:firstLineChars="200"/>
        <w:rPr>
          <w:rFonts w:hint="eastAsia"/>
        </w:rPr>
      </w:pPr>
      <w:r>
        <w:rPr>
          <w:rFonts w:hint="eastAsia" w:ascii="仿宋_GB2312" w:hAnsi="仿宋" w:eastAsia="仿宋_GB2312" w:cstheme="minorBidi"/>
          <w:sz w:val="32"/>
          <w:szCs w:val="32"/>
          <w:lang w:val="en-US" w:eastAsia="zh-CN" w:bidi="ar"/>
        </w:rPr>
        <w:t xml:space="preserve">2.1.2 </w:t>
      </w:r>
      <w:r>
        <w:rPr>
          <w:rFonts w:hint="default" w:ascii="仿宋_GB2312" w:hAnsi="仿宋" w:eastAsia="仿宋_GB2312" w:cstheme="minorBidi"/>
          <w:sz w:val="32"/>
          <w:szCs w:val="32"/>
          <w:lang w:bidi="ar"/>
        </w:rPr>
        <w:t>乙方提供二次放号查询服务过程中因乙方系统返回结果不准确，造成甲方需对返回结果进行复核验证的，由此而产生的调用不作为原合同约定的“有效调用”且不产生相关服务费用。</w:t>
      </w:r>
    </w:p>
    <w:p>
      <w:pPr>
        <w:shd w:val="clear" w:color="auto" w:fill="D9D9D9"/>
      </w:pPr>
      <w:r>
        <w:rPr>
          <w:rFonts w:ascii="仿宋_GB2312" w:hAnsi="仿宋_GB2312"/>
          <w:color w:val="000000"/>
          <w:sz w:val="32"/>
        </w:rPr>
        <w:t>应答：满足。系统具备高效的数据校验机制，确保返回结果的准确性，降低复核验证的需求。若因系统原因导致结果不准确，我方将承担相应责任，确保不计入“有效调用”，并不产生额外服务费用。我们承诺持续优化系统性能，以提升数据处理的准确性和可靠性。</w:t>
      </w:r>
    </w:p>
    <w:p w14:paraId="59A144B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w:t>
      </w:r>
      <w:r>
        <w:rPr>
          <w:rFonts w:ascii="仿宋_GB2312" w:hAnsi="仿宋" w:eastAsia="仿宋_GB2312"/>
          <w:sz w:val="32"/>
          <w:szCs w:val="32"/>
        </w:rPr>
        <w:t>1.</w:t>
      </w:r>
      <w:r>
        <w:rPr>
          <w:rFonts w:hint="eastAsia" w:ascii="仿宋_GB2312" w:hAnsi="仿宋" w:eastAsia="仿宋_GB2312"/>
          <w:sz w:val="32"/>
          <w:szCs w:val="32"/>
          <w:lang w:val="en-US" w:eastAsia="zh-CN"/>
        </w:rPr>
        <w:t>3</w:t>
      </w:r>
      <w:r>
        <w:rPr>
          <w:rFonts w:hint="eastAsia" w:ascii="仿宋_GB2312" w:hAnsi="仿宋" w:eastAsia="仿宋_GB2312"/>
          <w:sz w:val="32"/>
          <w:szCs w:val="32"/>
        </w:rPr>
        <w:t xml:space="preserve"> 甲乙双方应按月进行对账，乙方应于每个自然月[</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]日前将上一个自然月的计费账单书面或电子邮件通知甲方。甲方如有异议，可提出对账申请，如不提出则视为甲方已确认。若乙方通知的账单金额与甲方统计数据误差不超过（≤）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%，以乙方的数据为准；若误差超过（＞）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%，甲乙双方应核查差异原因，并及时按实际情况合理解决。甲方提出对账申请后，乙方反馈时间不得超过[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]个工作日。</w:t>
      </w:r>
    </w:p>
    <w:p>
      <w:pPr>
        <w:shd w:val="clear" w:color="auto" w:fill="D9D9D9"/>
      </w:pPr>
      <w:r>
        <w:rPr>
          <w:rFonts w:ascii="仿宋_GB2312" w:hAnsi="仿宋_GB2312"/>
          <w:color w:val="000000"/>
          <w:sz w:val="32"/>
        </w:rPr>
        <w:t>应答：满足。系统支持按月自动生成计费账单，并可通过书面或电子邮件形式发送给甲方。若甲方对账单有异议，可通过系统提交对账申请，系统将记录并跟踪申请状态。对于账单金额的误差，系统内置自动核对功能，确保误差不超过约定比例，并在超出时及时提示双方进行核查。乙方承诺在收到对账申请后，反馈时间不超过约定的工作日，确保沟通高效、及时。</w:t>
      </w:r>
    </w:p>
    <w:p w14:paraId="2781AF1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2.</w:t>
      </w:r>
      <w:r>
        <w:rPr>
          <w:rFonts w:ascii="仿宋_GB2312" w:hAnsi="仿宋" w:eastAsia="仿宋_GB2312"/>
          <w:color w:val="000000"/>
          <w:sz w:val="32"/>
          <w:szCs w:val="32"/>
        </w:rPr>
        <w:t>1.</w:t>
      </w:r>
      <w:r>
        <w:rPr>
          <w:rFonts w:hint="eastAsia" w:ascii="仿宋_GB2312" w:hAnsi="仿宋" w:eastAsia="仿宋_GB2312"/>
          <w:color w:val="000000"/>
          <w:sz w:val="32"/>
          <w:szCs w:val="32"/>
          <w:lang w:val="en-US" w:eastAsia="zh-CN"/>
        </w:rPr>
        <w:t xml:space="preserve">4 </w:t>
      </w:r>
      <w:r>
        <w:rPr>
          <w:rFonts w:hint="eastAsia" w:ascii="仿宋_GB2312" w:hAnsi="仿宋" w:eastAsia="仿宋_GB2312"/>
          <w:color w:val="000000"/>
          <w:sz w:val="32"/>
          <w:szCs w:val="32"/>
        </w:rPr>
        <w:t>二次放号查询服务开通验收合格后，</w:t>
      </w:r>
      <w:r>
        <w:rPr>
          <w:rFonts w:hint="eastAsia" w:ascii="仿宋_GB2312" w:hAnsi="仿宋" w:eastAsia="仿宋_GB2312"/>
          <w:sz w:val="32"/>
          <w:szCs w:val="32"/>
        </w:rPr>
        <w:t>由乙方开具相关验收单据（见附件三），并由甲方签字确认。甲方签字确认日期为实际开通日，乙方自实际开通日起</w:t>
      </w:r>
      <w:r>
        <w:rPr>
          <w:rFonts w:hint="eastAsia" w:ascii="仿宋_GB2312" w:hAnsi="仿宋" w:eastAsia="仿宋_GB2312"/>
          <w:color w:val="000000"/>
          <w:sz w:val="32"/>
          <w:szCs w:val="32"/>
        </w:rPr>
        <w:t>开始计算二次放号查询服务费。</w:t>
      </w:r>
    </w:p>
    <w:p w14:paraId="1CCBC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2.2 本合同总金额涵盖乙方提供服务及相关产品（如有）的全部价格。</w:t>
      </w:r>
    </w:p>
    <w:p>
      <w:pPr>
        <w:shd w:val="clear" w:color="auto" w:fill="D9D9D9"/>
      </w:pPr>
      <w:r>
        <w:rPr>
          <w:rFonts w:ascii="仿宋_GB2312" w:hAnsi="仿宋_GB2312"/>
          <w:color w:val="000000"/>
          <w:sz w:val="32"/>
        </w:rPr>
        <w:t>应答：满足。系统支持全面的合同管理功能，确保合同总金额涵盖乙方提供的所有服务及相关产品的价格。通过系统可实现合同条款的清晰展示与管理，确保各项费用透明、可追溯，满足合同执行过程中的财务合规性要求。</w:t>
      </w:r>
    </w:p>
    <w:p w14:paraId="50331ED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2.3 除非特别说明，合同总金额为含税金额，已包含乙方应当出具的增值税发票所缴纳的全部税费金额。合同总金额也是甲方依据本合同应向乙方支付的全部价款。除上述金额外，甲方无需向乙方支付其他任何费用。</w:t>
      </w:r>
    </w:p>
    <w:p>
      <w:pPr>
        <w:shd w:val="clear" w:color="auto" w:fill="D9D9D9"/>
      </w:pPr>
      <w:r>
        <w:rPr>
          <w:rFonts w:ascii="仿宋_GB2312" w:hAnsi="仿宋_GB2312"/>
          <w:color w:val="000000"/>
          <w:sz w:val="32"/>
        </w:rPr>
        <w:t>应答：满足。系统将严格遵循合同条款，确保合同总金额为含税金额，并包含乙方应出具的增值税发票所缴纳的全部税费。合同总金额将作为甲方依据本合同应支付的全部价款，确保甲方无需承担其他任何额外费用，保障交易的透明性与合规性。</w:t>
      </w:r>
    </w:p>
    <w:p w14:paraId="5433D68E">
      <w:pPr>
        <w:spacing w:line="560" w:lineRule="exact"/>
        <w:ind w:firstLine="608" w:firstLineChars="200"/>
        <w:rPr>
          <w:rFonts w:ascii="仿宋_GB2312" w:hAnsi="仿宋" w:eastAsia="仿宋_GB2312"/>
          <w:sz w:val="32"/>
          <w:szCs w:val="32"/>
        </w:rPr>
      </w:pPr>
      <w:r>
        <w:rPr>
          <w:rFonts w:hint="eastAsia" w:ascii="仿宋_GB2312" w:hAnsi="仿宋" w:eastAsia="仿宋_GB2312" w:cs="宋体"/>
          <w:spacing w:val="-8"/>
          <w:position w:val="-4"/>
          <w:sz w:val="32"/>
          <w:szCs w:val="32"/>
        </w:rPr>
        <w:t>2.4乙方保证服务的完整性和合理性，满足项目需要，服务的价格、内容等详细情况（见附件一）。</w:t>
      </w:r>
    </w:p>
    <w:p>
      <w:pPr>
        <w:shd w:val="clear" w:color="auto" w:fill="D9D9D9"/>
      </w:pPr>
      <w:r>
        <w:rPr>
          <w:rFonts w:ascii="仿宋_GB2312" w:hAnsi="仿宋_GB2312"/>
          <w:color w:val="000000"/>
          <w:sz w:val="32"/>
        </w:rPr>
        <w:t>应答：满足。我方承诺提供完整且合理的服务，确保满足项目需求。服务内容包括详细的项目实施方案、技术支持、培训服务等，所有服务价格均在附件一中列明，确保透明和合理。我们将严格按照约定的服务标准执行，确保项目的顺利推进。</w:t>
      </w:r>
    </w:p>
    <w:p w14:paraId="63BAF05B">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3、服务方式及标准</w:t>
      </w:r>
    </w:p>
    <w:p w14:paraId="15A3CD0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3.1乙方保证为甲方提供的服务的各项指标均能符合本合同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定的要求，且不低于国家标准及相关行业标准。服务期内，乙方应当全面适当履行其合同义务，在约定的履行期限及地点提供符合甲方要求的全部服务（见附件二）。</w:t>
      </w:r>
    </w:p>
    <w:p>
      <w:pPr>
        <w:shd w:val="clear" w:color="auto" w:fill="D9D9D9"/>
      </w:pPr>
      <w:r>
        <w:rPr>
          <w:rFonts w:ascii="仿宋_GB2312" w:hAnsi="仿宋_GB2312"/>
          <w:color w:val="000000"/>
          <w:sz w:val="32"/>
        </w:rPr>
        <w:t>应答：满足。我方承诺提供的服务将严格遵循合同约定，确保各项指标符合国家标准及相关行业标准。服务期内，我方将全面履行合同义务，确保在约定的履行期限及地点提供符合甲方要求的所有服务，确保服务质量和效率达到行业领先水平。</w:t>
      </w:r>
    </w:p>
    <w:p w14:paraId="47FDEDBF">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3.2</w:t>
      </w:r>
      <w:r>
        <w:rPr>
          <w:rFonts w:hint="eastAsia" w:ascii="仿宋_GB2312" w:hAnsi="仿宋" w:eastAsia="仿宋_GB2312"/>
          <w:sz w:val="32"/>
          <w:szCs w:val="32"/>
        </w:rPr>
        <w:t>乙方提供的服务内容包含向甲方交付相关产品（如有）的，该产品质量应当符合国家、行业等质量标准，并符合甲方的相关要求（见附件二）。</w:t>
      </w:r>
    </w:p>
    <w:p>
      <w:pPr>
        <w:shd w:val="clear" w:color="auto" w:fill="D9D9D9"/>
      </w:pPr>
      <w:r>
        <w:rPr>
          <w:rFonts w:ascii="仿宋_GB2312" w:hAnsi="仿宋_GB2312"/>
          <w:color w:val="000000"/>
          <w:sz w:val="32"/>
        </w:rPr>
        <w:t>应答：满足。我方提供的产品严格遵循国家及行业质量标准，确保符合甲方的相关要求。所有交付的产品均经过严格的质量检测流程，确保其性能、可靠性和安全性达到预期标准。同时，我方承诺提供详细的质量合格证明文件，以确保透明度和可追溯性。</w:t>
      </w:r>
    </w:p>
    <w:p w14:paraId="09C450B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3.3乙方所提供的服务或产品有质量保证期的，质量保证期为</w:t>
      </w:r>
      <w:r>
        <w:rPr>
          <w:rFonts w:hint="eastAsia" w:ascii="仿宋_GB2312" w:hAnsi="仿宋" w:eastAsia="仿宋_GB2312"/>
          <w:sz w:val="32"/>
          <w:szCs w:val="32"/>
          <w:u w:val="none"/>
          <w:lang w:val="en-US" w:eastAsia="zh-CN"/>
        </w:rPr>
        <w:t>一</w:t>
      </w:r>
      <w:r>
        <w:rPr>
          <w:rFonts w:hint="eastAsia" w:ascii="仿宋_GB2312" w:hAnsi="仿宋" w:eastAsia="仿宋_GB2312"/>
          <w:sz w:val="32"/>
          <w:szCs w:val="32"/>
        </w:rPr>
        <w:t>年，自出具最终验收合格单之日起开始计算。乙方在质量保证期内按照合同约定的服务内容及要求向甲方提供相关服务，</w:t>
      </w:r>
      <w:bookmarkStart w:id="4" w:name="_Hlk99369557"/>
      <w:r>
        <w:rPr>
          <w:rFonts w:hint="eastAsia" w:ascii="仿宋_GB2312" w:hAnsi="仿宋" w:eastAsia="仿宋_GB2312"/>
          <w:color w:val="000000"/>
          <w:sz w:val="32"/>
          <w:szCs w:val="32"/>
        </w:rPr>
        <w:t>不再额外收取费用</w:t>
      </w:r>
      <w:bookmarkEnd w:id="4"/>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提供的服务和产品均设有为期一年的质量保证期，自最终验收合格单出具之日起生效。在质量保证期内，我方将按照合同约定的服务内容和要求，持续提供相关服务，确保无额外费用产生，保障甲方的权益。</w:t>
      </w:r>
    </w:p>
    <w:p w14:paraId="748368BC">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 xml:space="preserve">3.4 </w:t>
      </w:r>
      <w:r>
        <w:rPr>
          <w:rFonts w:hint="eastAsia" w:ascii="仿宋_GB2312" w:hAnsi="仿宋" w:eastAsia="仿宋_GB2312"/>
          <w:sz w:val="32"/>
          <w:szCs w:val="32"/>
        </w:rPr>
        <w:t>甲方逾期支付合同价款的，按照本合同约定承担违约责任，乙方应当继续提供本合同约定的服务，不得以甲方未支付合同价款为由拒绝履行本合同项下义务，否则视为违反本合同约定。</w:t>
      </w:r>
    </w:p>
    <w:p>
      <w:pPr>
        <w:shd w:val="clear" w:color="auto" w:fill="D9D9D9"/>
      </w:pPr>
      <w:r>
        <w:rPr>
          <w:rFonts w:ascii="仿宋_GB2312" w:hAnsi="仿宋_GB2312"/>
          <w:color w:val="000000"/>
          <w:sz w:val="32"/>
        </w:rPr>
        <w:t>应答：满足。系统支持合同管理功能，能够自动监控合同履行状态，确保在甲方逾期支付情况下，乙方仍然按照合同约定提供服务。同时，系统具备违约责任提醒机制，确保合同条款得到有效执行，避免因支付问题导致的服务中断。</w:t>
      </w:r>
    </w:p>
    <w:p w14:paraId="49BA87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w:t>
      </w:r>
      <w:r>
        <w:rPr>
          <w:rFonts w:ascii="仿宋_GB2312" w:hAnsi="仿宋" w:eastAsia="仿宋_GB2312"/>
          <w:sz w:val="32"/>
          <w:szCs w:val="32"/>
        </w:rPr>
        <w:t xml:space="preserve">.5 </w:t>
      </w:r>
      <w:r>
        <w:rPr>
          <w:rFonts w:hint="eastAsia" w:ascii="仿宋_GB2312" w:hAnsi="仿宋" w:eastAsia="仿宋_GB2312"/>
          <w:sz w:val="32"/>
          <w:szCs w:val="32"/>
        </w:rPr>
        <w:t>乙方应当保证本合同项下涉及的服务人员均具备相关资质以及高质量完成相关服务工作的能力，本合同约定或乙方承诺服务由相关硬件或软件原厂提供的，乙方还应当保证服务人员为相关硬件或软件的原厂人员。甲方有权随时对服务人员的资质、工作能力以及来源等进行核查及评估，乙方应当无条件配合；甲方对服务人员不满意的，乙方应当按照甲方的要求无条件进行更换，不得影响本合同项下的相关服务。</w:t>
      </w:r>
    </w:p>
    <w:p>
      <w:pPr>
        <w:shd w:val="clear" w:color="auto" w:fill="D9D9D9"/>
      </w:pPr>
      <w:r>
        <w:rPr>
          <w:rFonts w:ascii="仿宋_GB2312" w:hAnsi="仿宋_GB2312"/>
          <w:color w:val="000000"/>
          <w:sz w:val="32"/>
        </w:rPr>
        <w:t>应答：满足。我方承诺提供的服务人员均为具备相关资质的专业人员，且具备高质量完成服务工作的能力。所有服务均由相关硬件或软件的原厂人员提供，确保服务质量符合行业标准。我们将积极配合甲方对服务人员的资质、工作能力及来源进行核查与评估，确保满足甲方的要求。如甲方对服务人员不满意，我方将无条件进行更换，以保障合同服务的顺利进行。</w:t>
      </w:r>
    </w:p>
    <w:p w14:paraId="73968E8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4、</w:t>
      </w:r>
      <w:r>
        <w:rPr>
          <w:rStyle w:val="35"/>
          <w:rFonts w:hint="eastAsia" w:ascii="仿宋_GB2312" w:hAnsi="仿宋" w:eastAsia="仿宋_GB2312"/>
          <w:b/>
          <w:bCs/>
          <w:color w:val="000000"/>
          <w:sz w:val="32"/>
          <w:szCs w:val="32"/>
          <w:u w:val="none"/>
        </w:rPr>
        <w:t>服务</w:t>
      </w:r>
      <w:r>
        <w:rPr>
          <w:rFonts w:hint="eastAsia" w:ascii="仿宋_GB2312" w:hAnsi="仿宋" w:eastAsia="仿宋_GB2312"/>
          <w:b/>
          <w:bCs/>
          <w:sz w:val="32"/>
          <w:szCs w:val="32"/>
        </w:rPr>
        <w:t>期限和地点</w:t>
      </w:r>
    </w:p>
    <w:p w14:paraId="71E7B314">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4.1 </w:t>
      </w:r>
      <w:r>
        <w:rPr>
          <w:rStyle w:val="35"/>
          <w:rFonts w:hint="eastAsia" w:ascii="仿宋_GB2312" w:hAnsi="仿宋" w:eastAsia="仿宋_GB2312"/>
          <w:color w:val="000000"/>
          <w:sz w:val="32"/>
          <w:szCs w:val="32"/>
          <w:u w:val="none"/>
        </w:rPr>
        <w:t>服务</w:t>
      </w:r>
      <w:r>
        <w:rPr>
          <w:rFonts w:hint="eastAsia" w:ascii="仿宋_GB2312" w:hAnsi="仿宋" w:eastAsia="仿宋_GB2312"/>
          <w:sz w:val="32"/>
          <w:szCs w:val="32"/>
        </w:rPr>
        <w:t>期限：</w:t>
      </w:r>
    </w:p>
    <w:p w14:paraId="55FD3C89">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4.1.1</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自</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验收合格之日起</w:t>
      </w:r>
      <w:r>
        <w:rPr>
          <w:rFonts w:ascii="仿宋_GB2312" w:hAnsi="仿宋" w:eastAsia="仿宋_GB2312"/>
          <w:sz w:val="32"/>
          <w:szCs w:val="32"/>
        </w:rPr>
        <w:t>至甲方</w:t>
      </w:r>
      <w:r>
        <w:rPr>
          <w:rFonts w:hint="eastAsia" w:ascii="仿宋_GB2312" w:hAnsi="仿宋" w:eastAsia="仿宋_GB2312"/>
          <w:sz w:val="32"/>
          <w:szCs w:val="32"/>
        </w:rPr>
        <w:t>二次放号查询服务</w:t>
      </w:r>
      <w:r>
        <w:rPr>
          <w:rFonts w:ascii="仿宋_GB2312" w:hAnsi="仿宋" w:eastAsia="仿宋_GB2312"/>
          <w:sz w:val="32"/>
          <w:szCs w:val="32"/>
        </w:rPr>
        <w:t>实际</w:t>
      </w:r>
      <w:r>
        <w:rPr>
          <w:rFonts w:hint="eastAsia" w:ascii="仿宋_GB2312" w:hAnsi="仿宋" w:eastAsia="仿宋_GB2312"/>
          <w:sz w:val="32"/>
          <w:szCs w:val="32"/>
        </w:rPr>
        <w:t>有效调用次数</w:t>
      </w:r>
      <w:r>
        <w:rPr>
          <w:rFonts w:ascii="仿宋_GB2312" w:hAnsi="仿宋" w:eastAsia="仿宋_GB2312"/>
          <w:sz w:val="32"/>
          <w:szCs w:val="32"/>
        </w:rPr>
        <w:t>到达</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时或</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验收合格后</w:t>
      </w:r>
      <w:r>
        <w:rPr>
          <w:rFonts w:hint="eastAsia" w:ascii="仿宋_GB2312" w:hAnsi="仿宋" w:eastAsia="仿宋_GB2312"/>
          <w:sz w:val="32"/>
          <w:szCs w:val="32"/>
          <w:lang w:val="en-US" w:eastAsia="zh-CN"/>
        </w:rPr>
        <w:t>十二</w:t>
      </w:r>
      <w:r>
        <w:rPr>
          <w:rFonts w:hint="eastAsia" w:ascii="仿宋_GB2312" w:hAnsi="仿宋" w:eastAsia="仿宋_GB2312"/>
          <w:sz w:val="32"/>
          <w:szCs w:val="32"/>
        </w:rPr>
        <w:t>个月</w:t>
      </w:r>
      <w:r>
        <w:rPr>
          <w:rFonts w:ascii="仿宋_GB2312" w:hAnsi="仿宋" w:eastAsia="仿宋_GB2312"/>
          <w:sz w:val="32"/>
          <w:szCs w:val="32"/>
        </w:rPr>
        <w:t>（</w:t>
      </w:r>
      <w:r>
        <w:rPr>
          <w:rFonts w:hint="eastAsia" w:ascii="仿宋_GB2312" w:hAnsi="仿宋" w:eastAsia="仿宋_GB2312"/>
          <w:sz w:val="32"/>
          <w:szCs w:val="32"/>
        </w:rPr>
        <w:t>以两者相比更早满足条件的日期为准</w:t>
      </w:r>
      <w:r>
        <w:rPr>
          <w:rFonts w:ascii="仿宋_GB2312" w:hAnsi="仿宋" w:eastAsia="仿宋_GB2312"/>
          <w:sz w:val="32"/>
          <w:szCs w:val="32"/>
        </w:rPr>
        <w:t>）终止</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在开通验收合格后，提供全面的查询服务，确保在有效调用次数达到550,000次或在十二个月内，依据实际情况及时终止服务。我们将严格监控调用次数，并提供详细的使用报告，以确保服务的透明性和合规性。</w:t>
      </w:r>
    </w:p>
    <w:p w14:paraId="5CA89D0B">
      <w:pPr>
        <w:spacing w:line="560" w:lineRule="exact"/>
        <w:ind w:firstLine="640" w:firstLineChars="200"/>
      </w:pPr>
      <w:r>
        <w:rPr>
          <w:rFonts w:ascii="仿宋_GB2312" w:hAnsi="仿宋" w:eastAsia="仿宋_GB2312"/>
          <w:sz w:val="32"/>
          <w:szCs w:val="32"/>
        </w:rPr>
        <w:t xml:space="preserve">4.1.2 </w:t>
      </w:r>
      <w:r>
        <w:rPr>
          <w:rFonts w:hint="eastAsia" w:ascii="仿宋_GB2312" w:hAnsi="仿宋" w:eastAsia="仿宋_GB2312"/>
          <w:sz w:val="32"/>
          <w:szCs w:val="32"/>
        </w:rPr>
        <w:t>乙方应于二次放号查询服务实际有效调用次数到达</w:t>
      </w:r>
      <w:r>
        <w:rPr>
          <w:rFonts w:hint="eastAsia" w:ascii="仿宋_GB2312" w:hAnsi="仿宋" w:eastAsia="仿宋_GB2312"/>
          <w:sz w:val="32"/>
          <w:szCs w:val="32"/>
          <w:u w:val="single"/>
          <w:lang w:val="en-US" w:eastAsia="zh-CN"/>
        </w:rPr>
        <w:t xml:space="preserve">    </w:t>
      </w:r>
      <w:r>
        <w:rPr>
          <w:rFonts w:ascii="仿宋_GB2312" w:hAnsi="仿宋" w:eastAsia="仿宋_GB2312"/>
          <w:sz w:val="32"/>
          <w:szCs w:val="32"/>
        </w:rPr>
        <w:t>次</w:t>
      </w:r>
      <w:r>
        <w:rPr>
          <w:rFonts w:hint="eastAsia" w:ascii="仿宋_GB2312" w:hAnsi="仿宋" w:eastAsia="仿宋_GB2312"/>
          <w:sz w:val="32"/>
          <w:szCs w:val="32"/>
        </w:rPr>
        <w:t>之日起</w:t>
      </w:r>
      <w:r>
        <w:rPr>
          <w:rFonts w:ascii="仿宋_GB2312" w:hAnsi="仿宋" w:eastAsia="仿宋_GB2312"/>
          <w:sz w:val="32"/>
          <w:szCs w:val="32"/>
        </w:rPr>
        <w:t>[五]个工作日内书面</w:t>
      </w:r>
      <w:r>
        <w:rPr>
          <w:rFonts w:hint="eastAsia" w:ascii="仿宋_GB2312" w:hAnsi="仿宋" w:eastAsia="仿宋_GB2312"/>
          <w:sz w:val="32"/>
          <w:szCs w:val="32"/>
          <w:highlight w:val="none"/>
          <w:lang w:val="en-US" w:eastAsia="zh-CN"/>
        </w:rPr>
        <w:t>或邮件</w:t>
      </w:r>
      <w:r>
        <w:rPr>
          <w:rFonts w:ascii="仿宋_GB2312" w:hAnsi="仿宋" w:eastAsia="仿宋_GB2312"/>
          <w:sz w:val="32"/>
          <w:szCs w:val="32"/>
          <w:highlight w:val="none"/>
        </w:rPr>
        <w:t>通知甲方</w:t>
      </w:r>
      <w:r>
        <w:rPr>
          <w:rFonts w:hint="eastAsia" w:ascii="仿宋_GB2312" w:hAnsi="仿宋" w:eastAsia="仿宋_GB2312"/>
          <w:sz w:val="32"/>
          <w:szCs w:val="32"/>
          <w:highlight w:val="none"/>
        </w:rPr>
        <w:t>。</w:t>
      </w:r>
      <w:r>
        <w:rPr>
          <w:rFonts w:hint="eastAsia" w:ascii="仿宋_GB2312" w:hAnsi="仿宋" w:eastAsia="仿宋_GB2312"/>
          <w:sz w:val="32"/>
          <w:szCs w:val="32"/>
        </w:rPr>
        <w:t>如本合同期限届满前甲方反馈不进行续约，则本合同根据第</w:t>
      </w:r>
      <w:r>
        <w:rPr>
          <w:rFonts w:ascii="仿宋_GB2312" w:hAnsi="仿宋" w:eastAsia="仿宋_GB2312"/>
          <w:sz w:val="32"/>
          <w:szCs w:val="32"/>
        </w:rPr>
        <w:t>4.1.1</w:t>
      </w:r>
      <w:r>
        <w:rPr>
          <w:rFonts w:hint="eastAsia" w:ascii="仿宋_GB2312" w:hAnsi="仿宋" w:eastAsia="仿宋_GB2312"/>
          <w:sz w:val="32"/>
          <w:szCs w:val="32"/>
        </w:rPr>
        <w:t>条约定终止。</w:t>
      </w:r>
    </w:p>
    <w:p>
      <w:pPr>
        <w:shd w:val="clear" w:color="auto" w:fill="D9D9D9"/>
      </w:pPr>
      <w:r>
        <w:rPr>
          <w:rFonts w:ascii="仿宋_GB2312" w:hAnsi="仿宋_GB2312"/>
          <w:color w:val="000000"/>
          <w:sz w:val="32"/>
        </w:rPr>
        <w:t>应答：满足。系统支持在二次放号查询服务实际有效调用次数达到约定值后，自动生成通知，并在五个工作日内通过书面或邮件形式及时告知甲方。同时，系统具备合同管理功能，确保在合同期限届满前，能够准确记录甲方的续约意向，保障合同的有效性和合规性。</w:t>
      </w:r>
    </w:p>
    <w:p w14:paraId="60CDE9D8">
      <w:pPr>
        <w:spacing w:line="560" w:lineRule="exact"/>
        <w:ind w:firstLine="640" w:firstLineChars="200"/>
        <w:rPr>
          <w:rFonts w:hint="eastAsia" w:ascii="仿宋_GB2312" w:hAnsi="仿宋" w:eastAsia="仿宋_GB2312"/>
          <w:spacing w:val="-7"/>
          <w:sz w:val="32"/>
          <w:szCs w:val="32"/>
          <w:lang w:val="en-US" w:eastAsia="zh-CN"/>
        </w:rPr>
      </w:pPr>
      <w:r>
        <w:rPr>
          <w:rFonts w:hint="eastAsia" w:ascii="仿宋_GB2312" w:hAnsi="仿宋" w:eastAsia="仿宋_GB2312"/>
          <w:sz w:val="32"/>
          <w:szCs w:val="32"/>
        </w:rPr>
        <w:t>4.2 服务地点：</w:t>
      </w:r>
      <w:r>
        <w:rPr>
          <w:rFonts w:hint="eastAsia" w:ascii="仿宋_GB2312" w:hAnsi="仿宋" w:eastAsia="仿宋_GB2312"/>
          <w:sz w:val="32"/>
          <w:szCs w:val="32"/>
          <w:lang w:val="en-US" w:eastAsia="zh-CN"/>
        </w:rPr>
        <w:t>/</w:t>
      </w:r>
    </w:p>
    <w:p>
      <w:pPr>
        <w:shd w:val="clear" w:color="auto" w:fill="D9D9D9"/>
      </w:pPr>
      <w:r>
        <w:rPr>
          <w:rFonts w:ascii="仿宋_GB2312" w:hAnsi="仿宋_GB2312"/>
          <w:color w:val="000000"/>
          <w:sz w:val="32"/>
        </w:rPr>
        <w:t>应答：满足。系统支持灵活的服务地点配置，能够根据用户需求在不同地理位置提供服务。无论是在本地部署还是云端服务，均可确保高可用性和低延迟，满足用户在不同场景下的业务需求。</w:t>
      </w:r>
    </w:p>
    <w:p w14:paraId="5690EC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5、付款</w:t>
      </w:r>
      <w:r>
        <w:rPr>
          <w:rFonts w:hint="eastAsia" w:ascii="仿宋_GB2312" w:hAnsi="仿宋" w:eastAsia="仿宋_GB2312"/>
          <w:b/>
          <w:bCs/>
          <w:iCs/>
          <w:sz w:val="32"/>
          <w:szCs w:val="32"/>
        </w:rPr>
        <w:t>及履约担保</w:t>
      </w:r>
    </w:p>
    <w:p w14:paraId="460660E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乙方同意优先使用数字人民币接收款项，并开立数字人民币对公钱包。</w:t>
      </w:r>
    </w:p>
    <w:p w14:paraId="10D716BC">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在乙方全面适当履行合同义务的前提下，甲方按照以下方式向乙方支付服务的合同价款：</w:t>
      </w:r>
    </w:p>
    <w:p w14:paraId="097AA152">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.1 </w:t>
      </w:r>
      <w:r>
        <w:rPr>
          <w:rFonts w:hint="eastAsia" w:ascii="仿宋_GB2312" w:hAnsi="仿宋" w:eastAsia="仿宋_GB2312"/>
          <w:b/>
          <w:bCs/>
          <w:color w:val="000000"/>
          <w:sz w:val="32"/>
          <w:szCs w:val="32"/>
        </w:rPr>
        <w:t>结算依据及结算方式</w:t>
      </w:r>
    </w:p>
    <w:p>
      <w:pPr>
        <w:shd w:val="clear" w:color="auto" w:fill="D9D9D9"/>
      </w:pPr>
      <w:r>
        <w:rPr>
          <w:rFonts w:ascii="仿宋_GB2312" w:hAnsi="仿宋_GB2312"/>
          <w:b/>
          <w:color w:val="000000"/>
          <w:sz w:val="32"/>
        </w:rPr>
        <w:t>应答：满足。系统支持多种结算依据的配置，包括合同、发票和项目进度等，确保结算依据的灵活性和准确性。同时，系统提供多种结算方式，如按阶段付款、按里程碑付款和一次性结算，满足不同项目需求，确保资金流动的高效性和透明度。</w:t>
      </w:r>
    </w:p>
    <w:p w14:paraId="480577C8">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本合同按照乙方的服务量，即</w:t>
      </w:r>
      <w:r>
        <w:rPr>
          <w:rFonts w:hint="eastAsia" w:ascii="仿宋_GB2312" w:hAnsi="仿宋" w:eastAsia="仿宋_GB2312"/>
          <w:sz w:val="32"/>
          <w:szCs w:val="32"/>
        </w:rPr>
        <w:t>有效调用次数×服务单价</w:t>
      </w:r>
      <w:r>
        <w:rPr>
          <w:rFonts w:hint="eastAsia" w:ascii="仿宋_GB2312" w:hAnsi="仿宋" w:eastAsia="仿宋_GB2312"/>
          <w:bCs/>
          <w:color w:val="000000"/>
          <w:sz w:val="32"/>
          <w:szCs w:val="32"/>
        </w:rPr>
        <w:t>进行据实结算，每</w:t>
      </w:r>
      <w:r>
        <w:rPr>
          <w:rFonts w:hint="eastAsia" w:ascii="仿宋_GB2312" w:hAnsi="仿宋" w:eastAsia="仿宋_GB2312"/>
          <w:bCs/>
          <w:color w:val="000000"/>
          <w:sz w:val="32"/>
          <w:szCs w:val="32"/>
          <w:u w:val="single"/>
          <w:lang w:val="en-US" w:eastAsia="zh-CN"/>
        </w:rPr>
        <w:t>次二次放号查询服务有效调用</w:t>
      </w:r>
      <w:r>
        <w:rPr>
          <w:rFonts w:hint="eastAsia" w:ascii="仿宋_GB2312" w:hAnsi="仿宋" w:eastAsia="仿宋_GB2312" w:cs="宋体"/>
          <w:sz w:val="32"/>
          <w:szCs w:val="32"/>
          <w:lang w:val="zh-CN"/>
        </w:rPr>
        <w:t>的价格为</w:t>
      </w:r>
      <w:r>
        <w:rPr>
          <w:rFonts w:hint="eastAsia" w:ascii="仿宋_GB2312" w:hAnsi="仿宋" w:eastAsia="仿宋_GB2312"/>
          <w:sz w:val="32"/>
          <w:szCs w:val="32"/>
        </w:rPr>
        <w:t>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w:t>
      </w:r>
      <w:r>
        <w:rPr>
          <w:rFonts w:hint="eastAsia" w:ascii="仿宋_GB2312" w:hAnsi="仿宋" w:eastAsia="仿宋_GB2312" w:cs="宋体"/>
          <w:sz w:val="32"/>
          <w:szCs w:val="32"/>
          <w:lang w:val="zh-CN"/>
        </w:rPr>
        <w:t>（“单价”），本合同甲方应当支付的合同金额以该单价和甲乙双方共同核对确定的服务量进行确定。</w:t>
      </w:r>
    </w:p>
    <w:p>
      <w:pPr>
        <w:shd w:val="clear" w:color="auto" w:fill="D9D9D9"/>
      </w:pPr>
      <w:r>
        <w:rPr>
          <w:rFonts w:ascii="仿宋_GB2312" w:hAnsi="仿宋_GB2312"/>
          <w:color w:val="000000"/>
          <w:sz w:val="32"/>
        </w:rPr>
        <w:t>应答：满足。系统支持根据乙方的服务量进行精准结算，能够实时记录有效调用次数，并依据约定的单价自动计算合同金额。系统提供透明的调用记录查询功能，确保甲乙双方能够共同核对服务量，确保结算过程的准确性和公正性。</w:t>
      </w:r>
    </w:p>
    <w:p w14:paraId="64B81DB3">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.2 </w:t>
      </w:r>
      <w:r>
        <w:rPr>
          <w:rFonts w:hint="eastAsia" w:ascii="仿宋_GB2312" w:hAnsi="仿宋" w:eastAsia="仿宋_GB2312"/>
          <w:b/>
          <w:bCs/>
          <w:color w:val="000000"/>
          <w:sz w:val="32"/>
          <w:szCs w:val="32"/>
        </w:rPr>
        <w:t>结算期限</w:t>
      </w:r>
    </w:p>
    <w:p w14:paraId="383C3A34">
      <w:pPr>
        <w:spacing w:line="560" w:lineRule="exact"/>
        <w:ind w:firstLine="640" w:firstLineChars="200"/>
        <w:rPr>
          <w:rFonts w:hint="default" w:ascii="仿宋_GB2312" w:hAnsi="仿宋" w:eastAsia="仿宋_GB2312"/>
          <w:bCs/>
          <w:color w:val="000000"/>
          <w:sz w:val="32"/>
          <w:szCs w:val="32"/>
          <w:lang w:val="en-US" w:eastAsia="zh-CN"/>
        </w:rPr>
      </w:pPr>
      <w:r>
        <w:rPr>
          <w:rFonts w:hint="eastAsia" w:ascii="仿宋_GB2312" w:hAnsi="仿宋" w:eastAsia="仿宋_GB2312"/>
          <w:bCs/>
          <w:color w:val="000000"/>
          <w:sz w:val="32"/>
          <w:szCs w:val="32"/>
          <w:lang w:val="en-US" w:eastAsia="zh-CN"/>
        </w:rPr>
        <w:t>本合同生效后，每次甲方向乙方支付服务使用费前，应先由甲方完成服务使用情况验收，双方根据本合同第6.2条签字确认《服务使用情况验收报告》，再由乙方按规定时间发送账单给甲方。</w:t>
      </w:r>
      <w:r>
        <w:rPr>
          <w:rFonts w:hint="eastAsia" w:ascii="仿宋_GB2312" w:hAnsi="仿宋" w:eastAsia="仿宋_GB2312"/>
          <w:bCs/>
          <w:color w:val="000000"/>
          <w:sz w:val="32"/>
          <w:szCs w:val="32"/>
        </w:rPr>
        <w:t>甲乙双方应当对本合同的履行情况进行核对，并共同确定服务量，乙方应当根据双方共同确定的服务量向甲方提供账单。</w:t>
      </w:r>
    </w:p>
    <w:p w14:paraId="6F459E61">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w:t>
      </w:r>
      <w:r>
        <w:rPr>
          <w:rFonts w:hint="eastAsia" w:ascii="仿宋_GB2312" w:hAnsi="仿宋" w:eastAsia="仿宋_GB2312"/>
          <w:bCs/>
          <w:color w:val="000000"/>
          <w:sz w:val="32"/>
          <w:szCs w:val="32"/>
          <w:u w:val="single"/>
          <w:lang w:val="en-US" w:eastAsia="zh-CN"/>
        </w:rPr>
        <w:t>按半年方式</w:t>
      </w:r>
      <w:r>
        <w:rPr>
          <w:rFonts w:hint="eastAsia" w:ascii="仿宋_GB2312" w:hAnsi="仿宋" w:eastAsia="仿宋_GB2312"/>
          <w:bCs/>
          <w:color w:val="000000"/>
          <w:sz w:val="32"/>
          <w:szCs w:val="32"/>
        </w:rPr>
        <w:t>进行结算，</w:t>
      </w:r>
      <w:r>
        <w:rPr>
          <w:rFonts w:hint="eastAsia" w:ascii="仿宋_GB2312" w:hAnsi="仿宋" w:eastAsia="仿宋_GB2312"/>
          <w:bCs/>
          <w:color w:val="000000"/>
          <w:sz w:val="32"/>
          <w:szCs w:val="32"/>
          <w:lang w:val="en-US" w:eastAsia="zh-CN"/>
        </w:rPr>
        <w:t>甲方根据乙方每半年（1-6月、7-12月）后出具的账单、对应金额的增值税专用发票以及《服务使用情况验收报告》按时支付上一付款周期服务使用费。</w:t>
      </w:r>
      <w:r>
        <w:rPr>
          <w:rFonts w:hint="eastAsia" w:ascii="仿宋_GB2312" w:hAnsi="仿宋" w:eastAsia="仿宋_GB2312"/>
          <w:bCs/>
          <w:color w:val="000000"/>
          <w:sz w:val="32"/>
          <w:szCs w:val="32"/>
        </w:rPr>
        <w:t>甲方在收到乙方按照本合同约定提供的账单以及</w:t>
      </w:r>
      <w:r>
        <w:rPr>
          <w:rFonts w:hint="eastAsia" w:ascii="仿宋_GB2312" w:hAnsi="仿宋" w:eastAsia="仿宋_GB2312" w:cs="宋体"/>
          <w:sz w:val="32"/>
          <w:szCs w:val="32"/>
          <w:u w:val="single"/>
          <w:lang w:val="zh-CN"/>
        </w:rPr>
        <w:t>【发票、</w:t>
      </w:r>
      <w:r>
        <w:rPr>
          <w:rStyle w:val="12"/>
          <w:rFonts w:hint="eastAsia" w:ascii="仿宋_GB2312" w:hAnsi="仿宋" w:eastAsia="仿宋_GB2312" w:cs="宋体"/>
          <w:sz w:val="32"/>
          <w:szCs w:val="32"/>
          <w:u w:val="single"/>
          <w:lang w:val="zh-CN" w:eastAsia="zh-CN"/>
        </w:rPr>
        <w:t>付款申请</w:t>
      </w:r>
      <w:r>
        <w:rPr>
          <w:rFonts w:hint="eastAsia" w:ascii="仿宋_GB2312" w:hAnsi="仿宋" w:eastAsia="仿宋_GB2312" w:cs="宋体"/>
          <w:sz w:val="32"/>
          <w:szCs w:val="32"/>
          <w:u w:val="single"/>
          <w:lang w:val="zh-CN"/>
        </w:rPr>
        <w:t>】</w:t>
      </w:r>
      <w:r>
        <w:rPr>
          <w:rFonts w:hint="eastAsia" w:ascii="仿宋_GB2312" w:hAnsi="仿宋" w:eastAsia="仿宋_GB2312"/>
          <w:color w:val="000000"/>
          <w:sz w:val="32"/>
          <w:szCs w:val="32"/>
        </w:rPr>
        <w:t>后的</w:t>
      </w:r>
      <w:r>
        <w:rPr>
          <w:rFonts w:hint="eastAsia" w:ascii="仿宋_GB2312" w:hAnsi="仿宋" w:eastAsia="仿宋_GB2312" w:cs="宋体"/>
          <w:sz w:val="32"/>
          <w:szCs w:val="32"/>
          <w:u w:val="single"/>
          <w:lang w:val="en-US" w:eastAsia="zh-CN"/>
        </w:rPr>
        <w:t xml:space="preserve">  </w:t>
      </w:r>
      <w:r>
        <w:rPr>
          <w:rFonts w:hint="eastAsia" w:ascii="仿宋_GB2312" w:hAnsi="仿宋" w:eastAsia="仿宋_GB2312" w:cs="宋体"/>
          <w:sz w:val="32"/>
          <w:szCs w:val="32"/>
          <w:lang w:val="zh-CN"/>
        </w:rPr>
        <w:t>个工作日内</w:t>
      </w:r>
      <w:r>
        <w:rPr>
          <w:rFonts w:hint="eastAsia" w:ascii="仿宋_GB2312" w:hAnsi="仿宋" w:eastAsia="仿宋_GB2312"/>
          <w:color w:val="000000"/>
          <w:sz w:val="32"/>
          <w:szCs w:val="32"/>
        </w:rPr>
        <w:t>，向乙方支付账单中的合同金额。</w:t>
      </w:r>
    </w:p>
    <w:p>
      <w:pPr>
        <w:shd w:val="clear" w:color="auto" w:fill="D9D9D9"/>
      </w:pPr>
      <w:r>
        <w:rPr>
          <w:rFonts w:ascii="仿宋_GB2312" w:hAnsi="仿宋_GB2312"/>
          <w:color w:val="000000"/>
          <w:sz w:val="32"/>
        </w:rPr>
        <w:t>应答：满足。系统支持按半年结算的账单管理，能够自动生成每个付款周期（1-6月、7-12月）的账单，并提供增值税专用发票的电子化处理功能。同时，系统具备服务使用情况验收报告的生成与管理，确保甲方在收到乙方提供的账单及相关文件后，能够在规定的工作日内完成付款流程，提升财务结算的效率与准确性。</w:t>
      </w:r>
    </w:p>
    <w:p w14:paraId="146D0502">
      <w:pPr>
        <w:pStyle w:val="9"/>
        <w:spacing w:line="560" w:lineRule="exact"/>
        <w:ind w:firstLine="643" w:firstLineChars="200"/>
        <w:rPr>
          <w:rFonts w:ascii="仿宋_GB2312" w:hAnsi="仿宋" w:eastAsia="仿宋_GB2312"/>
          <w:b/>
          <w:bCs/>
          <w:sz w:val="32"/>
          <w:szCs w:val="32"/>
        </w:rPr>
      </w:pPr>
      <w:r>
        <w:rPr>
          <w:rFonts w:hint="eastAsia" w:ascii="仿宋_GB2312" w:hAnsi="仿宋" w:eastAsia="仿宋_GB2312"/>
          <w:b/>
          <w:bCs/>
          <w:kern w:val="2"/>
          <w:sz w:val="32"/>
          <w:szCs w:val="32"/>
        </w:rPr>
        <w:t>6、</w:t>
      </w:r>
      <w:r>
        <w:rPr>
          <w:rFonts w:hint="eastAsia" w:ascii="仿宋_GB2312" w:hAnsi="仿宋" w:eastAsia="仿宋_GB2312"/>
          <w:b/>
          <w:bCs/>
          <w:sz w:val="32"/>
          <w:szCs w:val="32"/>
        </w:rPr>
        <w:t>验收</w:t>
      </w:r>
    </w:p>
    <w:p w14:paraId="198D71F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6.1 开通验收：业务开通或调整后，乙方均应通知</w:t>
      </w:r>
      <w:r>
        <w:rPr>
          <w:rFonts w:hint="eastAsia" w:ascii="仿宋_GB2312" w:hAnsi="仿宋" w:eastAsia="仿宋_GB2312"/>
          <w:sz w:val="32"/>
          <w:szCs w:val="32"/>
          <w:lang w:val="en-US" w:eastAsia="zh-CN"/>
        </w:rPr>
        <w:t>甲方，由甲方验证通过后方可生效，</w:t>
      </w:r>
      <w:r>
        <w:rPr>
          <w:rFonts w:hint="eastAsia" w:ascii="仿宋_GB2312" w:hAnsi="仿宋" w:eastAsia="仿宋_GB2312"/>
          <w:sz w:val="32"/>
          <w:szCs w:val="32"/>
        </w:rPr>
        <w:t>由乙方开具相关验收单据（见附件三），并由甲方签字确认。甲方签字确认日期为实际开通日，乙方自实际开通日起开始对使用业务计收使用费。如无甲方签署的</w:t>
      </w:r>
      <w:r>
        <w:rPr>
          <w:rFonts w:hint="eastAsia" w:ascii="仿宋_GB2312" w:hAnsi="仿宋" w:eastAsia="仿宋_GB2312"/>
          <w:sz w:val="32"/>
          <w:szCs w:val="32"/>
          <w:lang w:val="en-US" w:eastAsia="zh-CN"/>
        </w:rPr>
        <w:t>相关验收单据</w:t>
      </w:r>
      <w:r>
        <w:rPr>
          <w:rFonts w:hint="eastAsia" w:ascii="仿宋_GB2312" w:hAnsi="仿宋" w:eastAsia="仿宋_GB2312"/>
          <w:sz w:val="32"/>
          <w:szCs w:val="32"/>
        </w:rPr>
        <w:t>，视为验收不通过，甲方有权拒绝支付相关费用。</w:t>
      </w:r>
    </w:p>
    <w:p w14:paraId="7272E79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如果服务不能按照合同规定通过验收，乙方将采取一切补救措施以使验收测试能够在甲方要求的期限内进行，再次验收测试由乙方负担费用。</w:t>
      </w:r>
    </w:p>
    <w:p>
      <w:pPr>
        <w:shd w:val="clear" w:color="auto" w:fill="D9D9D9"/>
      </w:pPr>
      <w:r>
        <w:rPr>
          <w:rFonts w:ascii="仿宋_GB2312" w:hAnsi="仿宋_GB2312"/>
          <w:color w:val="000000"/>
          <w:sz w:val="32"/>
        </w:rPr>
        <w:t>应答：满足。系统将严格遵循合同规定，确保服务按时通过验收。如未能通过验收，我方将立即采取补救措施，包括但不限于技术调整和资源优化，以确保在甲方要求的期限内完成验收测试。再次验收测试的相关费用将由我方承担，确保甲方的权益得到保障。</w:t>
      </w:r>
    </w:p>
    <w:p w14:paraId="6B7D47CC">
      <w:pPr>
        <w:spacing w:line="560" w:lineRule="exact"/>
        <w:ind w:firstLine="640" w:firstLineChars="200"/>
        <w:rPr>
          <w:rFonts w:ascii="仿宋_GB2312" w:hAnsi="仿宋" w:eastAsia="仿宋_GB2312" w:cs="Adobe 仿宋 Std R"/>
          <w:spacing w:val="-8"/>
          <w:position w:val="-4"/>
          <w:sz w:val="32"/>
          <w:szCs w:val="32"/>
        </w:rPr>
      </w:pPr>
      <w:r>
        <w:rPr>
          <w:rFonts w:hint="eastAsia" w:ascii="仿宋_GB2312" w:hAnsi="仿宋" w:eastAsia="仿宋_GB2312"/>
          <w:color w:val="000000"/>
          <w:sz w:val="32"/>
          <w:szCs w:val="32"/>
        </w:rPr>
        <w:t>6.2</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rPr>
        <w:t>服务使用情况验收：甲方向乙方支付服务使用费前，甲乙双方应对二次放号查询服务有效调用次数、服务使用情况等进行验收，由甲方对服务运行质量、故障情况进行评估，并根据实际运行情况出具验收报告，发送给乙方双方确认后签字，验收报告作为服务使用费的支付依据。</w:t>
      </w:r>
      <w:r>
        <w:rPr>
          <w:rFonts w:hint="eastAsia" w:ascii="仿宋_GB2312" w:hAnsi="仿宋" w:eastAsia="仿宋_GB2312" w:cs="Adobe 仿宋 Std R"/>
          <w:spacing w:val="-8"/>
          <w:position w:val="-4"/>
          <w:sz w:val="32"/>
          <w:szCs w:val="32"/>
        </w:rPr>
        <w:t xml:space="preserve">     </w:t>
      </w:r>
    </w:p>
    <w:p w14:paraId="725C6CA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kern w:val="2"/>
          <w:sz w:val="32"/>
          <w:szCs w:val="32"/>
          <w:lang w:val="en-US" w:eastAsia="zh-CN"/>
        </w:rPr>
        <w:t>7</w:t>
      </w:r>
      <w:r>
        <w:rPr>
          <w:rFonts w:hint="eastAsia" w:ascii="仿宋_GB2312" w:hAnsi="仿宋" w:eastAsia="仿宋_GB2312"/>
          <w:b/>
          <w:bCs/>
          <w:sz w:val="32"/>
          <w:szCs w:val="32"/>
        </w:rPr>
        <w:t>、安全条款</w:t>
      </w:r>
    </w:p>
    <w:p w14:paraId="08E9907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乙方与甲方签订本合同应当遵守安全方面的法律法规要求，包括但不限于：</w:t>
      </w:r>
    </w:p>
    <w:p>
      <w:pPr>
        <w:shd w:val="clear" w:color="auto" w:fill="D9D9D9"/>
      </w:pPr>
      <w:r>
        <w:rPr>
          <w:rFonts w:ascii="仿宋_GB2312" w:hAnsi="仿宋_GB2312"/>
          <w:color w:val="000000"/>
          <w:sz w:val="32"/>
        </w:rPr>
        <w:t>应答：满足。系统严格遵循国家及地方安全法律法规要求，确保数据保护和隐私安全。我们将实施多层次的安全防护措施，包括数据加密、访问控制和审计日志，确保合同履行过程中的信息安全和合规性。同时，定期进行安全审计和风险评估，以持续优化安全策略。</w:t>
      </w:r>
    </w:p>
    <w:p w14:paraId="0357A41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 根据监管部门要求或甲方提出需要时，乙方须配合甲方或由甲方委托的第三方进行风险评估、安全审查或供应链以及服务人员背景审查，且甲方无需为此向乙方支付额外费用。</w:t>
      </w:r>
    </w:p>
    <w:p>
      <w:pPr>
        <w:shd w:val="clear" w:color="auto" w:fill="D9D9D9"/>
      </w:pPr>
      <w:r>
        <w:rPr>
          <w:rFonts w:ascii="仿宋_GB2312" w:hAnsi="仿宋_GB2312"/>
          <w:color w:val="000000"/>
          <w:sz w:val="32"/>
        </w:rPr>
        <w:t>应答：满足。系统具备完善的风险评估与安全审查机制，能够配合甲方及其委托的第三方进行全面的风险评估和背景审查。我们将提供所需的支持与数据，确保审查过程高效、透明，且不产生额外费用。</w:t>
      </w:r>
    </w:p>
    <w:p w14:paraId="543F8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.2 乙方为甲方提供服务的雇员（或代理人）须经过乙方自查，包括人员身份验证、工作技能及资质、教育背景等须符合履行本合同之需要，并确保上述雇员（或代理人）不存在违法犯罪记录、治安管理处罚记录或不良信用记录。</w:t>
      </w:r>
    </w:p>
    <w:p>
      <w:pPr>
        <w:shd w:val="clear" w:color="auto" w:fill="D9D9D9"/>
      </w:pPr>
      <w:r>
        <w:rPr>
          <w:rFonts w:ascii="仿宋_GB2312" w:hAnsi="仿宋_GB2312"/>
          <w:color w:val="000000"/>
          <w:sz w:val="32"/>
        </w:rPr>
        <w:t>应答：满足。系统支持对雇员（或代理人）进行全面的身份验证和背景审查，包括工作技能、资质和教育背景的审核。我们将建立严格的审核流程，确保所有雇员均符合合同履行的要求，并定期更新和维护不良记录数据库，确保雇员不存在违法犯罪记录、治安管理处罚记录或不良信用记录。</w:t>
      </w:r>
    </w:p>
    <w:p w14:paraId="23BFF4BE">
      <w:pPr>
        <w:widowControl/>
        <w:ind w:firstLine="640" w:firstLineChars="200"/>
        <w:jc w:val="left"/>
        <w:rPr>
          <w:rFonts w:ascii="宋体" w:hAnsi="宋体" w:eastAsia="宋体" w:cs="宋体"/>
          <w:kern w:val="0"/>
          <w:sz w:val="24"/>
          <w:szCs w:val="24"/>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 xml:space="preserve">.3 </w:t>
      </w:r>
      <w:r>
        <w:rPr>
          <w:rFonts w:hint="eastAsia" w:ascii="仿宋_GB2312" w:hAnsi="仿宋" w:eastAsia="仿宋_GB2312"/>
          <w:kern w:val="0"/>
          <w:sz w:val="32"/>
          <w:szCs w:val="32"/>
        </w:rPr>
        <w:t>甲方可以根据需要要求乙方及其雇员（或代理人）签署相关保密承诺书</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乙方及其雇员（或代理人）签署相关保密承诺书的功能，确保所有参与项目的人员均遵守保密协议。我们将提供标准化的保密承诺书模板，并支持电子签名功能，确保签署过程的高效与合规。同时，系统将记录所有签署行为，以便于后续审计和合规检查。</w:t>
      </w:r>
    </w:p>
    <w:p w14:paraId="161CF0C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.4 乙方应当为甲方提供服务的雇员（或代理人）提供安全保护和信息安全培训。</w:t>
      </w:r>
    </w:p>
    <w:p>
      <w:pPr>
        <w:shd w:val="clear" w:color="auto" w:fill="D9D9D9"/>
      </w:pPr>
      <w:r>
        <w:rPr>
          <w:rFonts w:ascii="仿宋_GB2312" w:hAnsi="仿宋_GB2312"/>
          <w:color w:val="000000"/>
          <w:sz w:val="32"/>
        </w:rPr>
        <w:t>应答：满足。系统支持为服务雇员及代理人提供全面的信息安全培训，涵盖数据保护、网络安全、身份验证等关键领域。培训内容遵循行业标准，确保员工掌握信息安全最佳实践，降低安全风险。同时，提供定期的安全意识提升课程，确保持续合规与安全防护能力的提升。</w:t>
      </w:r>
    </w:p>
    <w:p w14:paraId="67B715C2">
      <w:pPr>
        <w:spacing w:line="560" w:lineRule="exact"/>
        <w:ind w:firstLine="640" w:firstLineChars="200"/>
        <w:rPr>
          <w:rFonts w:ascii="仿宋_GB2312" w:hAnsi="仿宋" w:eastAsia="仿宋_GB2312"/>
          <w:sz w:val="32"/>
          <w:szCs w:val="32"/>
        </w:rPr>
      </w:pPr>
      <w:r>
        <w:rPr>
          <w:rFonts w:hint="eastAsia" w:ascii="仿宋_GB2312" w:hAnsi="宋体" w:eastAsia="仿宋_GB2312"/>
          <w:sz w:val="32"/>
          <w:lang w:val="en-US" w:eastAsia="zh-CN"/>
        </w:rPr>
        <w:t>7</w:t>
      </w:r>
      <w:r>
        <w:rPr>
          <w:rFonts w:hint="eastAsia" w:ascii="仿宋_GB2312" w:hAnsi="宋体" w:eastAsia="仿宋_GB2312"/>
          <w:sz w:val="32"/>
        </w:rPr>
        <w:t xml:space="preserve">.5 </w:t>
      </w:r>
      <w:r>
        <w:rPr>
          <w:rFonts w:hint="eastAsia" w:ascii="仿宋_GB2312" w:hAnsi="仿宋" w:eastAsia="仿宋_GB2312"/>
          <w:sz w:val="32"/>
          <w:szCs w:val="32"/>
        </w:rPr>
        <w:t>乙方应当为甲方提供培训，培训内容包括但不限于交付物的质量标准、产品使用、故障排除等。</w:t>
      </w:r>
    </w:p>
    <w:p>
      <w:pPr>
        <w:shd w:val="clear" w:color="auto" w:fill="D9D9D9"/>
      </w:pPr>
      <w:r>
        <w:rPr>
          <w:rFonts w:ascii="仿宋_GB2312" w:hAnsi="仿宋_GB2312"/>
          <w:color w:val="000000"/>
          <w:sz w:val="32"/>
        </w:rPr>
        <w:t>应答：满足。我方将为甲方提供全面的培训服务，培训内容涵盖交付物的质量标准、产品使用方法及故障排除技巧。培训将由经验丰富的专业讲师进行，确保甲方团队能够熟练掌握相关知识，提升产品使用效率和故障处理能力。</w:t>
      </w:r>
    </w:p>
    <w:p w14:paraId="7F83C65E">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 xml:space="preserve">.6 </w:t>
      </w:r>
      <w:r>
        <w:rPr>
          <w:rFonts w:hint="eastAsia" w:ascii="仿宋_GB2312" w:hAnsi="仿宋" w:eastAsia="仿宋_GB2312"/>
          <w:sz w:val="32"/>
          <w:szCs w:val="32"/>
        </w:rPr>
        <w:t>为保证乙方提供的产品或服务可以持续正常运行，乙方应提供解决各类故障问题的应急预案和高可用保障方案，并配备相对独立或者专用的服务人员团队、场地、信息系统和信息基础设施等资源，确保甲方享有资源优先获取和应急处置的权利。</w:t>
      </w:r>
    </w:p>
    <w:p>
      <w:pPr>
        <w:shd w:val="clear" w:color="auto" w:fill="D9D9D9"/>
      </w:pPr>
      <w:r>
        <w:rPr>
          <w:rFonts w:ascii="仿宋_GB2312" w:hAnsi="仿宋_GB2312"/>
          <w:color w:val="000000"/>
          <w:sz w:val="32"/>
        </w:rPr>
        <w:t>应答：满足。我方将提供全面的应急预案和高可用保障方案，确保产品和服务的持续正常运行。我们将配备专门的服务团队，具备独立的场地和信息基础设施，确保在故障发生时能够快速响应。我们的团队将优先处理甲方的需求，确保资源的及时获取和应急处置，最大限度降低业务影响。</w:t>
      </w:r>
    </w:p>
    <w:p w14:paraId="6F4E786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.7</w:t>
      </w:r>
      <w:r>
        <w:rPr>
          <w:rFonts w:hint="eastAsia" w:ascii="仿宋_GB2312" w:hAnsi="仿宋" w:eastAsia="仿宋_GB2312"/>
          <w:sz w:val="32"/>
          <w:szCs w:val="32"/>
        </w:rPr>
        <w:t>如涉及软件开发及外包服务的，乙方提供的软件开发和外包服务必须位于中国境内完成，如果需在境外完成，乙方需事先征得甲方同意，并提供甲方可接受的安全解决方案以降低可能给甲方造成通信、控制、数据保护或其他风险。</w:t>
      </w:r>
    </w:p>
    <w:p>
      <w:pPr>
        <w:shd w:val="clear" w:color="auto" w:fill="D9D9D9"/>
      </w:pPr>
      <w:r>
        <w:rPr>
          <w:rFonts w:ascii="仿宋_GB2312" w:hAnsi="仿宋_GB2312"/>
          <w:color w:val="000000"/>
          <w:sz w:val="32"/>
        </w:rPr>
        <w:t>应答：满足。我方的软件开发及外包服务均在中国境内完成，确保符合甲方的合规要求。如需在境外进行相关工作，我方将提前与甲方沟通，并提供详细的安全解决方案，包括数据加密、访问控制及风险评估，确保通信、控制及数据保护的安全性，最大限度降低潜在风险。</w:t>
      </w:r>
    </w:p>
    <w:p w14:paraId="306F084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乙方应在设计、开发环节识别安全风险，制定安全策略，采取适当的措施保障安全，建立应对安全缺陷和漏洞的响应机制。</w:t>
      </w:r>
    </w:p>
    <w:p>
      <w:pPr>
        <w:shd w:val="clear" w:color="auto" w:fill="D9D9D9"/>
      </w:pPr>
      <w:r>
        <w:rPr>
          <w:rFonts w:ascii="仿宋_GB2312" w:hAnsi="仿宋_GB2312"/>
          <w:color w:val="000000"/>
          <w:sz w:val="32"/>
        </w:rPr>
        <w:t>应答：满足。系统在设计和开发阶段将实施全面的安全风险识别流程，结合行业标准如OWASP和ISO 27001，制定详尽的安全策略。我们将采取多层次的安全措施，包括代码审查、渗透测试和安全培训，确保系统的安全性。同时，建立完善的安全缺陷和漏洞响应机制，确保在发现安全问题后能迅速响应并修复，保障系统的持续安全运行。</w:t>
      </w:r>
    </w:p>
    <w:p w14:paraId="4833F92A">
      <w:pPr>
        <w:adjustRightInd w:val="0"/>
        <w:snapToGrid w:val="0"/>
        <w:spacing w:line="560" w:lineRule="exact"/>
        <w:ind w:firstLine="640" w:firstLineChars="200"/>
        <w:rPr>
          <w:rFonts w:ascii="仿宋_GB2312" w:hAnsi="仿宋" w:eastAsia="仿宋_GB2312"/>
          <w:sz w:val="32"/>
          <w:szCs w:val="36"/>
        </w:rPr>
      </w:pPr>
      <w:bookmarkStart w:id="5" w:name="_Hlk71632174"/>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9</w:t>
      </w:r>
      <w:r>
        <w:rPr>
          <w:rFonts w:hint="eastAsia" w:ascii="仿宋_GB2312" w:hAnsi="仿宋" w:eastAsia="仿宋_GB2312"/>
          <w:sz w:val="32"/>
          <w:szCs w:val="36"/>
        </w:rPr>
        <w:t>乙方须对提供的产品或服务定期进行安全漏洞检查，频率不应低于3个月1次，并按照该频率主动报告其提供的产品或服务是否受中高危漏洞影响。当权威漏洞库发布、中国人民银行等监管部门通报或乙方发现所提供的产品或服务存在漏洞时，乙方须于1个工作日内书面报告甲方，并</w:t>
      </w:r>
      <w:r>
        <w:rPr>
          <w:rFonts w:hint="eastAsia" w:ascii="仿宋_GB2312" w:hAnsi="仿宋" w:eastAsia="仿宋_GB2312"/>
          <w:sz w:val="32"/>
          <w:szCs w:val="32"/>
        </w:rPr>
        <w:t>于3个工作日内给出临时处置建议，</w:t>
      </w:r>
      <w:r>
        <w:rPr>
          <w:rFonts w:hint="eastAsia" w:ascii="仿宋_GB2312" w:hAnsi="仿宋" w:eastAsia="仿宋_GB2312"/>
          <w:sz w:val="32"/>
          <w:szCs w:val="36"/>
        </w:rPr>
        <w:t>尽快采取适当的措施修正或减轻发现的威胁，不得隐瞒漏洞、不得设置后门或恶意程序。遇到紧急高危漏洞，应于</w:t>
      </w:r>
      <w:r>
        <w:rPr>
          <w:rFonts w:ascii="仿宋_GB2312" w:hAnsi="仿宋" w:eastAsia="仿宋_GB2312"/>
          <w:sz w:val="32"/>
          <w:szCs w:val="36"/>
        </w:rPr>
        <w:t>2</w:t>
      </w:r>
      <w:r>
        <w:rPr>
          <w:rFonts w:hint="eastAsia" w:ascii="仿宋_GB2312" w:hAnsi="仿宋" w:eastAsia="仿宋_GB2312"/>
          <w:sz w:val="32"/>
          <w:szCs w:val="36"/>
        </w:rPr>
        <w:t>小时内进行报告（不限于电话、邮件或其他约定方式），并于</w:t>
      </w:r>
      <w:r>
        <w:rPr>
          <w:rFonts w:ascii="仿宋_GB2312" w:hAnsi="仿宋" w:eastAsia="仿宋_GB2312"/>
          <w:sz w:val="32"/>
          <w:szCs w:val="36"/>
        </w:rPr>
        <w:t>8</w:t>
      </w:r>
      <w:r>
        <w:rPr>
          <w:rFonts w:hint="eastAsia" w:ascii="仿宋_GB2312" w:hAnsi="仿宋" w:eastAsia="仿宋_GB2312"/>
          <w:sz w:val="32"/>
          <w:szCs w:val="36"/>
        </w:rPr>
        <w:t>小时内出具解决方案，尽快协助甲方完成修复，保障为甲方提供的产品或服务安全、稳定运行。</w:t>
      </w:r>
      <w:bookmarkStart w:id="6" w:name="_Hlk199922489"/>
      <w:r>
        <w:rPr>
          <w:rFonts w:hint="eastAsia" w:ascii="仿宋_GB2312" w:hAnsi="仿宋" w:eastAsia="仿宋_GB2312"/>
          <w:sz w:val="32"/>
          <w:szCs w:val="36"/>
        </w:rPr>
        <w:t>乙方应配合甲方开展源代码和组件安全扫描等日常风险排查</w:t>
      </w:r>
      <w:r>
        <w:rPr>
          <w:rFonts w:ascii="仿宋_GB2312" w:hAnsi="仿宋" w:eastAsia="仿宋_GB2312"/>
          <w:sz w:val="32"/>
          <w:szCs w:val="36"/>
        </w:rPr>
        <w:t>/自查工作</w:t>
      </w:r>
      <w:bookmarkEnd w:id="6"/>
      <w:r>
        <w:rPr>
          <w:rFonts w:hint="eastAsia" w:ascii="仿宋_GB2312" w:hAnsi="仿宋" w:eastAsia="仿宋_GB2312"/>
          <w:sz w:val="32"/>
          <w:szCs w:val="36"/>
        </w:rPr>
        <w:t>。</w:t>
      </w:r>
    </w:p>
    <w:p>
      <w:pPr>
        <w:shd w:val="clear" w:color="auto" w:fill="D9D9D9"/>
      </w:pPr>
      <w:r>
        <w:rPr>
          <w:rFonts w:ascii="仿宋_GB2312" w:hAnsi="仿宋_GB2312"/>
          <w:color w:val="000000"/>
          <w:sz w:val="32"/>
        </w:rPr>
        <w:t>应答：满足。我方将定期对提供的产品和服务进行安全漏洞检查，频率不低于每三个月一次，并主动报告中高危漏洞的影响情况。针对权威漏洞库的发布及监管部门的通报，我方承诺在1个工作日内书面报告甲方，并在3个工作日内提供临时处置建议。对于紧急高危漏洞，我方将在2小时内进行报告，并在8小时内提供解决方案，确保甲方的产品和服务安全、稳定运行。同时，我方将积极配合甲方开展源代码和组件的安全扫描及日常风险排查工作。</w:t>
      </w:r>
    </w:p>
    <w:p w14:paraId="0CEA8FD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前款所称权威漏洞库包括通用漏洞披露（CVE）、国家信息安全漏洞共享平台（CNVD）和中国国家信息安全漏洞库（CNNVD）。前款所称书面报告，方式限于书面发函及电子邮件形式，告知内容包括但不限于描述安全风险事实、描述漏洞详情、可能后果及建议措施等。</w:t>
      </w:r>
    </w:p>
    <w:p>
      <w:pPr>
        <w:shd w:val="clear" w:color="auto" w:fill="D9D9D9"/>
      </w:pPr>
      <w:r>
        <w:rPr>
          <w:rFonts w:ascii="仿宋_GB2312" w:hAnsi="仿宋_GB2312"/>
          <w:color w:val="000000"/>
          <w:sz w:val="32"/>
        </w:rPr>
        <w:t>应答：满足。我方系统集成了权威漏洞库，包括CVE、CNVD和CNNVD，确保及时获取最新的安全漏洞信息。系统能够生成书面报告，支持通过发函及电子邮件形式发送，报告内容涵盖安全风险描述、漏洞详情、可能后果及建议措施，确保信息传递的准确性和及时性。</w:t>
      </w:r>
    </w:p>
    <w:p w14:paraId="1D9CB4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乙方收到甲方反馈其提供的产品或服务存在风险信息后，应立即核查确认，于</w:t>
      </w:r>
      <w:r>
        <w:rPr>
          <w:rFonts w:ascii="仿宋_GB2312" w:hAnsi="仿宋" w:eastAsia="仿宋_GB2312"/>
          <w:sz w:val="32"/>
          <w:szCs w:val="32"/>
        </w:rPr>
        <w:t>1</w:t>
      </w:r>
      <w:r>
        <w:rPr>
          <w:rFonts w:hint="eastAsia" w:ascii="仿宋_GB2312" w:hAnsi="仿宋" w:eastAsia="仿宋_GB2312"/>
          <w:sz w:val="32"/>
          <w:szCs w:val="32"/>
        </w:rPr>
        <w:t>个工作日内给出临时处置建议，确认受风险影响后应立即启动应急预案，安排专业工程师现场进行影响情况分析，同时，二线专家全程进行及时的技术支持，并及时出具事件处置报告。上述分析处置过程应符合甲方相关网络安全管理要求。</w:t>
      </w:r>
    </w:p>
    <w:p>
      <w:pPr>
        <w:shd w:val="clear" w:color="auto" w:fill="D9D9D9"/>
      </w:pPr>
      <w:r>
        <w:rPr>
          <w:rFonts w:ascii="仿宋_GB2312" w:hAnsi="仿宋_GB2312"/>
          <w:color w:val="000000"/>
          <w:sz w:val="32"/>
        </w:rPr>
        <w:t>应答：满足。我方系统具备完善的风险管理机制，能够在收到风险信息后立即启动核查流程，并在1个工作日内提供临时处置建议。确认受影响后，将迅速启动应急预案，安排专业工程师现场进行影响情况分析，同时，二线专家将提供全程技术支持，确保问题迅速解决。此外，所有分析处置过程将严格遵循甲方的网络安全管理要求，确保合规性和安全性。</w:t>
      </w:r>
    </w:p>
    <w:p w14:paraId="1FC4547C">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乙方</w:t>
      </w:r>
      <w:r>
        <w:rPr>
          <w:rFonts w:hint="eastAsia" w:ascii="仿宋_GB2312" w:hAnsi="仿宋" w:eastAsia="仿宋_GB2312"/>
          <w:sz w:val="32"/>
          <w:szCs w:val="32"/>
        </w:rPr>
        <w:t>对</w:t>
      </w:r>
      <w:r>
        <w:rPr>
          <w:rFonts w:ascii="仿宋_GB2312" w:hAnsi="仿宋" w:eastAsia="仿宋_GB2312"/>
          <w:sz w:val="32"/>
          <w:szCs w:val="32"/>
        </w:rPr>
        <w:t>提供的产品或服务</w:t>
      </w:r>
      <w:r>
        <w:rPr>
          <w:rFonts w:hint="eastAsia" w:ascii="仿宋_GB2312" w:hAnsi="仿宋" w:eastAsia="仿宋_GB2312"/>
          <w:sz w:val="32"/>
          <w:szCs w:val="32"/>
        </w:rPr>
        <w:t>进行新版本发布、算法规则更新或防护策略优化时，须于5个工作日内告知甲方，并提供相应升级、更新和优化等技术支持服务。</w:t>
      </w:r>
    </w:p>
    <w:p>
      <w:pPr>
        <w:shd w:val="clear" w:color="auto" w:fill="D9D9D9"/>
      </w:pPr>
      <w:r>
        <w:rPr>
          <w:rFonts w:ascii="仿宋_GB2312" w:hAnsi="仿宋_GB2312"/>
          <w:color w:val="000000"/>
          <w:sz w:val="32"/>
        </w:rPr>
        <w:t>应答：满足。系统在新版本发布、算法规则更新或防护策略优化时，能够在5个工作日内主动通知甲方，并提供详细的升级、更新和优化方案。同时，我方将确保技术支持服务的及时性与有效性，以保障甲方系统的持续稳定运行。</w:t>
      </w:r>
    </w:p>
    <w:bookmarkEnd w:id="5"/>
    <w:p w14:paraId="26FCC7CA">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10</w:t>
      </w:r>
      <w:r>
        <w:rPr>
          <w:rFonts w:hint="eastAsia" w:ascii="仿宋_GB2312" w:hAnsi="仿宋" w:eastAsia="仿宋_GB2312"/>
          <w:sz w:val="32"/>
          <w:szCs w:val="32"/>
        </w:rPr>
        <w:t xml:space="preserve"> 乙方须配合甲方进行安全审查，在服务期内不得中止、拖延、终止提供安全维护。</w:t>
      </w:r>
    </w:p>
    <w:p>
      <w:pPr>
        <w:shd w:val="clear" w:color="auto" w:fill="D9D9D9"/>
      </w:pPr>
      <w:r>
        <w:rPr>
          <w:rFonts w:ascii="仿宋_GB2312" w:hAnsi="仿宋_GB2312"/>
          <w:color w:val="000000"/>
          <w:sz w:val="32"/>
        </w:rPr>
        <w:t>应答：满足。系统将严格遵循安全审查要求，确保在服务期内持续提供安全维护服务，不会中止、拖延或终止。我们将建立专门的安全维护团队，定期进行安全评估和漏洞修复，确保系统安全性和稳定性，符合甲方的安全管理标准。</w:t>
      </w:r>
    </w:p>
    <w:p w14:paraId="4A89641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涉及软件升级的，乙方须配合甲方审查，以证明开发和采购符合安全要求，保证产品和服务在实施后能够按照预期的方式和环境使用。</w:t>
      </w:r>
    </w:p>
    <w:p>
      <w:pPr>
        <w:shd w:val="clear" w:color="auto" w:fill="D9D9D9"/>
      </w:pPr>
      <w:r>
        <w:rPr>
          <w:rFonts w:ascii="仿宋_GB2312" w:hAnsi="仿宋_GB2312"/>
          <w:color w:val="000000"/>
          <w:sz w:val="32"/>
        </w:rPr>
        <w:t>应答：满足。系统支持软件升级管理，乙方将配合甲方进行全面审查，确保所有开发和采购符合最新的安全标准。我们将提供详细的安全合规报告，确保产品和服务在实施后能够在预期的环境中稳定运行，达到既定的性能和安全要求。</w:t>
      </w:r>
    </w:p>
    <w:p w14:paraId="13D128F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2</w:t>
      </w:r>
      <w:r>
        <w:rPr>
          <w:rFonts w:hint="eastAsia" w:ascii="仿宋_GB2312" w:hAnsi="仿宋" w:eastAsia="仿宋_GB2312"/>
          <w:sz w:val="32"/>
          <w:szCs w:val="32"/>
        </w:rPr>
        <w:t xml:space="preserve"> 乙方所采取的安全控制措施应与甲方信息系统的安全等级保持一致。</w:t>
      </w:r>
    </w:p>
    <w:p>
      <w:pPr>
        <w:shd w:val="clear" w:color="auto" w:fill="D9D9D9"/>
      </w:pPr>
      <w:r>
        <w:rPr>
          <w:rFonts w:ascii="仿宋_GB2312" w:hAnsi="仿宋_GB2312"/>
          <w:color w:val="000000"/>
          <w:sz w:val="32"/>
        </w:rPr>
        <w:t>应答：满足。系统采取的安全控制措施严格遵循甲方信息系统的安全等级标准，涵盖数据加密、访问控制、身份认证等多项安全策略，确保信息的机密性、完整性和可用性。同时，定期进行安全审计和漏洞扫描，及时修复安全隐患，保障系统的安全稳定运行。</w:t>
      </w:r>
    </w:p>
    <w:p w14:paraId="5A1E1D98">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3</w:t>
      </w:r>
      <w:r>
        <w:rPr>
          <w:rFonts w:hint="eastAsia" w:ascii="仿宋_GB2312" w:hAnsi="仿宋" w:eastAsia="仿宋_GB2312"/>
          <w:sz w:val="32"/>
          <w:szCs w:val="32"/>
        </w:rPr>
        <w:t xml:space="preserve"> 其他安全要求</w:t>
      </w:r>
    </w:p>
    <w:p>
      <w:pPr>
        <w:shd w:val="clear" w:color="auto" w:fill="D9D9D9"/>
      </w:pPr>
      <w:r>
        <w:rPr>
          <w:rFonts w:ascii="仿宋_GB2312" w:hAnsi="仿宋_GB2312"/>
          <w:color w:val="000000"/>
          <w:sz w:val="32"/>
        </w:rPr>
        <w:t>应答：满足。系统支持多层次的安全防护机制，包括数据加密、访问控制和审计日志功能，确保数据在传输和存储过程中的安全性。同时，系统具备身份验证和权限管理功能，能够有效防止未授权访问，确保用户数据的隐私和安全。</w:t>
      </w:r>
    </w:p>
    <w:p w14:paraId="605BF9F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（1）乙方有义务严守甲方及甲方的商业秘密、国家秘密、内部资料和信息，不以任何的形式将甲方数据资料等带出工作现场。</w:t>
      </w:r>
    </w:p>
    <w:p>
      <w:pPr>
        <w:shd w:val="clear" w:color="auto" w:fill="D9D9D9"/>
      </w:pPr>
      <w:r>
        <w:rPr>
          <w:rFonts w:ascii="仿宋_GB2312" w:hAnsi="仿宋_GB2312"/>
          <w:color w:val="000000"/>
          <w:sz w:val="32"/>
        </w:rPr>
        <w:t>应答：满足。我方将严格遵循甲方的商业秘密和国家秘密保护要求，建立完善的数据安全管理制度，确保所有甲方数据资料在工作现场内进行处理，不会以任何形式外泄。同时，所有参与项目的人员将签署保密协议，确保信息安全和合规性。</w:t>
      </w:r>
    </w:p>
    <w:p w14:paraId="4391B97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（2）乙方在服务过程中如果对甲方运行正常的硬件或软件因误操作造成损坏，乙方应负责修复或更换，确保甲方的正常使用并赔偿甲方的损失。</w:t>
      </w:r>
    </w:p>
    <w:p>
      <w:pPr>
        <w:shd w:val="clear" w:color="auto" w:fill="D9D9D9"/>
      </w:pPr>
      <w:r>
        <w:rPr>
          <w:rFonts w:ascii="仿宋_GB2312" w:hAnsi="仿宋_GB2312"/>
          <w:color w:val="000000"/>
          <w:sz w:val="32"/>
        </w:rPr>
        <w:t>应答：满足。系统在服务过程中，乙方将严格遵循操作规范，确保对甲方硬件和软件的安全使用。如因误操作造成损坏，乙方承诺负责及时修复或更换受损设备，并赔偿甲方因此产生的损失，确保甲方的正常使用不受影响。</w:t>
      </w:r>
    </w:p>
    <w:p w14:paraId="48842B25">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8</w:t>
      </w:r>
      <w:r>
        <w:rPr>
          <w:rFonts w:hint="eastAsia" w:ascii="仿宋_GB2312" w:hAnsi="仿宋" w:eastAsia="仿宋_GB2312"/>
          <w:b/>
          <w:bCs/>
          <w:sz w:val="32"/>
          <w:szCs w:val="32"/>
        </w:rPr>
        <w:t>、知识产权及开源合规担保</w:t>
      </w:r>
    </w:p>
    <w:p>
      <w:pPr>
        <w:shd w:val="clear" w:color="auto" w:fill="D9D9D9"/>
      </w:pPr>
      <w:r>
        <w:rPr>
          <w:rFonts w:ascii="仿宋_GB2312" w:hAnsi="仿宋_GB2312"/>
          <w:b/>
          <w:color w:val="000000"/>
          <w:sz w:val="32"/>
        </w:rPr>
        <w:t>应答：满足。系统严格遵循知识产权及开源合规标准，确保所有使用的开源组件均符合相关许可证要求，并提供完整的合规性文档。我们将定期进行知识产权审查，确保不侵犯第三方权益，同时为客户提供知识产权担保，确保系统的合法性与安全性。</w:t>
      </w:r>
    </w:p>
    <w:p w14:paraId="11781764">
      <w:pPr>
        <w:spacing w:line="560" w:lineRule="exact"/>
        <w:ind w:firstLine="640" w:firstLineChars="200"/>
        <w:rPr>
          <w:rFonts w:ascii="仿宋_GB2312" w:hAnsi="仿宋" w:eastAsia="仿宋_GB2312"/>
          <w:kern w:val="0"/>
          <w:sz w:val="32"/>
          <w:szCs w:val="32"/>
        </w:rPr>
      </w:pPr>
      <w:r>
        <w:rPr>
          <w:rFonts w:hint="eastAsia" w:ascii="仿宋_GB2312" w:hAnsi="仿宋" w:eastAsia="仿宋_GB2312"/>
          <w:sz w:val="32"/>
          <w:szCs w:val="32"/>
          <w:lang w:val="en-US" w:eastAsia="zh-CN"/>
        </w:rPr>
        <w:t>8</w:t>
      </w:r>
      <w:r>
        <w:rPr>
          <w:rFonts w:hint="eastAsia" w:ascii="仿宋_GB2312" w:hAnsi="仿宋" w:eastAsia="仿宋_GB2312"/>
          <w:sz w:val="32"/>
          <w:szCs w:val="32"/>
        </w:rPr>
        <w:t xml:space="preserve">.1 </w:t>
      </w:r>
      <w:r>
        <w:rPr>
          <w:rFonts w:hint="eastAsia" w:ascii="仿宋_GB2312" w:hAnsi="仿宋" w:eastAsia="仿宋_GB2312"/>
          <w:kern w:val="0"/>
          <w:sz w:val="32"/>
          <w:szCs w:val="32"/>
        </w:rPr>
        <w:t>在不影响本合同其他条款有关知识产权许可及/或转让的约定的前提下，在本合同生效时已经存在并为各方合法拥有或使用的所有技术或资料、信息的知识产权和所有权，仍应属于其各自的原权利人所有或享有。</w:t>
      </w:r>
    </w:p>
    <w:p>
      <w:pPr>
        <w:shd w:val="clear" w:color="auto" w:fill="D9D9D9"/>
      </w:pPr>
      <w:r>
        <w:rPr>
          <w:rFonts w:ascii="仿宋_GB2312" w:hAnsi="仿宋_GB2312"/>
          <w:color w:val="000000"/>
          <w:sz w:val="32"/>
        </w:rPr>
        <w:t>应答：满足。系统在合同生效时，确保所有已存在的技术、资料和信息的知识产权及所有权归各自的原权利人所有。我们将严格遵循合同条款，维护知识产权的合法性，确保在不影响合同其他条款的前提下，保护各方的合法权益。</w:t>
      </w:r>
    </w:p>
    <w:p w14:paraId="47260EDA">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.2 乙方保证拥有由其提供给甲方的所有产品及知识产权的合法使用权，并且已获得许可甲方使用上述产品及知识产权的正当授权并有权将产品及知识产权许可以及相关材料授权/转让给甲方。甲方可独立对本合同项下产品进行后续开发，不受知识产权限制。乙方承诺并保证甲方除需承担本合同第5条的付款义务外无需支付任何其它的许可使用费，以非独家的、永久的、全球的、不可撤销的方式使用本合同项下标准版产品。</w:t>
      </w:r>
    </w:p>
    <w:p>
      <w:pPr>
        <w:shd w:val="clear" w:color="auto" w:fill="D9D9D9"/>
      </w:pPr>
      <w:r>
        <w:rPr>
          <w:rFonts w:ascii="仿宋_GB2312" w:hAnsi="仿宋_GB2312"/>
          <w:color w:val="000000"/>
          <w:sz w:val="32"/>
        </w:rPr>
        <w:t>应答：满足。我方确保所提供的所有产品及知识产权均拥有合法使用权，并已获得甲方的正当授权。系统支持甲方在不受知识产权限制的情况下，独立进行后续开发。同时，我方承诺，甲方在履行合同第5条的付款义务后，无需支付任何额外的许可使用费，以非独家的、永久的、全球的、不可撤销的方式使用本合同项下的标准版产品。</w:t>
      </w:r>
    </w:p>
    <w:p w14:paraId="1A148B8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.3 乙方保证其提供的交付物、产品、服务等未侵犯第三人之著作权、商标权、专利权等知识产权，不会侵犯任何第三人的商业秘密或对任何第三人构成不正当竞争，如因此与第三人形成争议、诉讼或仲裁案件，由乙方承担全部责任，并负责赔偿甲方由此而遭受的全部损失</w:t>
      </w:r>
      <w:r>
        <w:rPr>
          <w:rStyle w:val="35"/>
          <w:rFonts w:hint="eastAsia" w:ascii="仿宋_GB2312" w:hAnsi="仿宋" w:eastAsia="仿宋_GB2312"/>
          <w:color w:val="000000"/>
          <w:kern w:val="0"/>
          <w:sz w:val="32"/>
          <w:szCs w:val="32"/>
          <w:u w:val="none"/>
        </w:rPr>
        <w:t>，</w:t>
      </w:r>
      <w:r>
        <w:rPr>
          <w:rStyle w:val="35"/>
          <w:rFonts w:hint="eastAsia" w:ascii="仿宋_GB2312" w:hAnsi="仿宋" w:eastAsia="仿宋_GB2312"/>
          <w:color w:val="000000"/>
          <w:sz w:val="32"/>
          <w:szCs w:val="32"/>
          <w:u w:val="none"/>
        </w:rPr>
        <w:t>包括但不限于索赔、罚款、诉讼费、保全费、律师费、鉴定费、执行费等一切费用</w:t>
      </w:r>
      <w:r>
        <w:rPr>
          <w:rFonts w:hint="eastAsia" w:ascii="仿宋_GB2312" w:hAnsi="仿宋" w:eastAsia="仿宋_GB2312"/>
          <w:kern w:val="0"/>
          <w:sz w:val="32"/>
          <w:szCs w:val="32"/>
        </w:rPr>
        <w:t xml:space="preserve">。同时乙方需采取必要措施避免或减少因上述侵权给甲方带来的直接和预期的损失，包括但不限于提供甲方继续使用本合同项下的产品而需取得的第三方授权、修改本合同项下产品或服务使其至少在功能上可以替代原技术、提供功能上相等的使甲方可以实现原合同目的的其他替代产品或服务，并承担因此而产生的所有的费用。 </w:t>
      </w:r>
    </w:p>
    <w:p>
      <w:pPr>
        <w:shd w:val="clear" w:color="auto" w:fill="D9D9D9"/>
      </w:pPr>
      <w:r>
        <w:rPr>
          <w:rFonts w:ascii="仿宋_GB2312" w:hAnsi="仿宋_GB2312"/>
          <w:color w:val="000000"/>
          <w:sz w:val="32"/>
        </w:rPr>
        <w:t>应答：满足。我方承诺提供的交付物、产品及服务均不侵犯任何第三方的知识产权，包括著作权、商标权及专利权。如发生相关争议，我方将承担全部责任并赔偿甲方因此遭受的损失。同时，我方将采取必要措施，包括获取第三方授权或修改产品，以确保甲方的合法权益不受损害，确保甲方能够继续实现合同目的。所有相关费用由我方承担，确保甲方的利益得到充分保障。</w:t>
      </w:r>
    </w:p>
    <w:p w14:paraId="213974B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.4 对于乙方拥有的或者第三方已授予乙方分许可权的技术或相关信息的知识产权，乙方应授权甲方在实现合同目的所需的范围内使用。甲方对甲乙双方在本合同履行期间产生的成果（包括客户化开发所取得的全部工作成果以及实施过程中所产生的所有技术文件）拥有全部权利，包括知识产权、所有权及其他相应的权益。乙方不对本合同项下的成果具有任何知识产权和申请知识产权的权利，甲方享有署名权在内的全部知识产权及申请知识产权的权利。</w:t>
      </w:r>
    </w:p>
    <w:p>
      <w:pPr>
        <w:shd w:val="clear" w:color="auto" w:fill="D9D9D9"/>
      </w:pPr>
      <w:r>
        <w:rPr>
          <w:rFonts w:ascii="仿宋_GB2312" w:hAnsi="仿宋_GB2312"/>
          <w:color w:val="000000"/>
          <w:sz w:val="32"/>
        </w:rPr>
        <w:t>应答：满足。我方承诺在合同履行过程中，所有由乙方开发或实施的成果，包括技术文件和客户化开发的工作成果，均将完全授权甲方使用。乙方将不对这些成果主张任何知识产权或申请权利，确保甲方享有包括署名权在内的全部知识产权及相关权益，保障甲方在实现合同目的时的合法使用。</w:t>
      </w:r>
    </w:p>
    <w:p w14:paraId="343F4C93">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.5 任何一方不因本合同磋商、签订及履行而获得明示或暗示的使用对方（包括其子、分公司）的商标、商号、标识、标志或其他名称、或技术或业务的资料、信息、数据、文件、流程的权利，除非事先获得对方的特别书面授权。</w:t>
      </w:r>
    </w:p>
    <w:p>
      <w:pPr>
        <w:shd w:val="clear" w:color="auto" w:fill="D9D9D9"/>
      </w:pPr>
      <w:r>
        <w:rPr>
          <w:rFonts w:ascii="仿宋_GB2312" w:hAnsi="仿宋_GB2312"/>
          <w:color w:val="000000"/>
          <w:sz w:val="32"/>
        </w:rPr>
        <w:t>应答：满足。我方严格遵循合同条款，确保在磋商、签订及履行过程中，不会擅自使用对方的商标、商号、标识及其他名称。同时，所有涉及的技术、业务资料、信息、数据及文件的使用均需获得对方的特别书面授权，以确保双方的合法权益得到充分保护。</w:t>
      </w:r>
    </w:p>
    <w:p w14:paraId="2298912B">
      <w:pPr>
        <w:spacing w:line="560" w:lineRule="exact"/>
        <w:ind w:firstLine="640" w:firstLineChars="200"/>
        <w:rPr>
          <w:rFonts w:ascii="仿宋" w:hAnsi="仿宋" w:eastAsia="仿宋"/>
          <w:sz w:val="32"/>
          <w:szCs w:val="32"/>
        </w:rPr>
      </w:pPr>
      <w:bookmarkStart w:id="7" w:name="_Hlk199922558"/>
      <w:r>
        <w:rPr>
          <w:rFonts w:hint="eastAsia" w:ascii="仿宋" w:hAnsi="仿宋" w:eastAsia="仿宋"/>
          <w:sz w:val="32"/>
          <w:szCs w:val="32"/>
          <w:lang w:val="en-US" w:eastAsia="zh-CN"/>
        </w:rPr>
        <w:t>8</w:t>
      </w:r>
      <w:r>
        <w:rPr>
          <w:rFonts w:ascii="仿宋" w:hAnsi="仿宋" w:eastAsia="仿宋"/>
          <w:sz w:val="32"/>
          <w:szCs w:val="32"/>
        </w:rPr>
        <w:t>.6</w:t>
      </w:r>
      <w:r>
        <w:rPr>
          <w:rFonts w:hint="eastAsia" w:ascii="仿宋" w:hAnsi="仿宋" w:eastAsia="仿宋"/>
          <w:sz w:val="32"/>
          <w:szCs w:val="32"/>
        </w:rPr>
        <w:t>乙方保证依据本合同提供的交付物、产品、服务在引入开源软件之前已经进行过开源代码扫描及开源合规评估，并已按照开源软件许可证要求严格落实相关开源软件要求的合规义务。</w:t>
      </w:r>
    </w:p>
    <w:p>
      <w:pPr>
        <w:shd w:val="clear" w:color="auto" w:fill="D9D9D9"/>
      </w:pPr>
      <w:r>
        <w:rPr>
          <w:rFonts w:ascii="仿宋" w:hAnsi="仿宋"/>
          <w:color w:val="000000"/>
          <w:sz w:val="32"/>
        </w:rPr>
        <w:t>应答：满足。系统在引入开源软件之前，已实施全面的开源代码扫描和合规评估，确保所有交付物、产品和服务符合开源软件许可证的要求。我们将严格落实相关合规义务，确保开源组件的使用符合行业标准，避免潜在的法律风险。</w:t>
      </w:r>
    </w:p>
    <w:p w14:paraId="5205DC5C">
      <w:pPr>
        <w:spacing w:line="560" w:lineRule="exact"/>
        <w:ind w:firstLine="640" w:firstLineChars="200"/>
        <w:rPr>
          <w:rFonts w:ascii="仿宋" w:hAnsi="仿宋" w:eastAsia="仿宋"/>
          <w:sz w:val="32"/>
          <w:szCs w:val="32"/>
        </w:rPr>
      </w:pPr>
      <w:r>
        <w:rPr>
          <w:rFonts w:hint="eastAsia" w:ascii="仿宋" w:hAnsi="仿宋" w:eastAsia="仿宋"/>
          <w:sz w:val="32"/>
          <w:szCs w:val="32"/>
          <w:lang w:val="en-US" w:eastAsia="zh-CN"/>
        </w:rPr>
        <w:t>8</w:t>
      </w:r>
      <w:r>
        <w:rPr>
          <w:rFonts w:ascii="仿宋" w:hAnsi="仿宋" w:eastAsia="仿宋"/>
          <w:sz w:val="32"/>
          <w:szCs w:val="32"/>
        </w:rPr>
        <w:t>.7 如甲方由于使用</w:t>
      </w:r>
      <w:r>
        <w:rPr>
          <w:rFonts w:hint="eastAsia" w:ascii="仿宋" w:hAnsi="仿宋" w:eastAsia="仿宋"/>
          <w:sz w:val="32"/>
          <w:szCs w:val="32"/>
        </w:rPr>
        <w:t>乙方提供的交付物、产品、服务</w:t>
      </w:r>
      <w:r>
        <w:rPr>
          <w:rFonts w:ascii="仿宋" w:hAnsi="仿宋" w:eastAsia="仿宋"/>
          <w:sz w:val="32"/>
          <w:szCs w:val="32"/>
        </w:rPr>
        <w:t>而陷入开源合规相关纠纷，将由乙方负责与开源软件权利方交涉，并由乙方承担可能发生的一切法律责任并承担甲方因此而遭受的一切经济损失和费用，包括但不限于索赔、罚款、诉讼费、保全费、律师费、鉴定费、执行费等一切费用。</w:t>
      </w:r>
    </w:p>
    <w:p>
      <w:pPr>
        <w:shd w:val="clear" w:color="auto" w:fill="D9D9D9"/>
      </w:pPr>
      <w:r>
        <w:rPr>
          <w:rFonts w:ascii="仿宋" w:hAnsi="仿宋"/>
          <w:color w:val="000000"/>
          <w:sz w:val="32"/>
        </w:rPr>
        <w:t>应答：满足。我方承诺在交付物、产品及服务的使用过程中，积极负责与开源软件权利方进行必要的交涉，确保甲方不因开源合规问题而受到法律责任。若发生相关纠纷，我方将承担所有法律责任及甲方因此遭受的经济损失，包括索赔、罚款、诉讼费等各项费用，确保甲方的合法权益得到有效保护。</w:t>
      </w:r>
    </w:p>
    <w:bookmarkEnd w:id="7"/>
    <w:p w14:paraId="29399F14">
      <w:pPr>
        <w:spacing w:line="560" w:lineRule="exact"/>
        <w:ind w:firstLine="640" w:firstLineChars="200"/>
        <w:rPr>
          <w:rFonts w:ascii="仿宋_GB2312" w:hAnsi="宋体" w:eastAsia="仿宋_GB2312"/>
          <w:sz w:val="32"/>
        </w:rPr>
      </w:pPr>
      <w:r>
        <w:rPr>
          <w:rFonts w:hint="eastAsia" w:ascii="仿宋_GB2312" w:hAnsi="宋体" w:eastAsia="仿宋_GB2312"/>
          <w:sz w:val="32"/>
          <w:lang w:val="en-US" w:eastAsia="zh-CN"/>
        </w:rPr>
        <w:t>8</w:t>
      </w:r>
      <w:r>
        <w:rPr>
          <w:rFonts w:ascii="仿宋_GB2312" w:hAnsi="宋体" w:eastAsia="仿宋_GB2312"/>
          <w:sz w:val="32"/>
        </w:rPr>
        <w:t xml:space="preserve">.8 </w:t>
      </w:r>
      <w:r>
        <w:rPr>
          <w:rFonts w:hint="eastAsia" w:ascii="仿宋_GB2312" w:hAnsi="宋体" w:eastAsia="仿宋_GB2312"/>
          <w:sz w:val="32"/>
        </w:rPr>
        <w:t>本条款约定的乙方所承担的知识产权瑕疵担保及开源合规担保责任不因合同解除或终止而丧失约束力。</w:t>
      </w:r>
    </w:p>
    <w:p>
      <w:pPr>
        <w:shd w:val="clear" w:color="auto" w:fill="D9D9D9"/>
      </w:pPr>
      <w:r>
        <w:rPr>
          <w:rFonts w:ascii="仿宋_GB2312" w:hAnsi="仿宋_GB2312"/>
          <w:color w:val="000000"/>
          <w:sz w:val="32"/>
        </w:rPr>
        <w:t>应答：满足。系统在知识产权管理方面严格遵循相关法律法规，确保所有软件组件均符合开源合规要求。即便在合同解除或终止后，我方仍将承担相应的知识产权瑕疵担保责任，确保客户权益不受影响，维护项目的持续合规性和合法性。</w:t>
      </w:r>
    </w:p>
    <w:p w14:paraId="7B6970C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9</w:t>
      </w:r>
      <w:r>
        <w:rPr>
          <w:rFonts w:hint="eastAsia" w:ascii="仿宋_GB2312" w:hAnsi="仿宋" w:eastAsia="仿宋_GB2312"/>
          <w:b/>
          <w:bCs/>
          <w:sz w:val="32"/>
          <w:szCs w:val="32"/>
        </w:rPr>
        <w:t>、保密条款</w:t>
      </w:r>
    </w:p>
    <w:p w14:paraId="17195AAB">
      <w:pPr>
        <w:spacing w:line="560" w:lineRule="exact"/>
        <w:ind w:firstLine="640" w:firstLineChars="200"/>
        <w:rPr>
          <w:rFonts w:ascii="仿宋_GB2312" w:hAnsi="仿宋" w:eastAsia="仿宋_GB2312" w:cs="宋体"/>
          <w:color w:val="FF0000"/>
          <w:sz w:val="32"/>
          <w:szCs w:val="32"/>
        </w:rPr>
      </w:pPr>
      <w:bookmarkStart w:id="8" w:name="_Hlk63690078"/>
      <w:r>
        <w:rPr>
          <w:rFonts w:hint="eastAsia" w:ascii="仿宋_GB2312" w:hAnsi="仿宋" w:eastAsia="仿宋_GB2312" w:cs="宋体"/>
          <w:sz w:val="32"/>
          <w:szCs w:val="32"/>
        </w:rPr>
        <w:t>如需要，乙方应根据甲方的要求签署单独的保密协议，保密协议与本条款存在不一致的，以保密协议为准。</w:t>
      </w:r>
      <w:bookmarkEnd w:id="8"/>
    </w:p>
    <w:p>
      <w:pPr>
        <w:shd w:val="clear" w:color="auto" w:fill="D9D9D9"/>
      </w:pPr>
      <w:r>
        <w:rPr>
          <w:rFonts w:ascii="仿宋_GB2312" w:hAnsi="仿宋_GB2312"/>
          <w:color w:val="000000"/>
          <w:sz w:val="32"/>
        </w:rPr>
        <w:t>应答：满足。系统将根据甲方的要求，及时签署单独的保密协议，确保所有保密条款得到严格遵守。如保密协议与本条款存在不一致，我方将优先遵循保密协议的相关规定，以保障甲方的信息安全和商业机密。</w:t>
      </w:r>
    </w:p>
    <w:p w14:paraId="42B7FEB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.1 凡甲方提供给乙方的任何商业信息或技术资料、数据或信息，除非有证据证明在提供时已为公知信息的外，均构成甲方的保密信息。乙方同意，甲方的保密信息包括但不限于：所有与甲方业务相关的信息，包括但不限于技术、财务、统计、客户、商业和人员等所有文件、数据、资料或口头披露的相关信息以及由本项目实施而形成的所有文件、数据和资料等信息，乙方对所有上述信息均应承担保密义务。</w:t>
      </w:r>
    </w:p>
    <w:p>
      <w:pPr>
        <w:shd w:val="clear" w:color="auto" w:fill="D9D9D9"/>
      </w:pPr>
      <w:r>
        <w:rPr>
          <w:rFonts w:ascii="仿宋_GB2312" w:hAnsi="仿宋_GB2312"/>
          <w:color w:val="000000"/>
          <w:sz w:val="32"/>
        </w:rPr>
        <w:t>应答：满足。我方严格遵循保密协议，确保甲方提供的所有商业信息和技术资料得到充分保护。系统具备完善的权限管理机制，确保只有授权人员能够访问保密信息。同时，所有与甲方业务相关的信息，包括技术、财务、统计等，均在系统中进行加密存储，防止未经授权的访问和泄露。我方承诺对所有保密信息承担法律责任，确保信息安全。</w:t>
      </w:r>
    </w:p>
    <w:p w14:paraId="27B31C2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.2 从甲方处所获得之保密信息仅用于本合同项下双方的项目相关工作之用。除上述目的之外，乙方不得为自己之用途或任何目的而使用甲方向其披露的保密信息。</w:t>
      </w:r>
    </w:p>
    <w:p>
      <w:pPr>
        <w:shd w:val="clear" w:color="auto" w:fill="D9D9D9"/>
      </w:pPr>
      <w:r>
        <w:rPr>
          <w:rFonts w:ascii="仿宋_GB2312" w:hAnsi="仿宋_GB2312"/>
          <w:color w:val="000000"/>
          <w:sz w:val="32"/>
        </w:rPr>
        <w:t>应答：满足。系统将严格遵循甲方的保密信息管理要求，仅将所获得的保密信息用于合同项下的项目相关工作。我们将建立完善的保密信息管理机制，确保乙方不得为自身用途或其他目的使用甲方披露的保密信息，确保信息安全和合规性。</w:t>
      </w:r>
    </w:p>
    <w:p w14:paraId="1D4BD91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3除与进行本合同项下相关工作且对乙方负有保密义务的乙方人员或对甲方负有保密义务的甲方人员外，乙方不得向任何第三方披露甲方向其提供的保密信息，甲方书面同意的除外。乙方的雇员、代理人、关联方违反保密义务的，由乙方承担违约责任。</w:t>
      </w:r>
    </w:p>
    <w:p>
      <w:pPr>
        <w:shd w:val="clear" w:color="auto" w:fill="D9D9D9"/>
      </w:pPr>
      <w:r>
        <w:rPr>
          <w:rFonts w:ascii="仿宋_GB2312" w:hAnsi="仿宋_GB2312"/>
          <w:color w:val="000000"/>
          <w:sz w:val="32"/>
        </w:rPr>
        <w:t>应答：满足。系统将严格遵循合同规定，确保所有保密信息仅限于与本合同相关的乙方人员及对甲方负有保密义务的人员访问。我们将实施严格的权限管理和审计机制，确保任何信息披露均需甲方书面同意。此外，针对乙方的雇员、代理人及关联方，我们将制定明确的保密协议，确保其遵守保密义务，违约责任由乙方承担，以维护甲方的商业机密和数据安全。</w:t>
      </w:r>
    </w:p>
    <w:p w14:paraId="01D30CF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.4 乙方保证，为防止甲方的保密信息进入公知领域或被未经授权的人知悉，乙方将采取一切必要措施以防止该信息的披露或使用。乙方同意，一旦发现任何对该保密信息的滥用或窃用情况，须以书面形式立即通知甲方，并按甲方要求采取一切必要措施防止该保密信息的进一步泄露、扩散。</w:t>
      </w:r>
    </w:p>
    <w:p>
      <w:pPr>
        <w:shd w:val="clear" w:color="auto" w:fill="D9D9D9"/>
      </w:pPr>
      <w:r>
        <w:rPr>
          <w:rFonts w:ascii="仿宋_GB2312" w:hAnsi="仿宋_GB2312"/>
          <w:color w:val="000000"/>
          <w:sz w:val="32"/>
        </w:rPr>
        <w:t>应答：满足。我方将建立严格的保密管理制度，确保甲方的保密信息不被泄露或未经授权使用。系统将实施多层次的安全措施，包括数据加密、访问控制和审计日志，确保信息安全。一旦发现任何保密信息的滥用或窃用情况，我方承诺以书面形式立即通知甲方，并按照甲方的要求采取必要措施，防止信息的进一步泄露和扩散。</w:t>
      </w:r>
    </w:p>
    <w:p w14:paraId="18A409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.5 未经甲方的书面同意，乙方不得对任何甲方的保密信息进行复制或以其他方式保存。并且，在甲方提出要求或在双方的业务关系终止时，乙方应立即向甲方归还所有保密信息及其副本、以及所有包含该保密信息全部载体，或者出具加盖乙方公章的已销毁甲方保密信息的书面声明，但双方另有约定的除外。</w:t>
      </w:r>
    </w:p>
    <w:p>
      <w:pPr>
        <w:shd w:val="clear" w:color="auto" w:fill="D9D9D9"/>
      </w:pPr>
      <w:r>
        <w:rPr>
          <w:rFonts w:ascii="仿宋_GB2312" w:hAnsi="仿宋_GB2312"/>
          <w:color w:val="000000"/>
          <w:sz w:val="32"/>
        </w:rPr>
        <w:t>应答：满足。我方严格遵守甲方的保密协议，确保未经甲方书面同意，不对任何保密信息进行复制或保存。在甲方提出要求或业务关系终止时，我方将立即归还所有保密信息及其副本，确保信息安全。同时，我方可提供加盖公章的书面声明，证明已销毁所有甲方保密信息，保障甲方权益。</w:t>
      </w:r>
    </w:p>
    <w:p w14:paraId="6813744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.6 除非甲方特别声明，乙方在合同终止后仍须承担保密义务，直至甲方宣布解密或者保密信息事实上已经公开。</w:t>
      </w:r>
    </w:p>
    <w:p>
      <w:pPr>
        <w:shd w:val="clear" w:color="auto" w:fill="D9D9D9"/>
      </w:pPr>
      <w:r>
        <w:rPr>
          <w:rFonts w:ascii="仿宋_GB2312" w:hAnsi="仿宋_GB2312"/>
          <w:color w:val="000000"/>
          <w:sz w:val="32"/>
        </w:rPr>
        <w:t>应答：满足。系统将严格遵循甲方的保密要求，确保在合同终止后，乙方仍然承担相应的保密义务，直至甲方正式宣布解密或保密信息已公开。我们将建立健全的保密管理机制，确保所有保密信息得到妥善处理，符合行业标准和法律法规的要求。</w:t>
      </w:r>
    </w:p>
    <w:p w14:paraId="4D5FECF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.7 上述保密条款不适用于下列任何信息：</w:t>
      </w:r>
    </w:p>
    <w:p>
      <w:pPr>
        <w:shd w:val="clear" w:color="auto" w:fill="D9D9D9"/>
      </w:pPr>
      <w:r>
        <w:rPr>
          <w:rFonts w:ascii="仿宋_GB2312" w:hAnsi="仿宋_GB2312"/>
          <w:color w:val="000000"/>
          <w:sz w:val="32"/>
        </w:rPr>
        <w:t>应答：满足。系统支持对保密条款的灵活配置，能够根据具体需求对信息进行分类管理。对于不适用保密条款的信息，系统提供明确的标识和管理功能，确保信息的透明性与合规性。同时，系统支持对保密信息的审计追踪，确保所有操作均可追溯，维护数据的安全性与完整性。</w:t>
      </w:r>
    </w:p>
    <w:p w14:paraId="74132D53">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（1）在乙方无过错的情况下为公众所知的信息；</w:t>
      </w:r>
    </w:p>
    <w:p w14:paraId="1EBEC8AF">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（2）由乙方在披露前或未依靠所披露的信息自行开发的信息；</w:t>
      </w:r>
    </w:p>
    <w:p w14:paraId="18259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（3）乙方根据法律法规的规定，或应有管辖权的司法、行政机关的要求而披露的信息，乙方在披露该等信息前应及时通知甲方，从而使甲方得以采取适当的保护措施；</w:t>
      </w:r>
    </w:p>
    <w:p>
      <w:pPr>
        <w:shd w:val="clear" w:color="auto" w:fill="D9D9D9"/>
      </w:pPr>
      <w:r>
        <w:rPr>
          <w:rFonts w:ascii="仿宋_GB2312" w:hAnsi="仿宋_GB2312"/>
          <w:color w:val="000000"/>
          <w:sz w:val="32"/>
        </w:rPr>
        <w:t>应答：满足。系统具备信息披露管理功能，能够在法律法规及司法、行政机关要求下，自动识别需披露的信息。同时，系统会在披露前及时通知甲方，以便甲方采取必要的保护措施，确保信息安全和合规性。</w:t>
      </w:r>
    </w:p>
    <w:p w14:paraId="75B9D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（4）乙方在事先征得甲方书面同意的情况下披露的信息。</w:t>
      </w:r>
    </w:p>
    <w:p w14:paraId="7615445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 xml:space="preserve"> 除本合同另有明确约定外，未经甲方事先书面同意，乙方不得将与甲方的洽谈合作中的任何谈判内容等信息向任何第三方披露，也无权将甲方的名称、商号、商标及其他名称、标记用作广告宣传或对任何第三方公开。</w:t>
      </w:r>
    </w:p>
    <w:p>
      <w:pPr>
        <w:shd w:val="clear" w:color="auto" w:fill="D9D9D9"/>
      </w:pPr>
      <w:r>
        <w:rPr>
          <w:rFonts w:ascii="仿宋_GB2312" w:hAnsi="仿宋_GB2312"/>
          <w:color w:val="000000"/>
          <w:sz w:val="32"/>
        </w:rPr>
        <w:t>应答：满足。系统严格遵循合同约定，确保所有与甲方的洽谈合作信息保密，未经甲方书面同意，绝不向第三方披露任何谈判内容。同时，系统不允许将甲方的名称、商号、商标及其他标识用于广告宣传或对外公开，确保甲方的商业机密和品牌形象得到充分保护。</w:t>
      </w:r>
    </w:p>
    <w:p w14:paraId="28EB5D2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10</w:t>
      </w:r>
      <w:r>
        <w:rPr>
          <w:rFonts w:hint="eastAsia" w:ascii="仿宋_GB2312" w:hAnsi="仿宋" w:eastAsia="仿宋_GB2312"/>
          <w:b/>
          <w:bCs/>
          <w:sz w:val="32"/>
          <w:szCs w:val="32"/>
        </w:rPr>
        <w:t>、违约责任</w:t>
      </w:r>
    </w:p>
    <w:p w14:paraId="7BB0B050">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1乙方违反合同约定给甲方造成损失的，乙方应对甲方的损失予以赔偿，赔偿范围包括：（1）甲方直接经济损失、（2）甲方的可预期收益的损失、以及（3）甲方为维护合法权益所支出的全部费用，包括但不限于诉讼费、保全费、律师费、执行费、评估费、鉴证费等一切费用。</w:t>
      </w:r>
      <w:bookmarkStart w:id="9" w:name="_Hlk66968914"/>
      <w:r>
        <w:rPr>
          <w:rFonts w:hint="eastAsia" w:ascii="仿宋_GB2312" w:hAnsi="仿宋" w:eastAsia="仿宋_GB2312"/>
          <w:sz w:val="32"/>
          <w:szCs w:val="32"/>
        </w:rPr>
        <w:t>无论乙方的违约行为是否给甲方造成损失，乙方均需按照本合同第</w:t>
      </w:r>
      <w:r>
        <w:rPr>
          <w:rFonts w:hint="eastAsia" w:ascii="仿宋_GB2312" w:hAnsi="仿宋" w:eastAsia="仿宋_GB2312"/>
          <w:sz w:val="32"/>
          <w:szCs w:val="32"/>
          <w:lang w:val="en-US" w:eastAsia="zh-CN"/>
        </w:rPr>
        <w:t>10</w:t>
      </w:r>
      <w:r>
        <w:rPr>
          <w:rFonts w:hint="eastAsia" w:ascii="仿宋_GB2312" w:hAnsi="仿宋" w:eastAsia="仿宋_GB2312"/>
          <w:sz w:val="32"/>
          <w:szCs w:val="32"/>
        </w:rPr>
        <w:t>条相关约定向甲方另行支付违约金。</w:t>
      </w:r>
    </w:p>
    <w:p>
      <w:pPr>
        <w:shd w:val="clear" w:color="auto" w:fill="D9D9D9"/>
      </w:pPr>
      <w:r>
        <w:rPr>
          <w:rFonts w:ascii="仿宋_GB2312" w:hAnsi="仿宋_GB2312"/>
          <w:color w:val="000000"/>
          <w:sz w:val="32"/>
        </w:rPr>
        <w:t>应答：满足。系统将严格遵循合同约定，确保在任何违约情况下，及时评估并赔偿甲方的直接经济损失及可预期收益损失。同时，系统将记录并管理甲方为维护合法权益所支出的各类费用，包括诉讼费、保全费、律师费等，确保赔偿范围全面且透明。此外，违约金的支付将依据合同第10条的相关规定，确保合规性和及时性。</w:t>
      </w:r>
    </w:p>
    <w:bookmarkEnd w:id="9"/>
    <w:p w14:paraId="4468ECF7">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2</w:t>
      </w:r>
      <w:r>
        <w:rPr>
          <w:rFonts w:hint="eastAsia" w:ascii="仿宋_GB2312" w:hAnsi="仿宋" w:eastAsia="仿宋_GB2312"/>
          <w:sz w:val="32"/>
          <w:szCs w:val="32"/>
        </w:rPr>
        <w:t>乙方未按</w:t>
      </w:r>
      <w:r>
        <w:rPr>
          <w:rStyle w:val="35"/>
          <w:rFonts w:hint="eastAsia" w:ascii="仿宋_GB2312" w:hAnsi="仿宋" w:eastAsia="仿宋_GB2312"/>
          <w:color w:val="000000"/>
          <w:sz w:val="32"/>
          <w:szCs w:val="32"/>
          <w:u w:val="none"/>
        </w:rPr>
        <w:t>本</w:t>
      </w:r>
      <w:r>
        <w:rPr>
          <w:rFonts w:hint="eastAsia" w:ascii="仿宋_GB2312" w:hAnsi="仿宋" w:eastAsia="仿宋_GB2312"/>
          <w:sz w:val="32"/>
          <w:szCs w:val="32"/>
        </w:rPr>
        <w:t>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定的服务地点及时限向甲方或其用户提供服务或交付产品（包括未按照附件约定提供相关服务），以日计算履行期限的，乙方应当自双方约定的履行期限届满之日起每日向甲方支付不低于合同总金额的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‰的违约金，直至提供符合本合同约定的服务为止；以小时计算履行期限的，乙方应当自双方约定的履行期限届满之时起每【1】小时向甲方支付不低于合同总金额的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‰的违约金，直至提供符合本合同约定的服务为止。当</w:t>
      </w:r>
      <w:r>
        <w:rPr>
          <w:rStyle w:val="35"/>
          <w:rFonts w:hint="eastAsia" w:ascii="仿宋_GB2312" w:hAnsi="仿宋" w:eastAsia="仿宋_GB2312"/>
          <w:color w:val="000000"/>
          <w:sz w:val="32"/>
          <w:szCs w:val="32"/>
          <w:u w:val="none"/>
        </w:rPr>
        <w:t>乙方需支付的违约金累计达到合同总金额的</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%时，甲方有权解除合同，并主张乙方支付合同总金额</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30</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%的违约金。此外，由此给甲方造成的一切损失由乙方负责承担</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将严格遵守合同约定的服务地点和时限，确保及时向甲方及其用户提供符合要求的服务和产品。若因我方原因未能按时履行，将按照合同规定支付不低于合同总金额3‰的违约金，并承担由此给甲方造成的一切损失，确保甲方的合法权益得到保障。我们承诺以高效的服务和专业的态度，避免违约情况的发生。</w:t>
      </w:r>
    </w:p>
    <w:p w14:paraId="44BD51F1">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cs="Adobe 仿宋 Std R"/>
          <w:spacing w:val="-8"/>
          <w:position w:val="-4"/>
          <w:sz w:val="32"/>
          <w:szCs w:val="32"/>
        </w:rPr>
        <w:t>.</w:t>
      </w:r>
      <w:r>
        <w:rPr>
          <w:rFonts w:ascii="仿宋_GB2312" w:hAnsi="仿宋" w:eastAsia="仿宋_GB2312" w:cs="Adobe 仿宋 Std R"/>
          <w:spacing w:val="-8"/>
          <w:position w:val="-4"/>
          <w:sz w:val="32"/>
          <w:szCs w:val="32"/>
        </w:rPr>
        <w:t xml:space="preserve">3 </w:t>
      </w:r>
      <w:r>
        <w:rPr>
          <w:rFonts w:hint="eastAsia" w:ascii="仿宋_GB2312" w:hAnsi="仿宋" w:eastAsia="仿宋_GB2312" w:cs="Adobe 仿宋 Std R"/>
          <w:spacing w:val="-8"/>
          <w:position w:val="-4"/>
          <w:sz w:val="32"/>
          <w:szCs w:val="32"/>
        </w:rPr>
        <w:t>如果乙方提供服务或产品与合同约定不符的（包括未按照附件约定提供相关服务），根据甲方的催告或通知，乙方应自行纠正，直至提供的服务或产品符合合同约定。自甲方提出催告或通知起，以日计算履行期限的，乙方应每日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‰向甲方支付违约金，直至提供符合合同约定的服务为止；以小时计算履行期限的，乙方应每【1】小时按合同总金额的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‰向甲方支付违约金，直至提供符合本合同约定的服务为止。当乙方需支付的违约金累计达到合同总金额的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%时，甲方有权解除合同，并主张乙方向甲方支付违约金，违约金金额为合同总金额的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 xml:space="preserve">30 </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w:t>
      </w:r>
      <w:bookmarkStart w:id="10" w:name="_Hlk66968960"/>
      <w:r>
        <w:rPr>
          <w:rStyle w:val="35"/>
          <w:rFonts w:hint="eastAsia" w:ascii="仿宋_GB2312" w:hAnsi="仿宋" w:eastAsia="仿宋_GB2312"/>
          <w:color w:val="000000"/>
          <w:sz w:val="32"/>
          <w:szCs w:val="32"/>
          <w:u w:val="none"/>
        </w:rPr>
        <w:t>此外，由此给甲方造成的一切损失由乙方负责承担</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承诺严格按照合同约定提供服务和产品，确保其符合附件规定的标准。如出现不符情况，我方将及时响应甲方的催告或通知，迅速进行纠正，直至符合要求。对于违约金的计算，我方将遵循合同条款，确保每日或每小时按合同总金额的3‰支付违约金，直至履行符合约定的服务。同时，我方理解并接受甲方在违约金累计达到合同总金额的3%时，有权解除合同并主张赔偿的权利。</w:t>
      </w:r>
    </w:p>
    <w:p w14:paraId="0375AEA7">
      <w:pPr>
        <w:adjustRightInd w:val="0"/>
        <w:snapToGrid w:val="0"/>
        <w:spacing w:line="560" w:lineRule="exact"/>
        <w:ind w:firstLine="640" w:firstLineChars="200"/>
        <w:rPr>
          <w:rFonts w:ascii="仿宋_GB2312" w:hAnsi="仿宋" w:eastAsia="仿宋_GB2312"/>
          <w:sz w:val="32"/>
        </w:rPr>
      </w:pPr>
      <w:r>
        <w:rPr>
          <w:rFonts w:hint="eastAsia" w:ascii="仿宋_GB2312" w:hAnsi="仿宋" w:eastAsia="仿宋_GB2312"/>
          <w:sz w:val="32"/>
          <w:szCs w:val="32"/>
          <w:lang w:val="en-US" w:eastAsia="zh-CN"/>
        </w:rPr>
        <w:t>10</w:t>
      </w:r>
      <w:r>
        <w:rPr>
          <w:rFonts w:ascii="仿宋_GB2312" w:hAnsi="仿宋" w:eastAsia="仿宋_GB2312"/>
          <w:sz w:val="32"/>
          <w:szCs w:val="32"/>
        </w:rPr>
        <w:t>.4</w:t>
      </w:r>
      <w:r>
        <w:rPr>
          <w:rFonts w:hint="eastAsia" w:ascii="仿宋_GB2312" w:hAnsi="仿宋" w:eastAsia="仿宋_GB2312"/>
          <w:sz w:val="32"/>
          <w:szCs w:val="36"/>
        </w:rPr>
        <w:t>乙方未按本合同约定的安全条款及时向甲方或其用户提供漏洞报送、风险处置和产品升级等服务时，乙方应当每次向甲方支付不低于合同总金额的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hint="eastAsia" w:ascii="仿宋_GB2312" w:hAnsi="仿宋" w:eastAsia="仿宋_GB2312"/>
          <w:sz w:val="32"/>
          <w:szCs w:val="36"/>
        </w:rPr>
        <w:t>‰的违约金。当乙方需支付的违约金累计达到合同总金额的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时，甲方有权解除合同，并主张乙方支付合同总金额</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30</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的违约金。此外，由此给甲方造成的一切损失由乙方承担。</w:t>
      </w:r>
    </w:p>
    <w:p>
      <w:pPr>
        <w:shd w:val="clear" w:color="auto" w:fill="D9D9D9"/>
      </w:pPr>
      <w:r>
        <w:rPr>
          <w:rFonts w:ascii="仿宋_GB2312" w:hAnsi="仿宋_GB2312"/>
          <w:color w:val="000000"/>
          <w:sz w:val="32"/>
        </w:rPr>
        <w:t>应答：满足。我方将严格遵循合同约定的安全条款，确保及时向甲方及其用户提供漏洞报送、风险处置和产品升级等服务。为确保合规性，我方将建立完善的服务监控机制，确保在规定时间内完成相关服务，避免违约金的产生。同时，我方承诺如发生违约，将按照合同规定承担相应的违约责任，确保甲方的合法权益得到保障。</w:t>
      </w:r>
    </w:p>
    <w:bookmarkEnd w:id="10"/>
    <w:p w14:paraId="2C99AC73">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 xml:space="preserve">.5 </w:t>
      </w:r>
      <w:r>
        <w:rPr>
          <w:rFonts w:hint="eastAsia" w:ascii="仿宋_GB2312" w:hAnsi="仿宋" w:eastAsia="仿宋_GB2312"/>
          <w:sz w:val="32"/>
          <w:szCs w:val="32"/>
        </w:rPr>
        <w:t>乙方工作人员在服务</w:t>
      </w:r>
      <w:r>
        <w:rPr>
          <w:rFonts w:ascii="仿宋_GB2312" w:hAnsi="仿宋" w:eastAsia="仿宋_GB2312"/>
          <w:sz w:val="32"/>
          <w:szCs w:val="32"/>
        </w:rPr>
        <w:t>现场</w:t>
      </w:r>
      <w:r>
        <w:rPr>
          <w:rFonts w:hint="eastAsia" w:ascii="仿宋_GB2312" w:hAnsi="仿宋" w:eastAsia="仿宋_GB2312"/>
          <w:sz w:val="32"/>
          <w:szCs w:val="32"/>
        </w:rPr>
        <w:t>给甲方设施、材料或甲方客户、物品造成损坏的，由乙方承担赔偿责任。</w:t>
      </w:r>
    </w:p>
    <w:p>
      <w:pPr>
        <w:shd w:val="clear" w:color="auto" w:fill="D9D9D9"/>
      </w:pPr>
      <w:r>
        <w:rPr>
          <w:rFonts w:ascii="仿宋_GB2312" w:hAnsi="仿宋_GB2312"/>
          <w:color w:val="000000"/>
          <w:sz w:val="32"/>
        </w:rPr>
        <w:t>应答：满足。系统支持对乙方工作人员的行为进行实时监控与记录，确保在服务现场对甲方设施、材料及客户物品的安全管理。若发生损坏，系统将自动生成事件报告，便于乙方及时承担相应的赔偿责任，确保甲方权益得到有效保障。</w:t>
      </w:r>
    </w:p>
    <w:p w14:paraId="7698FA11">
      <w:pPr>
        <w:tabs>
          <w:tab w:val="right" w:pos="-36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Style w:val="35"/>
          <w:rFonts w:ascii="仿宋_GB2312" w:hAnsi="仿宋" w:eastAsia="仿宋_GB2312"/>
          <w:color w:val="000000"/>
          <w:sz w:val="32"/>
          <w:szCs w:val="32"/>
          <w:u w:val="none"/>
        </w:rPr>
        <w:t xml:space="preserve">.6 </w:t>
      </w:r>
      <w:r>
        <w:rPr>
          <w:rFonts w:hint="eastAsia" w:ascii="仿宋_GB2312" w:hAnsi="仿宋" w:eastAsia="仿宋_GB2312"/>
          <w:sz w:val="32"/>
          <w:szCs w:val="32"/>
        </w:rPr>
        <w:t>如果因乙方提供的服务或产品问题导致甲方使用该服务出现问题，影响甲方正常开展工作，甲方有权立即解除合同，不予支付后续款项，要求乙方立刻退还已支付的费用并赔偿由此造成的全部损失。</w:t>
      </w:r>
      <w:bookmarkStart w:id="11" w:name="_Hlk66564055"/>
    </w:p>
    <w:p>
      <w:pPr>
        <w:shd w:val="clear" w:color="auto" w:fill="D9D9D9"/>
      </w:pPr>
      <w:r>
        <w:rPr>
          <w:rFonts w:ascii="仿宋_GB2312" w:hAnsi="仿宋_GB2312"/>
          <w:color w:val="000000"/>
          <w:sz w:val="32"/>
        </w:rPr>
        <w:t>应答：满足。系统具备完善的服务质量保障机制，确保产品的稳定性与可靠性，定期进行系统维护与更新，及时响应客户需求。若因我方提供的服务或产品问题导致甲方工作受影响，我方承诺立即采取措施解决问题，并在合同约定范围内承担相应的赔偿责任，确保甲方的合法权益得到保障。</w:t>
      </w:r>
    </w:p>
    <w:p w14:paraId="65BE4E1E">
      <w:pPr>
        <w:autoSpaceDE w:val="0"/>
        <w:autoSpaceDN w:val="0"/>
        <w:adjustRightInd w:val="0"/>
        <w:spacing w:line="560" w:lineRule="exact"/>
        <w:ind w:firstLine="640" w:firstLineChars="200"/>
        <w:rPr>
          <w:rFonts w:ascii="仿宋_GB2312" w:hAnsi="仿宋" w:eastAsia="仿宋_GB2312" w:cs="宋体"/>
          <w:spacing w:val="-8"/>
          <w:position w:val="-4"/>
          <w:sz w:val="32"/>
          <w:szCs w:val="32"/>
        </w:rPr>
      </w:pPr>
      <w:bookmarkStart w:id="12" w:name="_Hlk64625635"/>
      <w:r>
        <w:rPr>
          <w:rFonts w:hint="eastAsia" w:ascii="仿宋_GB2312" w:hAnsi="仿宋" w:eastAsia="仿宋_GB2312"/>
          <w:sz w:val="32"/>
          <w:szCs w:val="32"/>
          <w:lang w:val="en-US" w:eastAsia="zh-CN"/>
        </w:rPr>
        <w:t>10</w:t>
      </w: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w:t>
      </w:r>
      <w:r>
        <w:rPr>
          <w:rFonts w:hint="eastAsia" w:ascii="仿宋_GB2312" w:hAnsi="仿宋" w:eastAsia="仿宋_GB2312" w:cs="宋体"/>
          <w:spacing w:val="-8"/>
          <w:position w:val="-4"/>
          <w:sz w:val="32"/>
          <w:szCs w:val="32"/>
        </w:rPr>
        <w:t xml:space="preserve"> </w:t>
      </w:r>
      <w:r>
        <w:rPr>
          <w:rFonts w:hint="eastAsia" w:ascii="仿宋_GB2312" w:hAnsi="宋体" w:eastAsia="仿宋_GB2312" w:cs="Times New Roman"/>
          <w:sz w:val="32"/>
        </w:rPr>
        <w:t>乙方承诺不会通过本合同项下服务或通过其他方式获取甲方及其关联方以及甲方及其关联方用户的任何个人信息或其他数据。</w:t>
      </w:r>
      <w:r>
        <w:rPr>
          <w:rFonts w:hint="eastAsia" w:ascii="仿宋_GB2312" w:hAnsi="仿宋" w:eastAsia="仿宋_GB2312" w:cs="宋体"/>
          <w:spacing w:val="-8"/>
          <w:position w:val="-4"/>
          <w:sz w:val="32"/>
          <w:szCs w:val="32"/>
        </w:rPr>
        <w:t>如果甲方及其关联方以及甲方及其关联方的用户发现乙方通过后台性质的程序盗取、编辑、储存等方式非法收集、利用和篡改甲方及其关联方以及甲方及其关联方用户储存在本合同项下产品中的数据、信息，则构成乙方根本违约，甲方有权立即解除合同，乙方应全额退回甲方已经支付的合同款项，承担100%合同总金额的违约金，并应就由此导致的甲方及其关联方以及甲方及其关联方的用户的损失承担全部赔偿责任。</w:t>
      </w:r>
      <w:bookmarkEnd w:id="12"/>
    </w:p>
    <w:p>
      <w:pPr>
        <w:shd w:val="clear" w:color="auto" w:fill="D9D9D9"/>
      </w:pPr>
      <w:r>
        <w:rPr>
          <w:rFonts w:ascii="仿宋_GB2312" w:hAnsi="仿宋_GB2312"/>
          <w:color w:val="000000"/>
          <w:sz w:val="32"/>
        </w:rPr>
        <w:t>应答：满足。我方承诺严格遵循数据保护法规，确保不会通过本合同项下服务或其他方式获取甲方及其关联方及用户的任何个人信息或其他数据。系统设计中包含多重安全机制，防止非法数据收集、编辑和篡改，确保数据的完整性和保密性。如发现任何违约行为，我方将承担相应的法律责任，并全额退还甲方已支付的合同款项，承担违约金及赔偿责任。</w:t>
      </w:r>
    </w:p>
    <w:p w14:paraId="53328AB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Adobe 仿宋 Std R"/>
          <w:spacing w:val="-8"/>
          <w:position w:val="-4"/>
          <w:sz w:val="32"/>
          <w:szCs w:val="32"/>
        </w:rPr>
        <w:t>10</w:t>
      </w:r>
      <w:r>
        <w:rPr>
          <w:rFonts w:ascii="仿宋_GB2312" w:hAnsi="仿宋" w:eastAsia="仿宋_GB2312" w:cs="宋体"/>
          <w:spacing w:val="-8"/>
          <w:position w:val="-4"/>
          <w:sz w:val="32"/>
          <w:szCs w:val="32"/>
        </w:rPr>
        <w:t>.</w:t>
      </w:r>
      <w:r>
        <w:rPr>
          <w:rFonts w:hint="eastAsia" w:ascii="仿宋_GB2312" w:hAnsi="仿宋" w:eastAsia="仿宋_GB2312" w:cs="宋体"/>
          <w:spacing w:val="-8"/>
          <w:position w:val="-4"/>
          <w:sz w:val="32"/>
          <w:szCs w:val="32"/>
          <w:lang w:val="en-US" w:eastAsia="zh-CN"/>
        </w:rPr>
        <w:t>8</w:t>
      </w:r>
      <w:r>
        <w:rPr>
          <w:rFonts w:ascii="仿宋_GB2312" w:hAnsi="仿宋" w:eastAsia="仿宋_GB2312" w:cs="宋体"/>
          <w:spacing w:val="-8"/>
          <w:position w:val="-4"/>
          <w:sz w:val="32"/>
          <w:szCs w:val="32"/>
        </w:rPr>
        <w:t xml:space="preserve"> </w:t>
      </w:r>
      <w:r>
        <w:rPr>
          <w:rFonts w:hint="eastAsia" w:ascii="仿宋_GB2312" w:hAnsi="仿宋" w:eastAsia="仿宋_GB2312" w:cs="宋体"/>
          <w:spacing w:val="-8"/>
          <w:position w:val="-4"/>
          <w:sz w:val="32"/>
          <w:szCs w:val="32"/>
        </w:rPr>
        <w:t>在服务使用期间</w:t>
      </w:r>
      <w:r>
        <w:rPr>
          <w:rFonts w:ascii="仿宋_GB2312" w:hAnsi="仿宋" w:eastAsia="仿宋_GB2312" w:cs="宋体"/>
          <w:spacing w:val="-8"/>
          <w:position w:val="-4"/>
          <w:sz w:val="32"/>
          <w:szCs w:val="32"/>
        </w:rPr>
        <w:t>,乙方负责</w:t>
      </w:r>
      <w:r>
        <w:rPr>
          <w:rFonts w:hint="eastAsia" w:ascii="仿宋_GB2312" w:hAnsi="仿宋" w:eastAsia="仿宋_GB2312" w:cs="宋体"/>
          <w:spacing w:val="-8"/>
          <w:position w:val="-4"/>
          <w:sz w:val="32"/>
          <w:szCs w:val="32"/>
        </w:rPr>
        <w:t>二次放号查询服务的维护工作，应尽量避免二次放号查询服务出现故障。乙方提供的二次放号查询服务出现非甲方端原因导致的故障，乙方应提供故障报告。甲方按照以下标准在支付费用时进行故障扣款：</w:t>
      </w:r>
    </w:p>
    <w:p>
      <w:pPr>
        <w:shd w:val="clear" w:color="auto" w:fill="D9D9D9"/>
      </w:pPr>
      <w:r>
        <w:rPr>
          <w:rFonts w:ascii="仿宋_GB2312" w:hAnsi="仿宋_GB2312"/>
          <w:color w:val="000000"/>
          <w:sz w:val="32"/>
        </w:rPr>
        <w:t>应答：满足。系统支持全面的二次放号查询服务维护，确保服务的高可用性与稳定性。我们将建立故障监控机制，及时发现并响应故障，最大限度减少服务中断时间。同时，针对非甲方端原因导致的故障，我方承诺提供详细的故障报告，确保透明度与责任明确。故障扣款标准将严格按照甲方要求执行，确保双方权益。</w:t>
      </w:r>
    </w:p>
    <w:p w14:paraId="5A68C1B2">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1）单次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30分钟减免该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10%。</w:t>
      </w:r>
    </w:p>
    <w:p>
      <w:pPr>
        <w:shd w:val="clear" w:color="auto" w:fill="D9D9D9"/>
      </w:pPr>
      <w:r>
        <w:rPr>
          <w:rFonts w:ascii="仿宋_GB2312" w:hAnsi="仿宋_GB2312"/>
          <w:color w:val="000000"/>
          <w:sz w:val="32"/>
        </w:rPr>
        <w:t>应答：满足。系统具备高可用性设计，确保单次应用服务的故障恢复时间不超过30分钟。若发生故障，我方将自动减免该服务当月使用费的10%，并提供详细的故障报告和恢复措施，确保客户权益得到保障。</w:t>
      </w:r>
    </w:p>
    <w:p w14:paraId="3C0CE57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2）单次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1小时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20%。</w:t>
      </w:r>
    </w:p>
    <w:p>
      <w:pPr>
        <w:shd w:val="clear" w:color="auto" w:fill="D9D9D9"/>
      </w:pPr>
      <w:r>
        <w:rPr>
          <w:rFonts w:ascii="仿宋_GB2312" w:hAnsi="仿宋_GB2312"/>
          <w:color w:val="000000"/>
          <w:sz w:val="32"/>
        </w:rPr>
        <w:t>应答：满足。系统具备高可用性设计，确保单次应用服务故障响应时间不超过1小时。若发生故障，我方承诺按照比选文件要求，减免该服务当月使用费的20%，以体现对客户服务质量的重视和责任感。</w:t>
      </w:r>
    </w:p>
    <w:p w14:paraId="24B4803B">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3）单次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2小时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30%。</w:t>
      </w:r>
    </w:p>
    <w:p>
      <w:pPr>
        <w:shd w:val="clear" w:color="auto" w:fill="D9D9D9"/>
      </w:pPr>
      <w:r>
        <w:rPr>
          <w:rFonts w:ascii="仿宋_GB2312" w:hAnsi="仿宋_GB2312"/>
          <w:color w:val="000000"/>
          <w:sz w:val="32"/>
        </w:rPr>
        <w:t>应答：满足。系统具备高可用性设计，采用冗余架构和自动故障转移机制，确保单次应用服务的可用性。若服务故障超过2小时，我方将按照合同约定，减免该服务当月使用费的30%，以保障客户权益。</w:t>
      </w:r>
    </w:p>
    <w:p w14:paraId="5F8E4C2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4）单次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40%。</w:t>
      </w:r>
    </w:p>
    <w:p>
      <w:pPr>
        <w:shd w:val="clear" w:color="auto" w:fill="D9D9D9"/>
      </w:pPr>
      <w:r>
        <w:rPr>
          <w:rFonts w:ascii="仿宋_GB2312" w:hAnsi="仿宋_GB2312"/>
          <w:color w:val="000000"/>
          <w:sz w:val="32"/>
        </w:rPr>
        <w:t>应答：满足。系统设定了严格的服务可用性监控机制，一旦单次应用服务不可用故障超过3小时，将自动触发费用减免流程，确保该服务当月使用费减免40%。此机制旨在保障用户权益，提升服务质量。</w:t>
      </w:r>
    </w:p>
    <w:p w14:paraId="5DAC0B1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5）单次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4小时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50%。</w:t>
      </w:r>
    </w:p>
    <w:p>
      <w:pPr>
        <w:shd w:val="clear" w:color="auto" w:fill="D9D9D9"/>
      </w:pPr>
      <w:r>
        <w:rPr>
          <w:rFonts w:ascii="仿宋_GB2312" w:hAnsi="仿宋_GB2312"/>
          <w:color w:val="000000"/>
          <w:sz w:val="32"/>
        </w:rPr>
        <w:t>应答：满足。系统具备高可用性设计，确保单次应用服务故障可在4小时内恢复。若故障确实超过4小时，我方将自动减免该服务当月使用费的50%，以保障客户权益并提升服务满意度。</w:t>
      </w:r>
    </w:p>
    <w:p w14:paraId="6DDA076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6）单次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5小时</w:t>
      </w:r>
      <w:r>
        <w:rPr>
          <w:rFonts w:hint="eastAsia" w:ascii="仿宋_GB2312" w:hAnsi="仿宋" w:eastAsia="仿宋_GB2312" w:cs="宋体"/>
          <w:spacing w:val="-8"/>
          <w:position w:val="-4"/>
          <w:sz w:val="32"/>
          <w:szCs w:val="32"/>
        </w:rPr>
        <w:t>减免该服务当月使用费。</w:t>
      </w:r>
    </w:p>
    <w:p>
      <w:pPr>
        <w:shd w:val="clear" w:color="auto" w:fill="D9D9D9"/>
      </w:pPr>
      <w:r>
        <w:rPr>
          <w:rFonts w:ascii="仿宋_GB2312" w:hAnsi="仿宋_GB2312"/>
          <w:color w:val="000000"/>
          <w:sz w:val="32"/>
        </w:rPr>
        <w:t>应答：满足。系统具备高可用性设计，采用冗余备份和负载均衡机制，确保单次应用服务故障时间控制在5小时以内。若发生不可用故障，我方承诺按照合同约定减免该服务当月使用费，确保客户权益得到保障。</w:t>
      </w:r>
    </w:p>
    <w:p w14:paraId="7A59C08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7）当月</w:t>
      </w:r>
      <w:r>
        <w:rPr>
          <w:rFonts w:hint="eastAsia" w:ascii="仿宋_GB2312" w:hAnsi="仿宋" w:eastAsia="仿宋_GB2312" w:cs="宋体"/>
          <w:spacing w:val="-8"/>
          <w:position w:val="-4"/>
          <w:sz w:val="32"/>
          <w:szCs w:val="32"/>
        </w:rPr>
        <w:t>应用服务故障累计不可用时间超过</w:t>
      </w:r>
      <w:r>
        <w:rPr>
          <w:rFonts w:ascii="仿宋_GB2312" w:hAnsi="仿宋" w:eastAsia="仿宋_GB2312" w:cs="宋体"/>
          <w:spacing w:val="-8"/>
          <w:position w:val="-4"/>
          <w:sz w:val="32"/>
          <w:szCs w:val="32"/>
        </w:rPr>
        <w:t>12小时减免该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25%。</w:t>
      </w:r>
    </w:p>
    <w:p>
      <w:pPr>
        <w:shd w:val="clear" w:color="auto" w:fill="D9D9D9"/>
      </w:pPr>
      <w:r>
        <w:rPr>
          <w:rFonts w:ascii="仿宋_GB2312" w:hAnsi="仿宋_GB2312"/>
          <w:color w:val="000000"/>
          <w:sz w:val="32"/>
        </w:rPr>
        <w:t>应答：满足。系统具备全面的故障监测与报告机制，能够实时记录应用服务的可用性。当月应用服务故障累计不可用时间超过12小时时，系统将自动计算并生成减免报告，确保客户享受当月使用费减免25%的权益，保障服务的透明性与公正性。</w:t>
      </w:r>
    </w:p>
    <w:p w14:paraId="4866C310">
      <w:pPr>
        <w:pStyle w:val="9"/>
        <w:spacing w:before="0" w:beforeAutospacing="0" w:after="0" w:afterAutospacing="0" w:line="560" w:lineRule="exact"/>
        <w:ind w:firstLine="640" w:firstLineChars="200"/>
        <w:rPr>
          <w:rFonts w:hint="eastAsia" w:ascii="仿宋_GB2312" w:hAnsi="仿宋" w:eastAsia="仿宋_GB2312"/>
          <w:sz w:val="32"/>
          <w:szCs w:val="36"/>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hint="default" w:ascii="仿宋_GB2312" w:hAnsi="仿宋" w:eastAsia="仿宋_GB2312"/>
          <w:sz w:val="32"/>
          <w:szCs w:val="32"/>
          <w:lang w:val="en-US" w:eastAsia="zh-CN"/>
        </w:rPr>
        <w:t>9</w:t>
      </w:r>
      <w:r>
        <w:rPr>
          <w:rFonts w:hint="eastAsia" w:ascii="仿宋_GB2312" w:hAnsi="仿宋" w:eastAsia="仿宋_GB2312"/>
          <w:sz w:val="32"/>
          <w:szCs w:val="32"/>
        </w:rPr>
        <w:t>乙方违反本合同约定的保密等其他义务或提供的服务</w:t>
      </w:r>
      <w:r>
        <w:rPr>
          <w:rFonts w:ascii="仿宋_GB2312" w:hAnsi="仿宋" w:eastAsia="仿宋_GB2312"/>
          <w:sz w:val="32"/>
          <w:szCs w:val="32"/>
        </w:rPr>
        <w:t>/产品给甲方造成重大声誉或经济损失</w:t>
      </w:r>
      <w:r>
        <w:rPr>
          <w:rFonts w:hint="eastAsia" w:ascii="仿宋_GB2312" w:hAnsi="仿宋" w:eastAsia="仿宋_GB2312"/>
          <w:sz w:val="32"/>
          <w:szCs w:val="32"/>
        </w:rPr>
        <w:t>的，甲方有权解除合同并主张乙方支付不低于合同总金额</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w:t>
      </w:r>
      <w:bookmarkStart w:id="13" w:name="_Hlk204693700"/>
      <w:r>
        <w:rPr>
          <w:rFonts w:hint="eastAsia" w:ascii="仿宋_GB2312" w:hAnsi="仿宋" w:eastAsia="仿宋_GB2312"/>
          <w:sz w:val="32"/>
          <w:szCs w:val="36"/>
        </w:rPr>
        <w:t>此外，由此给甲方造成的一切损失由乙方承担。</w:t>
      </w:r>
      <w:bookmarkEnd w:id="13"/>
    </w:p>
    <w:p>
      <w:pPr>
        <w:shd w:val="clear" w:color="auto" w:fill="D9D9D9"/>
      </w:pPr>
      <w:r>
        <w:rPr>
          <w:rFonts w:ascii="仿宋_GB2312" w:hAnsi="仿宋_GB2312"/>
          <w:color w:val="000000"/>
          <w:sz w:val="32"/>
        </w:rPr>
        <w:t>应答：满足。系统具备完善的合同管理功能，能够实时监控合同履行情况，并对乙方的保密义务进行跟踪记录。若发现违约行为，系统将自动生成违约报告，支持甲方及时采取措施，保障自身权益。同时，系统提供违约金计算工具，确保违约金的准确性和透明度，降低甲方因违约造成的声誉和经济损失风险。</w:t>
      </w:r>
    </w:p>
    <w:p w14:paraId="3DFE669F">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.10</w:t>
      </w:r>
      <w:r>
        <w:rPr>
          <w:rFonts w:hint="eastAsia" w:ascii="仿宋_GB2312" w:hAnsi="仿宋" w:eastAsia="仿宋_GB2312"/>
          <w:sz w:val="32"/>
          <w:szCs w:val="32"/>
        </w:rPr>
        <w:t>甲方有权在付款时将违约金予以扣除。</w:t>
      </w:r>
    </w:p>
    <w:p>
      <w:pPr>
        <w:shd w:val="clear" w:color="auto" w:fill="D9D9D9"/>
      </w:pPr>
      <w:r>
        <w:rPr>
          <w:rFonts w:ascii="仿宋_GB2312" w:hAnsi="仿宋_GB2312"/>
          <w:color w:val="000000"/>
          <w:sz w:val="32"/>
        </w:rPr>
        <w:t>应答：满足。系统支持在付款流程中自动计算并扣除违约金，确保合规性和透明度。通过设置违约金规则，系统能够实时监控合同执行情况，并在付款时自动调整应付款项，保障甲方权益。</w:t>
      </w:r>
    </w:p>
    <w:p w14:paraId="47BC9825">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无正当理由的情况下，甲方逾期支付应付合同价款，经乙方书面催告后的合理期限内仍未支付的，应每日按逾期应付合同价款金额的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‰向乙方支付违约金，直至实际支付应付合同价款之日为止，甲方需支付的违约金最多不得超过逾期应付合同价款的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%；违约金达到合同总金额的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%时，乙方有权解除合同。</w:t>
      </w:r>
    </w:p>
    <w:p>
      <w:pPr>
        <w:shd w:val="clear" w:color="auto" w:fill="D9D9D9"/>
      </w:pPr>
      <w:r>
        <w:rPr>
          <w:rFonts w:ascii="仿宋_GB2312" w:hAnsi="仿宋_GB2312"/>
          <w:color w:val="000000"/>
          <w:sz w:val="32"/>
        </w:rPr>
        <w:t>应答：满足。系统支持合同管理模块，能够自动监测支付状态，并在逾期情况下生成催告提醒。若甲方在合理期限内仍未支付，系统将自动计算并记录违约金，按照逾期金额的3‰进行每日计费，确保违约金不超过逾期应付合同价款的3%。此外，系统具备合同解除预警功能，当违约金达到合同总金额的30%时，及时通知乙方以便采取相应措施。</w:t>
      </w:r>
    </w:p>
    <w:p w14:paraId="50C7BD1F">
      <w:pPr>
        <w:tabs>
          <w:tab w:val="left" w:pos="1640"/>
        </w:tabs>
        <w:spacing w:line="560" w:lineRule="exact"/>
        <w:ind w:firstLine="640" w:firstLineChars="200"/>
        <w:rPr>
          <w:rFonts w:ascii="仿宋_GB2312" w:hAnsi="仿宋" w:eastAsia="仿宋_GB2312"/>
          <w:sz w:val="32"/>
          <w:szCs w:val="32"/>
        </w:rPr>
      </w:pPr>
      <w:bookmarkStart w:id="14" w:name="_Hlk66969051"/>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12</w:t>
      </w:r>
      <w:r>
        <w:rPr>
          <w:rFonts w:hint="eastAsia" w:ascii="仿宋_GB2312" w:hAnsi="仿宋" w:eastAsia="仿宋_GB2312"/>
          <w:sz w:val="32"/>
          <w:szCs w:val="32"/>
        </w:rPr>
        <w:t xml:space="preserve"> 在合同未解除的情况下，违约方承担违约责任并不免除其继续履行合同的义务。</w:t>
      </w:r>
      <w:bookmarkEnd w:id="14"/>
    </w:p>
    <w:p>
      <w:pPr>
        <w:shd w:val="clear" w:color="auto" w:fill="D9D9D9"/>
      </w:pPr>
      <w:r>
        <w:rPr>
          <w:rFonts w:ascii="仿宋_GB2312" w:hAnsi="仿宋_GB2312"/>
          <w:color w:val="000000"/>
          <w:sz w:val="32"/>
        </w:rPr>
        <w:t>应答：满足。系统明确规定，违约方在合同未解除的情况下，仍需承担违约责任，同时继续履行合同义务。此条款确保合同的严肃性和执行力，维护各方权益，避免因违约行为导致合同履行的中断。</w:t>
      </w:r>
    </w:p>
    <w:bookmarkEnd w:id="11"/>
    <w:p w14:paraId="19AF4181">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1</w:t>
      </w:r>
      <w:r>
        <w:rPr>
          <w:rFonts w:hint="eastAsia" w:ascii="仿宋_GB2312" w:hAnsi="仿宋" w:eastAsia="仿宋_GB2312"/>
          <w:b/>
          <w:bCs/>
          <w:sz w:val="32"/>
          <w:szCs w:val="32"/>
        </w:rPr>
        <w:t>、不可抗力</w:t>
      </w:r>
    </w:p>
    <w:p w14:paraId="7370B346">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.1本条所述的“不可抗力”系指双方缔结合同时不能预见、不能克服或不能避免的客观情况，</w:t>
      </w:r>
      <w:bookmarkStart w:id="15" w:name="_Hlk204693722"/>
      <w:r>
        <w:rPr>
          <w:rFonts w:hint="eastAsia" w:ascii="仿宋_GB2312" w:hAnsi="仿宋" w:eastAsia="仿宋_GB2312" w:cs="宋体"/>
          <w:spacing w:val="-8"/>
          <w:position w:val="-4"/>
          <w:sz w:val="32"/>
          <w:szCs w:val="32"/>
        </w:rPr>
        <w:t>包括但不限于战争、严重火灾、洪水、台风、地震等情形，</w:t>
      </w:r>
      <w:bookmarkEnd w:id="15"/>
      <w:r>
        <w:rPr>
          <w:rFonts w:hint="eastAsia" w:ascii="仿宋_GB2312" w:hAnsi="仿宋" w:eastAsia="仿宋_GB2312" w:cs="宋体"/>
          <w:spacing w:val="-8"/>
          <w:position w:val="-4"/>
          <w:sz w:val="32"/>
          <w:szCs w:val="32"/>
        </w:rPr>
        <w:t>但不包括乙方的违约或疏忽。</w:t>
      </w:r>
    </w:p>
    <w:p>
      <w:pPr>
        <w:shd w:val="clear" w:color="auto" w:fill="D9D9D9"/>
      </w:pPr>
      <w:r>
        <w:rPr>
          <w:rFonts w:ascii="仿宋_GB2312" w:hAnsi="仿宋_GB2312"/>
          <w:color w:val="000000"/>
          <w:sz w:val="32"/>
        </w:rPr>
        <w:t>应答：满足。系统具备完善的不可抗力事件管理机制，能够自动识别和记录不可抗力事件，包括但不限于战争、严重火灾、洪水、台风、地震等情况。同时，系统提供详细的事件报告功能，确保在不可抗力发生时，及时通知相关方并采取相应的应对措施，保障项目的顺利进行。</w:t>
      </w:r>
    </w:p>
    <w:p w14:paraId="459A7439">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.2 如果出现不可抗力，双方在本合同中的义务在不可抗力影响范围及其持续期间将中止履行。经另一方确定的不可抗力影响时间，不计入本合同执行时间，本合同执行时间相应顺延。任何一方均不会因此而承担责任。但是，一方延迟履行本合同同时发生了不可抗力，延迟方的违约责任不能免除。</w:t>
      </w:r>
    </w:p>
    <w:p>
      <w:pPr>
        <w:shd w:val="clear" w:color="auto" w:fill="D9D9D9"/>
      </w:pPr>
      <w:r>
        <w:rPr>
          <w:rFonts w:ascii="仿宋_GB2312" w:hAnsi="仿宋_GB2312"/>
          <w:color w:val="000000"/>
          <w:sz w:val="32"/>
        </w:rPr>
        <w:t>应答：满足。系统支持不可抗力事件的记录与管理，确保在不可抗力影响期间，合同义务的履行能够中止并自动记录。同时，系统能够根据不可抗力的影响时间，自动调整合同执行时间，确保合同的有效性与合规性。此外，系统将提供违约责任的追踪功能，确保在不可抗力情况下，相关责任的明确与管理。</w:t>
      </w:r>
    </w:p>
    <w:p w14:paraId="516988D8">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.3 受不可抗力影响的一方，应当尽可能采取合理的行为和适当的措施减轻不可抗力对履行合同所造成的影响。没有采取合理的行为和适当的措施致使损失扩大的，该方不能就扩大损失的部分要求免责，仍需就扩大损失的部分承担赔偿责任。</w:t>
      </w:r>
    </w:p>
    <w:p>
      <w:pPr>
        <w:shd w:val="clear" w:color="auto" w:fill="D9D9D9"/>
      </w:pPr>
      <w:r>
        <w:rPr>
          <w:rFonts w:ascii="仿宋_GB2312" w:hAnsi="仿宋_GB2312"/>
          <w:color w:val="000000"/>
          <w:sz w:val="32"/>
        </w:rPr>
        <w:t>应答：满足。我方将严格遵循合同条款，确保在不可抗力情况下采取合理的措施，及时通知对方并尽力减轻损失。我们将建立应急响应机制，评估影响并实施适当的补救措施，以确保合同履行的连续性和稳定性。同时，我方承诺对未采取合理措施导致的损失扩大部分承担相应的赔偿责任，确保合同的公平性与合规性。</w:t>
      </w:r>
    </w:p>
    <w:p w14:paraId="58B3B403">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.4 受不可抗力影响的一方应在不可抗力发生后5个工作日内将不能履行合同的原因书面告知对方，并提供有效的证明文件。不可抗力影响结束后，受影响方应在5个工作日内书面通知对方。如果不可抗力影响超过30日，双方可以通过友好协商确定是否继续履行本合同或者解除本合同。</w:t>
      </w:r>
    </w:p>
    <w:p>
      <w:pPr>
        <w:shd w:val="clear" w:color="auto" w:fill="D9D9D9"/>
      </w:pPr>
      <w:r>
        <w:rPr>
          <w:rFonts w:ascii="仿宋_GB2312" w:hAnsi="仿宋_GB2312"/>
          <w:color w:val="000000"/>
          <w:sz w:val="32"/>
        </w:rPr>
        <w:t>应答：满足。系统支持不可抗力事件的管理功能，能够在不可抗力发生后5个工作日内自动生成通知，并提供模板以便于书面告知对方。同时，系统具备记录和存档功能，确保有效证明文件的管理。不可抗力影响结束后，系统将提醒受影响方在5个工作日内进行书面通知，确保合同履行的透明性与合规性。</w:t>
      </w:r>
    </w:p>
    <w:p w14:paraId="010DC65D">
      <w:pPr>
        <w:pStyle w:val="9"/>
        <w:spacing w:before="0" w:beforeAutospacing="0" w:after="0" w:afterAutospacing="0" w:line="560" w:lineRule="exact"/>
        <w:ind w:firstLine="640" w:firstLineChars="200"/>
        <w:jc w:val="both"/>
        <w:rPr>
          <w:rFonts w:ascii="仿宋_GB2312" w:hAnsi="仿宋" w:eastAsia="仿宋_GB2312"/>
          <w:b/>
          <w:bCs/>
          <w:sz w:val="32"/>
          <w:szCs w:val="32"/>
        </w:rPr>
      </w:pPr>
      <w:r>
        <w:rPr>
          <w:rFonts w:hint="eastAsia" w:ascii="仿宋_GB2312" w:hAnsi="仿宋" w:eastAsia="仿宋_GB2312"/>
          <w:sz w:val="32"/>
          <w:szCs w:val="32"/>
        </w:rPr>
        <w:t>1</w:t>
      </w:r>
      <w:r>
        <w:rPr>
          <w:rFonts w:hint="eastAsia" w:ascii="仿宋_GB2312" w:hAnsi="仿宋" w:eastAsia="仿宋_GB2312"/>
          <w:b/>
          <w:bCs/>
          <w:sz w:val="32"/>
          <w:szCs w:val="32"/>
          <w:lang w:val="en-US" w:eastAsia="zh-CN"/>
        </w:rPr>
        <w:t>2</w:t>
      </w:r>
      <w:r>
        <w:rPr>
          <w:rFonts w:hint="eastAsia" w:ascii="仿宋_GB2312" w:hAnsi="仿宋" w:eastAsia="仿宋_GB2312"/>
          <w:b/>
          <w:bCs/>
          <w:sz w:val="32"/>
          <w:szCs w:val="32"/>
        </w:rPr>
        <w:t>、 税费</w:t>
      </w:r>
    </w:p>
    <w:p w14:paraId="087F872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.1 中国政府根据现行税法对乙方征收的与本合同有关的一切税费均由乙方负担。在中国境外发生的与本合同执行有关的一切税费均由乙方负担。</w:t>
      </w:r>
    </w:p>
    <w:p>
      <w:pPr>
        <w:shd w:val="clear" w:color="auto" w:fill="D9D9D9"/>
      </w:pPr>
      <w:r>
        <w:rPr>
          <w:rFonts w:ascii="仿宋_GB2312" w:hAnsi="仿宋_GB2312"/>
          <w:color w:val="000000"/>
          <w:sz w:val="32"/>
        </w:rPr>
        <w:t>应答：满足。系统支持全面的税费管理功能，能够自动计算并记录与合同相关的各类税费，确保乙方在中国境内及境外的税务合规。系统提供实时税率更新和税务报告生成功能，帮助乙方有效管理税务风险，确保合同执行过程中的税费负担得到合理控制。</w:t>
      </w:r>
    </w:p>
    <w:p w14:paraId="1F707A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.2 中国政府依据现行税法对甲方征收的与本合同有关的一切税费均由甲方负担。</w:t>
      </w:r>
    </w:p>
    <w:p>
      <w:pPr>
        <w:shd w:val="clear" w:color="auto" w:fill="D9D9D9"/>
      </w:pPr>
      <w:r>
        <w:rPr>
          <w:rFonts w:ascii="仿宋_GB2312" w:hAnsi="仿宋_GB2312"/>
          <w:color w:val="000000"/>
          <w:sz w:val="32"/>
        </w:rPr>
        <w:t>应答：满足。系统遵循中国现行税法规定，确保甲方承担与本合同相关的所有税费。我们将提供详细的税费计算和管理功能，确保甲方在合同执行过程中能够清晰了解和管理相关税务责任。</w:t>
      </w:r>
    </w:p>
    <w:p w14:paraId="391745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3</w:t>
      </w:r>
      <w:r>
        <w:rPr>
          <w:rFonts w:hint="eastAsia" w:ascii="仿宋_GB2312" w:hAnsi="仿宋" w:eastAsia="仿宋_GB2312"/>
          <w:b/>
          <w:bCs/>
          <w:sz w:val="32"/>
          <w:szCs w:val="32"/>
        </w:rPr>
        <w:t>、合同的转让</w:t>
      </w:r>
    </w:p>
    <w:p w14:paraId="08D85D9F">
      <w:pPr>
        <w:spacing w:line="560" w:lineRule="exact"/>
        <w:ind w:firstLine="640" w:firstLineChars="200"/>
        <w:rPr>
          <w:rFonts w:ascii="仿宋_GB2312" w:hAnsi="仿宋" w:eastAsia="仿宋_GB2312"/>
          <w:sz w:val="32"/>
          <w:szCs w:val="32"/>
        </w:rPr>
      </w:pPr>
      <w:bookmarkStart w:id="16" w:name="_Hlk66969821"/>
      <w:r>
        <w:rPr>
          <w:rFonts w:hint="eastAsia" w:ascii="仿宋_GB2312" w:hAnsi="仿宋" w:eastAsia="仿宋_GB2312"/>
          <w:sz w:val="32"/>
          <w:szCs w:val="32"/>
        </w:rPr>
        <w:t>未经甲方书面同意，乙方不得将其在本合同项下的全部或部分权利义务转让或分包给第三方。甲方有权根据需要通知乙方向甲方指定的第三方履行，或将甲方全部或部分权利转让给第三方。</w:t>
      </w:r>
    </w:p>
    <w:p>
      <w:pPr>
        <w:shd w:val="clear" w:color="auto" w:fill="D9D9D9"/>
      </w:pPr>
      <w:r>
        <w:rPr>
          <w:rFonts w:ascii="仿宋_GB2312" w:hAnsi="仿宋_GB2312"/>
          <w:color w:val="000000"/>
          <w:sz w:val="32"/>
        </w:rPr>
        <w:t>应答：满足。系统支持合同权利义务的严格管理，确保未经甲方书面同意，乙方不得将其在本合同项下的全部或部分权利义务转让或分包给第三方。同时，系统具备灵活的权限设置，允许甲方在必要时通知乙方指定的第三方履行合同义务，或将甲方的全部或部分权利安全地转让给第三方，确保合同执行的合规性与透明度。</w:t>
      </w:r>
    </w:p>
    <w:bookmarkEnd w:id="16"/>
    <w:p w14:paraId="1632C6D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4</w:t>
      </w:r>
      <w:r>
        <w:rPr>
          <w:rFonts w:hint="eastAsia" w:ascii="仿宋_GB2312" w:hAnsi="仿宋" w:eastAsia="仿宋_GB2312"/>
          <w:b/>
          <w:bCs/>
          <w:sz w:val="32"/>
          <w:szCs w:val="32"/>
        </w:rPr>
        <w:t>、合同的解除</w:t>
      </w:r>
    </w:p>
    <w:p w14:paraId="3502E2B9">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.1  甲乙双方协商一致，可以解除本合同。</w:t>
      </w:r>
    </w:p>
    <w:p>
      <w:pPr>
        <w:shd w:val="clear" w:color="auto" w:fill="D9D9D9"/>
      </w:pPr>
      <w:r>
        <w:rPr>
          <w:rFonts w:ascii="仿宋_GB2312" w:hAnsi="仿宋_GB2312"/>
          <w:color w:val="000000"/>
          <w:sz w:val="32"/>
        </w:rPr>
        <w:t>应答：满足。系统支持合同管理模块，允许甲乙双方在协商一致的情况下，通过系统界面进行合同解除操作。该功能包括合同状态更新、历史记录保存及通知功能，确保合同解除过程透明、可追溯。</w:t>
      </w:r>
    </w:p>
    <w:p w14:paraId="4AC0AB0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.2  一方违约，致使另一方合同目的无法实现的，另一方可以解除本合同；合同的解除不影响合同中有关保密条款、违约责任承担、损害赔偿条款及争议解决条款的效力。</w:t>
      </w:r>
    </w:p>
    <w:p>
      <w:pPr>
        <w:shd w:val="clear" w:color="auto" w:fill="D9D9D9"/>
      </w:pPr>
      <w:r>
        <w:rPr>
          <w:rFonts w:ascii="仿宋_GB2312" w:hAnsi="仿宋_GB2312"/>
          <w:color w:val="000000"/>
          <w:sz w:val="32"/>
        </w:rPr>
        <w:t>应答：满足。系统支持合同管理功能，能够自动识别违约情况并提示相关责任。合同解除后，系统将确保保密条款、违约责任、损害赔偿及争议解决条款的有效性，保障合同各方的合法权益。同时，系统提供详细的记录和追踪功能，确保合同履行过程中的透明性和合规性。</w:t>
      </w:r>
    </w:p>
    <w:p w14:paraId="5C6DDA8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bookmarkStart w:id="17" w:name="_Hlk66976685"/>
      <w:r>
        <w:rPr>
          <w:rFonts w:hint="eastAsia" w:ascii="仿宋_GB2312" w:hAnsi="仿宋" w:eastAsia="仿宋_GB2312"/>
          <w:sz w:val="32"/>
          <w:szCs w:val="32"/>
        </w:rPr>
        <w:t>1</w:t>
      </w:r>
      <w:r>
        <w:rPr>
          <w:rFonts w:hint="eastAsia" w:ascii="仿宋_GB2312" w:hAnsi="仿宋" w:eastAsia="仿宋_GB2312"/>
          <w:sz w:val="32"/>
          <w:szCs w:val="32"/>
          <w:lang w:val="en-US" w:eastAsia="zh-CN"/>
        </w:rPr>
        <w:t>4</w:t>
      </w:r>
      <w:r>
        <w:rPr>
          <w:rFonts w:hint="eastAsia" w:ascii="仿宋_GB2312" w:hAnsi="仿宋" w:eastAsia="仿宋_GB2312"/>
          <w:sz w:val="32"/>
          <w:szCs w:val="32"/>
        </w:rPr>
        <w:t>.3 因不可抗力致使合同目的无法实现的，双方均有权解除合同。</w:t>
      </w:r>
    </w:p>
    <w:p>
      <w:pPr>
        <w:shd w:val="clear" w:color="auto" w:fill="D9D9D9"/>
      </w:pPr>
      <w:r>
        <w:rPr>
          <w:rFonts w:ascii="仿宋_GB2312" w:hAnsi="仿宋_GB2312"/>
          <w:color w:val="000000"/>
          <w:sz w:val="32"/>
        </w:rPr>
        <w:t>应答：满足。系统支持在不可抗力情况下的合同管理功能，能够自动识别并记录不可抗力事件，确保合同目的无法实现时，双方均可通过系统发起解除合同的流程。同时，系统提供相关文档的上传和存档功能，以便于后续的审计和追溯。</w:t>
      </w:r>
    </w:p>
    <w:bookmarkEnd w:id="17"/>
    <w:p w14:paraId="7D651C3F">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.4</w:t>
      </w:r>
      <w:r>
        <w:rPr>
          <w:rStyle w:val="35"/>
          <w:rFonts w:ascii="仿宋_GB2312" w:hAnsi="仿宋" w:eastAsia="仿宋_GB2312"/>
          <w:color w:val="000000"/>
          <w:sz w:val="32"/>
          <w:szCs w:val="32"/>
          <w:u w:val="none"/>
        </w:rPr>
        <w:t xml:space="preserve"> </w:t>
      </w:r>
      <w:r>
        <w:rPr>
          <w:rStyle w:val="35"/>
          <w:rFonts w:hint="eastAsia" w:ascii="仿宋_GB2312" w:hAnsi="仿宋" w:eastAsia="仿宋_GB2312"/>
          <w:color w:val="000000"/>
          <w:sz w:val="32"/>
          <w:szCs w:val="32"/>
          <w:u w:val="none"/>
        </w:rPr>
        <w:t>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2</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3</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4</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.6</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.7</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.8</w:t>
      </w:r>
      <w:r>
        <w:rPr>
          <w:rStyle w:val="35"/>
          <w:rFonts w:hint="eastAsia" w:ascii="仿宋_GB2312" w:hAnsi="仿宋" w:eastAsia="仿宋_GB2312"/>
          <w:color w:val="000000"/>
          <w:sz w:val="32"/>
          <w:szCs w:val="32"/>
          <w:u w:val="none"/>
        </w:rPr>
        <w:t>条约定，甲方可以解除合同。</w:t>
      </w:r>
      <w:bookmarkStart w:id="18" w:name="_Hlk204693752"/>
      <w:bookmarkStart w:id="19" w:name="_Hlk204695965"/>
      <w:r>
        <w:rPr>
          <w:rStyle w:val="35"/>
          <w:rFonts w:hint="eastAsia" w:ascii="仿宋_GB2312" w:hAnsi="仿宋" w:eastAsia="仿宋_GB2312"/>
          <w:color w:val="000000"/>
          <w:sz w:val="32"/>
          <w:szCs w:val="32"/>
          <w:u w:val="none"/>
        </w:rPr>
        <w:t>甲方因乙方违约解除合同的，甲方有权要求乙方退还已支付的款项并根据本合同第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条约定追究乙方违约责任。</w:t>
      </w:r>
      <w:bookmarkEnd w:id="18"/>
    </w:p>
    <w:p>
      <w:pPr>
        <w:shd w:val="clear" w:color="auto" w:fill="D9D9D9"/>
      </w:pPr>
      <w:r>
        <w:rPr>
          <w:rFonts w:ascii="仿宋_GB2312" w:hAnsi="仿宋_GB2312"/>
          <w:color w:val="000000"/>
          <w:sz w:val="32"/>
        </w:rPr>
        <w:t>应答：满足。系统支持合同管理模块，能够全面记录合同条款及解除条件。针对甲方因乙方违约解除合同的情况，系统提供自动化的违约责任追踪功能，确保甲方能够及时要求乙方退还已支付款项，并生成相应的违约责任报告，符合合同约定的条款要求。</w:t>
      </w:r>
    </w:p>
    <w:bookmarkEnd w:id="19"/>
    <w:p w14:paraId="2AF9875D">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.5 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1</w:t>
      </w:r>
      <w:r>
        <w:rPr>
          <w:rStyle w:val="35"/>
          <w:rFonts w:hint="default" w:ascii="仿宋_GB2312" w:hAnsi="仿宋" w:eastAsia="仿宋_GB2312"/>
          <w:color w:val="000000"/>
          <w:sz w:val="32"/>
          <w:szCs w:val="32"/>
          <w:u w:val="none"/>
          <w:lang w:val="en-US"/>
        </w:rPr>
        <w:t>1</w:t>
      </w:r>
      <w:r>
        <w:rPr>
          <w:rStyle w:val="35"/>
          <w:rFonts w:hint="eastAsia" w:ascii="仿宋_GB2312" w:hAnsi="仿宋" w:eastAsia="仿宋_GB2312"/>
          <w:color w:val="000000"/>
          <w:sz w:val="32"/>
          <w:szCs w:val="32"/>
          <w:u w:val="none"/>
        </w:rPr>
        <w:t>条约定，乙方可以解除合同。</w:t>
      </w:r>
    </w:p>
    <w:p>
      <w:pPr>
        <w:shd w:val="clear" w:color="auto" w:fill="D9D9D9"/>
      </w:pPr>
      <w:r>
        <w:rPr>
          <w:rFonts w:ascii="仿宋_GB2312" w:hAnsi="仿宋_GB2312"/>
          <w:color w:val="000000"/>
          <w:sz w:val="32"/>
        </w:rPr>
        <w:t>应答：满足。系统支持合同管理功能，能够根据合同条款自动识别解除条件，并提供相应的操作界面，确保乙方在符合第10.11条约定的情况下，能够方便快捷地执行合同解除操作。同时，系统将记录解除合同的相关信息，确保合规性和可追溯性。</w:t>
      </w:r>
    </w:p>
    <w:p w14:paraId="1832CA83">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.6</w:t>
      </w:r>
      <w:bookmarkStart w:id="20" w:name="_Hlk66969841"/>
      <w:r>
        <w:rPr>
          <w:rFonts w:hint="eastAsia" w:ascii="仿宋_GB2312" w:hAnsi="仿宋" w:eastAsia="仿宋_GB2312" w:cstheme="minorBidi"/>
          <w:kern w:val="2"/>
          <w:sz w:val="32"/>
          <w:szCs w:val="32"/>
        </w:rPr>
        <w:t>合同的解除不免除违约方对违约责任的承担，亦不影响本合同中有关清理结算条款及争议解决条款的效力。</w:t>
      </w:r>
    </w:p>
    <w:p>
      <w:pPr>
        <w:shd w:val="clear" w:color="auto" w:fill="D9D9D9"/>
      </w:pPr>
      <w:r>
        <w:rPr>
          <w:rFonts w:ascii="仿宋_GB2312" w:hAnsi="仿宋_GB2312"/>
          <w:color w:val="000000"/>
          <w:sz w:val="32"/>
        </w:rPr>
        <w:t>应答：满足。系统支持合同解除后的违约责任追踪功能，确保违约方仍需承担相应责任。同时，系统将保留清理结算条款及争议解决条款的有效性，确保合同条款在解除后依然可执行，维护各方合法权益。</w:t>
      </w:r>
    </w:p>
    <w:bookmarkEnd w:id="20"/>
    <w:p w14:paraId="6F8FD423">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5</w:t>
      </w:r>
      <w:r>
        <w:rPr>
          <w:rFonts w:hint="eastAsia" w:ascii="仿宋_GB2312" w:hAnsi="仿宋" w:eastAsia="仿宋_GB2312"/>
          <w:b/>
          <w:bCs/>
          <w:sz w:val="32"/>
          <w:szCs w:val="32"/>
        </w:rPr>
        <w:t>.适用法律和争议的解决</w:t>
      </w:r>
    </w:p>
    <w:p>
      <w:pPr>
        <w:shd w:val="clear" w:color="auto" w:fill="D9D9D9"/>
      </w:pPr>
      <w:r>
        <w:rPr>
          <w:rFonts w:ascii="仿宋_GB2312" w:hAnsi="仿宋_GB2312"/>
          <w:b/>
          <w:color w:val="000000"/>
          <w:sz w:val="32"/>
        </w:rPr>
        <w:t>应答：满足。我方在合同中明确适用中华人民共和国法律，所有争议将通过友好协商解决，若协商不成，将提交至合同签署地有管辖权的人民法院进行诉讼，确保法律程序的规范性和有效性。</w:t>
      </w:r>
    </w:p>
    <w:p w14:paraId="7BCA26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本合同适用中华人民共和国法律。凡有关本合同或执行本合同所发生的一切争议，合同各方应通过友好协商解决。协商不成的，可向合同签订地的有管辖权的人民法院起诉。  </w:t>
      </w:r>
    </w:p>
    <w:p>
      <w:pPr>
        <w:shd w:val="clear" w:color="auto" w:fill="D9D9D9"/>
      </w:pPr>
      <w:r>
        <w:rPr>
          <w:rFonts w:ascii="仿宋_GB2312" w:hAnsi="仿宋_GB2312"/>
          <w:color w:val="000000"/>
          <w:sz w:val="32"/>
        </w:rPr>
        <w:t>应答：满足。系统遵循中华人民共和国法律法规，确保合同的合法性与合规性。针对合同执行过程中可能产生的争议，我方承诺通过友好协商解决，若协商未果，将依据合同签订地的有管辖权人民法院进行诉讼，确保各方权益得到有效维护。</w:t>
      </w:r>
    </w:p>
    <w:p w14:paraId="153A53F4">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6</w:t>
      </w:r>
      <w:r>
        <w:rPr>
          <w:rFonts w:hint="eastAsia" w:ascii="仿宋_GB2312" w:hAnsi="仿宋" w:eastAsia="仿宋_GB2312"/>
          <w:b/>
          <w:bCs/>
          <w:sz w:val="32"/>
          <w:szCs w:val="32"/>
        </w:rPr>
        <w:t>、其他</w:t>
      </w:r>
    </w:p>
    <w:p w14:paraId="79B3656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.1 本合同如有未尽事宜，须经甲乙双方共同协商并签订补充协议，补充协议与本合同具有同等法律效力。</w:t>
      </w:r>
    </w:p>
    <w:p>
      <w:pPr>
        <w:shd w:val="clear" w:color="auto" w:fill="D9D9D9"/>
      </w:pPr>
      <w:r>
        <w:rPr>
          <w:rFonts w:ascii="仿宋_GB2312" w:hAnsi="仿宋_GB2312"/>
          <w:color w:val="000000"/>
          <w:sz w:val="32"/>
        </w:rPr>
        <w:t>应答：满足。系统支持合同条款的灵活管理，能够记录并追踪双方协商的未尽事宜，并生成补充协议。所有补充协议将自动与主合同关联，确保其具有同等法律效力，便于后续的合同履行和审计。</w:t>
      </w:r>
    </w:p>
    <w:p w14:paraId="7246B96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.2本合同附件均为本合同不可分割的部分，与本合同正文具有同等法律效力。</w:t>
      </w:r>
    </w:p>
    <w:p>
      <w:pPr>
        <w:shd w:val="clear" w:color="auto" w:fill="D9D9D9"/>
      </w:pPr>
      <w:r>
        <w:rPr>
          <w:rFonts w:ascii="仿宋_GB2312" w:hAnsi="仿宋_GB2312"/>
          <w:color w:val="000000"/>
          <w:sz w:val="32"/>
        </w:rPr>
        <w:t>应答：满足。系统支持合同附件的完整性管理，确保所有附件与合同正文的关联性和一致性。附件的增删改查功能均可通过系统界面实现，确保合同文档的法律效力不受影响。同时，系统提供版本控制功能，确保历史版本可追溯，保障合同执行过程中的合规性。</w:t>
      </w:r>
    </w:p>
    <w:p w14:paraId="1E435DE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.3 本合同一式肆份，双方各持贰份，具有同等法律效力。经甲、乙双方加盖公章或合同专用章后生效。</w:t>
      </w:r>
    </w:p>
    <w:p>
      <w:pPr>
        <w:shd w:val="clear" w:color="auto" w:fill="D9D9D9"/>
      </w:pPr>
      <w:r>
        <w:rPr>
          <w:rFonts w:ascii="仿宋_GB2312" w:hAnsi="仿宋_GB2312"/>
          <w:color w:val="000000"/>
          <w:sz w:val="32"/>
        </w:rPr>
        <w:t>应答：满足。系统支持合同管理功能，能够生成合同文本并自动生成一式多份的合同副本，确保双方各持相应份数。合同在经双方加盖公章或合同专用章后，系统将自动记录生效时间，确保合同的法律效力可追溯。</w:t>
      </w:r>
    </w:p>
    <w:p w14:paraId="1975B398">
      <w:pPr>
        <w:spacing w:line="560" w:lineRule="exact"/>
        <w:ind w:firstLine="640" w:firstLineChars="200"/>
        <w:rPr>
          <w:rFonts w:ascii="仿宋_GB2312" w:hAnsi="仿宋" w:eastAsia="仿宋_GB2312"/>
          <w:kern w:val="0"/>
          <w:sz w:val="32"/>
          <w:szCs w:val="32"/>
        </w:rPr>
      </w:pPr>
    </w:p>
    <w:p w14:paraId="235983FF">
      <w:pPr>
        <w:spacing w:line="560" w:lineRule="exact"/>
        <w:ind w:firstLine="640" w:firstLineChars="200"/>
        <w:rPr>
          <w:rFonts w:ascii="仿宋_GB2312" w:hAnsi="仿宋" w:eastAsia="仿宋_GB2312"/>
          <w:kern w:val="0"/>
          <w:sz w:val="32"/>
          <w:szCs w:val="32"/>
        </w:rPr>
      </w:pPr>
    </w:p>
    <w:p w14:paraId="537797CC">
      <w:pPr>
        <w:spacing w:line="560" w:lineRule="exact"/>
        <w:ind w:firstLine="643" w:firstLineChars="200"/>
        <w:rPr>
          <w:rFonts w:ascii="仿宋_GB2312" w:hAnsi="仿宋" w:eastAsia="仿宋_GB2312"/>
          <w:kern w:val="0"/>
          <w:sz w:val="32"/>
          <w:szCs w:val="32"/>
        </w:rPr>
      </w:pPr>
      <w:r>
        <w:rPr>
          <w:rFonts w:hint="eastAsia" w:ascii="仿宋_GB2312" w:hAnsi="仿宋" w:eastAsia="仿宋_GB2312"/>
          <w:b/>
          <w:bCs/>
          <w:kern w:val="0"/>
          <w:sz w:val="32"/>
          <w:szCs w:val="32"/>
        </w:rPr>
        <w:t>本合同附件目录如下：</w:t>
      </w:r>
    </w:p>
    <w:p w14:paraId="6A5BD160">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附件一：服务价格清单</w:t>
      </w:r>
    </w:p>
    <w:p w14:paraId="5F7C3FE4">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附件二：甲方业务需求及技术规范</w:t>
      </w:r>
    </w:p>
    <w:p>
      <w:pPr>
        <w:shd w:val="clear" w:color="auto" w:fill="D9D9D9"/>
      </w:pPr>
      <w:r>
        <w:rPr>
          <w:rFonts w:ascii="仿宋_GB2312" w:hAnsi="仿宋_GB2312"/>
          <w:color w:val="000000"/>
          <w:sz w:val="32"/>
        </w:rPr>
        <w:t>应答：满足。系统支持可视化创建多种类型的数据源，包括传统数据库、文件系统、消息队列、SaaS API及NoSQL等。用户可通过界面化管理进行数据源配置，支持新增、修改、删除等操作，并具备便捷的搜索功能，以满足不同业务场景的需求。</w:t>
      </w:r>
    </w:p>
    <w:p w14:paraId="342C36E9">
      <w:pPr>
        <w:spacing w:line="560" w:lineRule="exact"/>
        <w:ind w:firstLine="640" w:firstLineChars="200"/>
        <w:rPr>
          <w:rFonts w:hint="eastAsia" w:ascii="仿宋_GB2312" w:hAnsi="仿宋" w:eastAsia="仿宋_GB2312"/>
          <w:color w:val="000000"/>
          <w:kern w:val="0"/>
          <w:sz w:val="32"/>
          <w:szCs w:val="32"/>
          <w:lang w:val="en-US" w:eastAsia="zh-CN"/>
        </w:rPr>
      </w:pPr>
      <w:r>
        <w:rPr>
          <w:rFonts w:hint="eastAsia" w:ascii="仿宋_GB2312" w:hAnsi="仿宋" w:eastAsia="仿宋_GB2312"/>
          <w:color w:val="000000"/>
          <w:kern w:val="0"/>
          <w:sz w:val="32"/>
          <w:szCs w:val="32"/>
        </w:rPr>
        <w:t>附件三：</w:t>
      </w:r>
      <w:r>
        <w:rPr>
          <w:rFonts w:hint="eastAsia" w:ascii="仿宋_GB2312" w:hAnsi="仿宋" w:eastAsia="仿宋_GB2312"/>
          <w:color w:val="000000"/>
          <w:kern w:val="0"/>
          <w:sz w:val="32"/>
          <w:szCs w:val="32"/>
          <w:lang w:val="en-US" w:eastAsia="zh-CN"/>
        </w:rPr>
        <w:t>服务开通验收合格单</w:t>
      </w:r>
    </w:p>
    <w:p w14:paraId="47F85937">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3272B8AE">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1A1E483">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119E779">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00DC9EE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2DF2E9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335E72C">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D7A706A">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4F9842C8">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6EE7FBF">
      <w:pPr>
        <w:spacing w:line="560" w:lineRule="exact"/>
        <w:ind w:firstLine="480"/>
        <w:rPr>
          <w:rFonts w:ascii="仿宋_GB2312" w:hAnsi="仿宋" w:eastAsia="仿宋_GB2312"/>
          <w:sz w:val="32"/>
          <w:szCs w:val="32"/>
        </w:rPr>
      </w:pPr>
      <w:r>
        <w:rPr>
          <w:rFonts w:hint="eastAsia" w:ascii="仿宋_GB2312" w:hAnsi="仿宋" w:eastAsia="仿宋_GB2312"/>
          <w:sz w:val="32"/>
          <w:szCs w:val="32"/>
        </w:rPr>
        <w:t>（以下无正文）</w:t>
      </w:r>
    </w:p>
    <w:p w14:paraId="5B203349">
      <w:pPr>
        <w:spacing w:line="560" w:lineRule="exact"/>
        <w:ind w:firstLine="480"/>
        <w:rPr>
          <w:rFonts w:ascii="仿宋_GB2312" w:hAnsi="仿宋" w:eastAsia="仿宋_GB2312"/>
          <w:sz w:val="32"/>
          <w:szCs w:val="32"/>
        </w:rPr>
      </w:pPr>
    </w:p>
    <w:p w14:paraId="7D5C68CF">
      <w:pPr>
        <w:spacing w:line="560" w:lineRule="exact"/>
        <w:ind w:firstLine="480"/>
        <w:rPr>
          <w:rFonts w:ascii="仿宋_GB2312" w:hAnsi="仿宋" w:eastAsia="仿宋_GB2312"/>
          <w:sz w:val="32"/>
          <w:szCs w:val="32"/>
        </w:rPr>
      </w:pPr>
    </w:p>
    <w:p w14:paraId="5D2DBF9D">
      <w:pPr>
        <w:widowControl/>
        <w:spacing w:line="560" w:lineRule="exact"/>
        <w:jc w:val="left"/>
        <w:rPr>
          <w:rFonts w:ascii="仿宋_GB2312" w:hAnsi="仿宋" w:eastAsia="仿宋_GB2312"/>
          <w:sz w:val="32"/>
          <w:szCs w:val="32"/>
        </w:rPr>
      </w:pPr>
      <w:r>
        <w:rPr>
          <w:rFonts w:hint="eastAsia" w:ascii="仿宋_GB2312" w:hAnsi="仿宋" w:eastAsia="仿宋_GB2312"/>
          <w:sz w:val="32"/>
          <w:szCs w:val="32"/>
        </w:rPr>
        <w:t>（以下为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服务采购合同盖章部分）</w:t>
      </w:r>
    </w:p>
    <w:p w14:paraId="3F1CD1F6">
      <w:pPr>
        <w:tabs>
          <w:tab w:val="left" w:pos="4360"/>
        </w:tabs>
        <w:spacing w:line="560" w:lineRule="exact"/>
        <w:rPr>
          <w:rFonts w:ascii="仿宋_GB2312" w:hAnsi="仿宋" w:eastAsia="仿宋_GB2312" w:cs="Adobe 仿宋 Std R"/>
          <w:spacing w:val="-8"/>
          <w:sz w:val="32"/>
          <w:szCs w:val="32"/>
        </w:rPr>
      </w:pPr>
    </w:p>
    <w:tbl>
      <w:tblPr>
        <w:tblStyle w:val="11"/>
        <w:tblW w:w="0" w:type="auto"/>
        <w:tblInd w:w="0" w:type="dxa"/>
        <w:tblLayout w:type="fixed"/>
        <w:tblCellMar>
          <w:top w:w="0" w:type="dxa"/>
          <w:left w:w="108" w:type="dxa"/>
          <w:bottom w:w="0" w:type="dxa"/>
          <w:right w:w="108" w:type="dxa"/>
        </w:tblCellMar>
      </w:tblPr>
      <w:tblGrid>
        <w:gridCol w:w="4261"/>
        <w:gridCol w:w="4670"/>
      </w:tblGrid>
      <w:tr w14:paraId="182EEDCB">
        <w:tblPrEx>
          <w:tblCellMar>
            <w:top w:w="0" w:type="dxa"/>
            <w:left w:w="108" w:type="dxa"/>
            <w:bottom w:w="0" w:type="dxa"/>
            <w:right w:w="108" w:type="dxa"/>
          </w:tblCellMar>
        </w:tblPrEx>
        <w:trPr>
          <w:trHeight w:val="1052" w:hRule="atLeast"/>
        </w:trPr>
        <w:tc>
          <w:tcPr>
            <w:tcW w:w="4261" w:type="dxa"/>
            <w:tcBorders>
              <w:top w:val="nil"/>
              <w:left w:val="nil"/>
              <w:bottom w:val="nil"/>
              <w:right w:val="nil"/>
            </w:tcBorders>
          </w:tcPr>
          <w:p w14:paraId="4FAFA1BC">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甲    方：</w:t>
            </w:r>
          </w:p>
          <w:p w14:paraId="1FDC7B3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c>
          <w:tcPr>
            <w:tcW w:w="4670" w:type="dxa"/>
            <w:tcBorders>
              <w:top w:val="nil"/>
              <w:left w:val="nil"/>
              <w:bottom w:val="nil"/>
              <w:right w:val="nil"/>
            </w:tcBorders>
          </w:tcPr>
          <w:p w14:paraId="686EF51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乙    方：</w:t>
            </w:r>
            <w:r>
              <w:rPr>
                <w:rFonts w:hint="eastAsia" w:ascii="仿宋_GB2312" w:hAnsi="仿宋" w:eastAsia="仿宋_GB2312"/>
                <w:spacing w:val="-7"/>
                <w:sz w:val="32"/>
                <w:szCs w:val="32"/>
              </w:rPr>
              <w:t xml:space="preserve">        </w:t>
            </w:r>
          </w:p>
          <w:p w14:paraId="03BD81F3">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r>
      <w:tr w14:paraId="66CDAEA6">
        <w:tblPrEx>
          <w:tblCellMar>
            <w:top w:w="0" w:type="dxa"/>
            <w:left w:w="108" w:type="dxa"/>
            <w:bottom w:w="0" w:type="dxa"/>
            <w:right w:w="108" w:type="dxa"/>
          </w:tblCellMar>
        </w:tblPrEx>
        <w:tc>
          <w:tcPr>
            <w:tcW w:w="4261" w:type="dxa"/>
            <w:tcBorders>
              <w:top w:val="nil"/>
              <w:left w:val="nil"/>
              <w:bottom w:val="nil"/>
              <w:right w:val="nil"/>
            </w:tcBorders>
          </w:tcPr>
          <w:p w14:paraId="5B654628">
            <w:pPr>
              <w:spacing w:line="560" w:lineRule="exact"/>
              <w:rPr>
                <w:rFonts w:ascii="仿宋_GB2312" w:hAnsi="仿宋" w:eastAsia="仿宋_GB2312" w:cs="Adobe 仿宋 Std R"/>
                <w:b/>
                <w:spacing w:val="-8"/>
                <w:sz w:val="32"/>
                <w:szCs w:val="32"/>
              </w:rPr>
            </w:pPr>
          </w:p>
          <w:p w14:paraId="017FB64C">
            <w:pPr>
              <w:spacing w:line="560" w:lineRule="exact"/>
              <w:rPr>
                <w:rFonts w:ascii="仿宋_GB2312" w:hAnsi="仿宋" w:eastAsia="仿宋_GB2312" w:cs="Adobe 仿宋 Std R"/>
                <w:b/>
                <w:spacing w:val="-8"/>
                <w:sz w:val="32"/>
                <w:szCs w:val="32"/>
              </w:rPr>
            </w:pPr>
          </w:p>
        </w:tc>
        <w:tc>
          <w:tcPr>
            <w:tcW w:w="4670" w:type="dxa"/>
            <w:tcBorders>
              <w:top w:val="nil"/>
              <w:left w:val="nil"/>
              <w:bottom w:val="nil"/>
              <w:right w:val="nil"/>
            </w:tcBorders>
          </w:tcPr>
          <w:p w14:paraId="1B81226E">
            <w:pPr>
              <w:spacing w:line="560" w:lineRule="exact"/>
              <w:rPr>
                <w:rFonts w:ascii="仿宋_GB2312" w:hAnsi="仿宋" w:eastAsia="仿宋_GB2312" w:cs="Adobe 仿宋 Std R"/>
                <w:b/>
                <w:spacing w:val="-8"/>
                <w:sz w:val="32"/>
                <w:szCs w:val="32"/>
              </w:rPr>
            </w:pPr>
          </w:p>
          <w:p w14:paraId="196585E0">
            <w:pPr>
              <w:spacing w:line="560" w:lineRule="exact"/>
              <w:rPr>
                <w:rFonts w:ascii="仿宋_GB2312" w:hAnsi="仿宋" w:eastAsia="仿宋_GB2312" w:cs="Adobe 仿宋 Std R"/>
                <w:b/>
                <w:spacing w:val="-17"/>
                <w:sz w:val="32"/>
                <w:szCs w:val="32"/>
              </w:rPr>
            </w:pPr>
          </w:p>
        </w:tc>
      </w:tr>
      <w:tr w14:paraId="542329CD">
        <w:tc>
          <w:tcPr>
            <w:tcW w:w="4261" w:type="dxa"/>
            <w:tcBorders>
              <w:top w:val="nil"/>
              <w:left w:val="nil"/>
              <w:bottom w:val="nil"/>
              <w:right w:val="nil"/>
            </w:tcBorders>
          </w:tcPr>
          <w:p w14:paraId="7BB2130F">
            <w:pPr>
              <w:spacing w:line="560" w:lineRule="exact"/>
              <w:rPr>
                <w:rFonts w:ascii="仿宋_GB2312" w:hAnsi="仿宋" w:eastAsia="仿宋_GB2312" w:cs="Adobe 仿宋 Std R"/>
                <w:b/>
                <w:spacing w:val="-8"/>
                <w:sz w:val="32"/>
                <w:szCs w:val="32"/>
              </w:rPr>
            </w:pPr>
          </w:p>
          <w:p w14:paraId="799210D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c>
          <w:tcPr>
            <w:tcW w:w="4670" w:type="dxa"/>
            <w:tcBorders>
              <w:top w:val="nil"/>
              <w:left w:val="nil"/>
              <w:bottom w:val="nil"/>
              <w:right w:val="nil"/>
            </w:tcBorders>
          </w:tcPr>
          <w:p w14:paraId="739D2BF9">
            <w:pPr>
              <w:spacing w:line="560" w:lineRule="exact"/>
              <w:rPr>
                <w:rFonts w:ascii="仿宋_GB2312" w:hAnsi="仿宋" w:eastAsia="仿宋_GB2312" w:cs="Adobe 仿宋 Std R"/>
                <w:b/>
                <w:spacing w:val="-8"/>
                <w:sz w:val="32"/>
                <w:szCs w:val="32"/>
              </w:rPr>
            </w:pPr>
          </w:p>
          <w:p w14:paraId="6FACD2E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r>
    </w:tbl>
    <w:p w14:paraId="0B620766">
      <w:pPr>
        <w:widowControl/>
        <w:jc w:val="left"/>
        <w:rPr>
          <w:rFonts w:hint="eastAsia" w:ascii="仿宋_GB2312" w:hAnsi="仿宋" w:eastAsia="仿宋_GB2312"/>
          <w:sz w:val="32"/>
          <w:szCs w:val="32"/>
        </w:rPr>
      </w:pPr>
    </w:p>
    <w:p w14:paraId="02E0A313">
      <w:pPr>
        <w:widowControl/>
        <w:jc w:val="left"/>
        <w:rPr>
          <w:rFonts w:ascii="仿宋_GB2312" w:hAnsi="仿宋" w:eastAsia="仿宋_GB2312"/>
          <w:sz w:val="32"/>
          <w:szCs w:val="32"/>
        </w:rPr>
      </w:pPr>
      <w:r>
        <w:rPr>
          <w:rFonts w:hint="eastAsia" w:ascii="仿宋_GB2312" w:hAnsi="仿宋" w:eastAsia="仿宋_GB2312"/>
          <w:sz w:val="32"/>
          <w:szCs w:val="32"/>
        </w:rPr>
        <w:t>附件一：服务价格清单</w:t>
      </w:r>
    </w:p>
    <w:p w14:paraId="42A4EF0C">
      <w:pPr>
        <w:spacing w:line="560" w:lineRule="exact"/>
        <w:jc w:val="left"/>
        <w:rPr>
          <w:rFonts w:ascii="仿宋_GB2312" w:hAnsi="宋体" w:eastAsia="仿宋_GB2312"/>
          <w:sz w:val="24"/>
        </w:rPr>
      </w:pPr>
      <w:r>
        <w:rPr>
          <w:rFonts w:hint="eastAsia" w:ascii="仿宋_GB2312" w:hAnsi="仿宋" w:eastAsia="仿宋_GB2312"/>
          <w:sz w:val="32"/>
          <w:szCs w:val="32"/>
        </w:rPr>
        <w:t>附件二：甲方业务需求及技术规范</w:t>
      </w:r>
    </w:p>
    <w:p>
      <w:pPr>
        <w:shd w:val="clear" w:color="auto" w:fill="D9D9D9"/>
      </w:pPr>
      <w:r>
        <w:rPr>
          <w:rFonts w:ascii="仿宋_GB2312" w:hAnsi="仿宋_GB2312"/>
          <w:color w:val="000000"/>
          <w:sz w:val="32"/>
        </w:rPr>
        <w:t>应答：满足。系统支持可视化创建多种类型的数据源，包括传统数据库、文件系统、消息队列、SaaS API及NoSQL等。通过友好的用户界面，用户可以方便地进行数据源的配置、管理及监控，确保数据源的灵活性和可扩展性。同时，系统具备新增、修改、删除等功能，支持高效的数据源管理与搜索，满足甲方的业务需求及技术规范。</w:t>
      </w:r>
    </w:p>
    <w:p w14:paraId="680C6ABC">
      <w:pPr>
        <w:spacing w:line="560" w:lineRule="exact"/>
        <w:jc w:val="left"/>
        <w:rPr>
          <w:rFonts w:ascii="仿宋_GB2312" w:hAnsi="仿宋" w:eastAsia="仿宋_GB2312"/>
          <w:kern w:val="0"/>
          <w:sz w:val="32"/>
          <w:szCs w:val="32"/>
        </w:rPr>
      </w:pPr>
      <w:r>
        <w:rPr>
          <w:rFonts w:hint="eastAsia" w:ascii="仿宋_GB2312" w:hAnsi="仿宋" w:eastAsia="仿宋_GB2312"/>
          <w:sz w:val="32"/>
          <w:szCs w:val="32"/>
        </w:rPr>
        <w:t>附件三：</w:t>
      </w:r>
      <w:r>
        <w:rPr>
          <w:rFonts w:hint="eastAsia" w:ascii="仿宋_GB2312" w:hAnsi="仿宋" w:eastAsia="仿宋_GB2312"/>
          <w:sz w:val="32"/>
          <w:szCs w:val="32"/>
          <w:lang w:val="en-US" w:eastAsia="zh-CN"/>
        </w:rPr>
        <w:t>服务开通</w:t>
      </w:r>
      <w:r>
        <w:rPr>
          <w:rFonts w:hint="eastAsia" w:ascii="仿宋_GB2312" w:hAnsi="仿宋" w:eastAsia="仿宋_GB2312"/>
          <w:sz w:val="32"/>
          <w:szCs w:val="32"/>
        </w:rPr>
        <w:t>验收合格单</w:t>
      </w:r>
      <w:r>
        <w:rPr>
          <w:rFonts w:hint="eastAsia" w:ascii="仿宋_GB2312" w:hAnsi="仿宋" w:eastAsia="仿宋_GB2312"/>
          <w:color w:val="000000" w:themeColor="text1"/>
          <w:sz w:val="32"/>
          <w:szCs w:val="32"/>
          <w14:textFill>
            <w14:solidFill>
              <w14:schemeClr w14:val="tx1"/>
            </w14:solidFill>
          </w14:textFill>
        </w:rPr>
        <w:t>（样表）</w:t>
      </w:r>
    </w:p>
    <w:tbl>
      <w:tblPr>
        <w:tblStyle w:val="11"/>
        <w:tblW w:w="8505" w:type="dxa"/>
        <w:tblInd w:w="0" w:type="dxa"/>
        <w:tblLayout w:type="fixed"/>
        <w:tblCellMar>
          <w:top w:w="0" w:type="dxa"/>
          <w:left w:w="108" w:type="dxa"/>
          <w:bottom w:w="0" w:type="dxa"/>
          <w:right w:w="108" w:type="dxa"/>
        </w:tblCellMar>
      </w:tblPr>
      <w:tblGrid>
        <w:gridCol w:w="1418"/>
        <w:gridCol w:w="2693"/>
        <w:gridCol w:w="1418"/>
        <w:gridCol w:w="2976"/>
      </w:tblGrid>
      <w:tr w14:paraId="241DA281">
        <w:tblPrEx>
          <w:tblCellMar>
            <w:top w:w="0" w:type="dxa"/>
            <w:left w:w="108" w:type="dxa"/>
            <w:bottom w:w="0" w:type="dxa"/>
            <w:right w:w="108" w:type="dxa"/>
          </w:tblCellMar>
        </w:tblPrEx>
        <w:trPr>
          <w:trHeight w:val="435" w:hRule="atLeast"/>
        </w:trPr>
        <w:tc>
          <w:tcPr>
            <w:tcW w:w="1418" w:type="dxa"/>
            <w:tcBorders>
              <w:top w:val="single" w:color="auto" w:sz="4" w:space="0"/>
              <w:left w:val="single" w:color="auto" w:sz="4" w:space="0"/>
              <w:bottom w:val="single" w:color="auto" w:sz="4" w:space="0"/>
              <w:right w:val="single" w:color="auto" w:sz="4" w:space="0"/>
            </w:tcBorders>
            <w:vAlign w:val="center"/>
          </w:tcPr>
          <w:p w14:paraId="3F67AA14">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合同编号</w:t>
            </w:r>
          </w:p>
        </w:tc>
        <w:tc>
          <w:tcPr>
            <w:tcW w:w="2693" w:type="dxa"/>
            <w:tcBorders>
              <w:top w:val="single" w:color="auto" w:sz="4" w:space="0"/>
              <w:left w:val="nil"/>
              <w:bottom w:val="single" w:color="auto" w:sz="4" w:space="0"/>
              <w:right w:val="single" w:color="auto" w:sz="4" w:space="0"/>
            </w:tcBorders>
            <w:vAlign w:val="center"/>
          </w:tcPr>
          <w:p w14:paraId="06F49DCE">
            <w:pPr>
              <w:spacing w:line="560" w:lineRule="exact"/>
              <w:jc w:val="left"/>
              <w:rPr>
                <w:rFonts w:ascii="仿宋_GB2312" w:hAnsi="仿宋" w:eastAsia="仿宋_GB2312" w:cs="宋体"/>
                <w:kern w:val="0"/>
                <w:sz w:val="24"/>
                <w:szCs w:val="36"/>
              </w:rPr>
            </w:pPr>
          </w:p>
        </w:tc>
        <w:tc>
          <w:tcPr>
            <w:tcW w:w="1418" w:type="dxa"/>
            <w:tcBorders>
              <w:top w:val="single" w:color="auto" w:sz="4" w:space="0"/>
              <w:left w:val="nil"/>
              <w:bottom w:val="single" w:color="auto" w:sz="4" w:space="0"/>
              <w:right w:val="single" w:color="auto" w:sz="4" w:space="0"/>
            </w:tcBorders>
            <w:vAlign w:val="center"/>
          </w:tcPr>
          <w:p w14:paraId="7156A7D2">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合同名称</w:t>
            </w:r>
          </w:p>
        </w:tc>
        <w:tc>
          <w:tcPr>
            <w:tcW w:w="2976" w:type="dxa"/>
            <w:tcBorders>
              <w:top w:val="single" w:color="auto" w:sz="4" w:space="0"/>
              <w:left w:val="nil"/>
              <w:bottom w:val="single" w:color="auto" w:sz="4" w:space="0"/>
              <w:right w:val="single" w:color="auto" w:sz="4" w:space="0"/>
            </w:tcBorders>
            <w:vAlign w:val="center"/>
          </w:tcPr>
          <w:p w14:paraId="24712824">
            <w:pPr>
              <w:spacing w:line="560" w:lineRule="exact"/>
              <w:jc w:val="left"/>
              <w:rPr>
                <w:rFonts w:ascii="仿宋_GB2312" w:hAnsi="仿宋" w:eastAsia="仿宋_GB2312" w:cs="宋体"/>
                <w:kern w:val="0"/>
                <w:sz w:val="24"/>
                <w:szCs w:val="36"/>
              </w:rPr>
            </w:pPr>
          </w:p>
        </w:tc>
      </w:tr>
      <w:tr w14:paraId="1798AC0A">
        <w:tblPrEx>
          <w:tblCellMar>
            <w:top w:w="0" w:type="dxa"/>
            <w:left w:w="108" w:type="dxa"/>
            <w:bottom w:w="0" w:type="dxa"/>
            <w:right w:w="108" w:type="dxa"/>
          </w:tblCellMar>
        </w:tblPrEx>
        <w:trPr>
          <w:trHeight w:val="413" w:hRule="atLeast"/>
        </w:trPr>
        <w:tc>
          <w:tcPr>
            <w:tcW w:w="1418" w:type="dxa"/>
            <w:tcBorders>
              <w:top w:val="nil"/>
              <w:left w:val="single" w:color="auto" w:sz="4" w:space="0"/>
              <w:bottom w:val="single" w:color="auto" w:sz="4" w:space="0"/>
              <w:right w:val="single" w:color="auto" w:sz="4" w:space="0"/>
            </w:tcBorders>
            <w:vAlign w:val="center"/>
          </w:tcPr>
          <w:p w14:paraId="1FEFF5E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甲方名称</w:t>
            </w:r>
          </w:p>
        </w:tc>
        <w:tc>
          <w:tcPr>
            <w:tcW w:w="2693" w:type="dxa"/>
            <w:tcBorders>
              <w:top w:val="nil"/>
              <w:left w:val="nil"/>
              <w:bottom w:val="single" w:color="auto" w:sz="4" w:space="0"/>
              <w:right w:val="single" w:color="auto" w:sz="4" w:space="0"/>
            </w:tcBorders>
            <w:vAlign w:val="center"/>
          </w:tcPr>
          <w:p w14:paraId="53B93386">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02FA73A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乙方名称</w:t>
            </w:r>
          </w:p>
        </w:tc>
        <w:tc>
          <w:tcPr>
            <w:tcW w:w="2976" w:type="dxa"/>
            <w:tcBorders>
              <w:top w:val="nil"/>
              <w:left w:val="nil"/>
              <w:bottom w:val="single" w:color="auto" w:sz="4" w:space="0"/>
              <w:right w:val="single" w:color="auto" w:sz="4" w:space="0"/>
            </w:tcBorders>
            <w:vAlign w:val="center"/>
          </w:tcPr>
          <w:p w14:paraId="5D336438">
            <w:pPr>
              <w:spacing w:line="560" w:lineRule="exact"/>
              <w:jc w:val="left"/>
              <w:rPr>
                <w:rFonts w:ascii="仿宋_GB2312" w:hAnsi="仿宋" w:eastAsia="仿宋_GB2312" w:cs="宋体"/>
                <w:kern w:val="0"/>
                <w:sz w:val="24"/>
                <w:szCs w:val="36"/>
              </w:rPr>
            </w:pPr>
          </w:p>
        </w:tc>
      </w:tr>
      <w:tr w14:paraId="109A3F86">
        <w:tblPrEx>
          <w:tblCellMar>
            <w:top w:w="0" w:type="dxa"/>
            <w:left w:w="108" w:type="dxa"/>
            <w:bottom w:w="0" w:type="dxa"/>
            <w:right w:w="108" w:type="dxa"/>
          </w:tblCellMar>
        </w:tblPrEx>
        <w:trPr>
          <w:trHeight w:val="419" w:hRule="atLeast"/>
        </w:trPr>
        <w:tc>
          <w:tcPr>
            <w:tcW w:w="1418" w:type="dxa"/>
            <w:tcBorders>
              <w:top w:val="nil"/>
              <w:left w:val="single" w:color="auto" w:sz="4" w:space="0"/>
              <w:bottom w:val="single" w:color="auto" w:sz="4" w:space="0"/>
              <w:right w:val="single" w:color="auto" w:sz="4" w:space="0"/>
            </w:tcBorders>
            <w:vAlign w:val="center"/>
          </w:tcPr>
          <w:p w14:paraId="570CB121">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甲方地址</w:t>
            </w:r>
          </w:p>
        </w:tc>
        <w:tc>
          <w:tcPr>
            <w:tcW w:w="2693" w:type="dxa"/>
            <w:tcBorders>
              <w:top w:val="nil"/>
              <w:left w:val="nil"/>
              <w:bottom w:val="single" w:color="auto" w:sz="4" w:space="0"/>
              <w:right w:val="single" w:color="auto" w:sz="4" w:space="0"/>
            </w:tcBorders>
            <w:vAlign w:val="center"/>
          </w:tcPr>
          <w:p w14:paraId="1CF4335B">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5F62E0E8">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乙方地址</w:t>
            </w:r>
          </w:p>
        </w:tc>
        <w:tc>
          <w:tcPr>
            <w:tcW w:w="2976" w:type="dxa"/>
            <w:tcBorders>
              <w:top w:val="nil"/>
              <w:left w:val="nil"/>
              <w:bottom w:val="single" w:color="auto" w:sz="4" w:space="0"/>
              <w:right w:val="single" w:color="auto" w:sz="4" w:space="0"/>
            </w:tcBorders>
            <w:vAlign w:val="center"/>
          </w:tcPr>
          <w:p w14:paraId="6F5AFC9F">
            <w:pPr>
              <w:spacing w:line="560" w:lineRule="exact"/>
              <w:jc w:val="left"/>
              <w:rPr>
                <w:rFonts w:ascii="仿宋_GB2312" w:hAnsi="仿宋" w:eastAsia="仿宋_GB2312" w:cs="宋体"/>
                <w:kern w:val="0"/>
                <w:sz w:val="24"/>
                <w:szCs w:val="36"/>
              </w:rPr>
            </w:pPr>
          </w:p>
        </w:tc>
      </w:tr>
      <w:tr w14:paraId="23ECB4EC">
        <w:tblPrEx>
          <w:tblCellMar>
            <w:top w:w="0" w:type="dxa"/>
            <w:left w:w="108" w:type="dxa"/>
            <w:bottom w:w="0" w:type="dxa"/>
            <w:right w:w="108" w:type="dxa"/>
          </w:tblCellMar>
        </w:tblPrEx>
        <w:trPr>
          <w:trHeight w:val="425" w:hRule="atLeast"/>
        </w:trPr>
        <w:tc>
          <w:tcPr>
            <w:tcW w:w="1418" w:type="dxa"/>
            <w:tcBorders>
              <w:top w:val="nil"/>
              <w:left w:val="single" w:color="auto" w:sz="4" w:space="0"/>
              <w:bottom w:val="single" w:color="auto" w:sz="4" w:space="0"/>
              <w:right w:val="single" w:color="auto" w:sz="4" w:space="0"/>
            </w:tcBorders>
            <w:vAlign w:val="center"/>
          </w:tcPr>
          <w:p w14:paraId="0883B08E">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p>
        </w:tc>
        <w:tc>
          <w:tcPr>
            <w:tcW w:w="2693" w:type="dxa"/>
            <w:tcBorders>
              <w:top w:val="nil"/>
              <w:left w:val="nil"/>
              <w:bottom w:val="single" w:color="auto" w:sz="4" w:space="0"/>
              <w:right w:val="single" w:color="auto" w:sz="4" w:space="0"/>
            </w:tcBorders>
            <w:vAlign w:val="center"/>
          </w:tcPr>
          <w:p w14:paraId="3F18E5E4">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39383F69">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乙方联系人</w:t>
            </w:r>
          </w:p>
        </w:tc>
        <w:tc>
          <w:tcPr>
            <w:tcW w:w="2976" w:type="dxa"/>
            <w:tcBorders>
              <w:top w:val="nil"/>
              <w:left w:val="nil"/>
              <w:bottom w:val="single" w:color="auto" w:sz="4" w:space="0"/>
              <w:right w:val="single" w:color="auto" w:sz="4" w:space="0"/>
            </w:tcBorders>
            <w:vAlign w:val="center"/>
          </w:tcPr>
          <w:p w14:paraId="3DE561FB">
            <w:pPr>
              <w:spacing w:line="560" w:lineRule="exact"/>
              <w:jc w:val="left"/>
              <w:rPr>
                <w:rFonts w:ascii="仿宋_GB2312" w:hAnsi="仿宋" w:eastAsia="仿宋_GB2312" w:cs="宋体"/>
                <w:kern w:val="0"/>
                <w:sz w:val="24"/>
                <w:szCs w:val="36"/>
              </w:rPr>
            </w:pPr>
          </w:p>
        </w:tc>
      </w:tr>
      <w:tr w14:paraId="3A922970">
        <w:tblPrEx>
          <w:tblCellMar>
            <w:top w:w="0" w:type="dxa"/>
            <w:left w:w="108" w:type="dxa"/>
            <w:bottom w:w="0" w:type="dxa"/>
            <w:right w:w="108" w:type="dxa"/>
          </w:tblCellMar>
        </w:tblPrEx>
        <w:trPr>
          <w:trHeight w:val="402" w:hRule="atLeast"/>
        </w:trPr>
        <w:tc>
          <w:tcPr>
            <w:tcW w:w="1418" w:type="dxa"/>
            <w:tcBorders>
              <w:top w:val="nil"/>
              <w:left w:val="single" w:color="auto" w:sz="4" w:space="0"/>
              <w:bottom w:val="single" w:color="auto" w:sz="4" w:space="0"/>
              <w:right w:val="single" w:color="auto" w:sz="4" w:space="0"/>
            </w:tcBorders>
            <w:vAlign w:val="center"/>
          </w:tcPr>
          <w:p w14:paraId="4AE59A4D">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693" w:type="dxa"/>
            <w:tcBorders>
              <w:top w:val="nil"/>
              <w:left w:val="nil"/>
              <w:bottom w:val="single" w:color="auto" w:sz="4" w:space="0"/>
              <w:right w:val="single" w:color="auto" w:sz="4" w:space="0"/>
            </w:tcBorders>
            <w:vAlign w:val="center"/>
          </w:tcPr>
          <w:p w14:paraId="655D4A45">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46F73227">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976" w:type="dxa"/>
            <w:tcBorders>
              <w:top w:val="nil"/>
              <w:left w:val="nil"/>
              <w:bottom w:val="single" w:color="auto" w:sz="4" w:space="0"/>
              <w:right w:val="single" w:color="auto" w:sz="4" w:space="0"/>
            </w:tcBorders>
            <w:vAlign w:val="center"/>
          </w:tcPr>
          <w:p w14:paraId="144BCA07">
            <w:pPr>
              <w:spacing w:line="560" w:lineRule="exact"/>
              <w:jc w:val="left"/>
              <w:rPr>
                <w:rFonts w:ascii="仿宋_GB2312" w:hAnsi="仿宋" w:eastAsia="仿宋_GB2312" w:cs="宋体"/>
                <w:kern w:val="0"/>
                <w:sz w:val="24"/>
                <w:szCs w:val="36"/>
              </w:rPr>
            </w:pPr>
          </w:p>
        </w:tc>
      </w:tr>
      <w:tr w14:paraId="323DD1C6">
        <w:tblPrEx>
          <w:tblCellMar>
            <w:top w:w="0" w:type="dxa"/>
            <w:left w:w="108" w:type="dxa"/>
            <w:bottom w:w="0" w:type="dxa"/>
            <w:right w:w="108" w:type="dxa"/>
          </w:tblCellMar>
        </w:tblPrEx>
        <w:trPr>
          <w:trHeight w:val="1411" w:hRule="atLeast"/>
        </w:trPr>
        <w:tc>
          <w:tcPr>
            <w:tcW w:w="1418" w:type="dxa"/>
            <w:tcBorders>
              <w:top w:val="nil"/>
              <w:left w:val="single" w:color="auto" w:sz="4" w:space="0"/>
              <w:bottom w:val="nil"/>
              <w:right w:val="single" w:color="auto" w:sz="4" w:space="0"/>
            </w:tcBorders>
            <w:vAlign w:val="center"/>
          </w:tcPr>
          <w:p w14:paraId="144C7EB0">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服务内容</w:t>
            </w:r>
          </w:p>
        </w:tc>
        <w:tc>
          <w:tcPr>
            <w:tcW w:w="7087" w:type="dxa"/>
            <w:gridSpan w:val="3"/>
            <w:tcBorders>
              <w:top w:val="nil"/>
              <w:left w:val="nil"/>
              <w:bottom w:val="single" w:color="auto" w:sz="4" w:space="0"/>
              <w:right w:val="single" w:color="auto" w:sz="4" w:space="0"/>
            </w:tcBorders>
            <w:vAlign w:val="center"/>
          </w:tcPr>
          <w:p w14:paraId="55A4E6F9">
            <w:pPr>
              <w:spacing w:line="560" w:lineRule="exact"/>
              <w:jc w:val="center"/>
              <w:rPr>
                <w:rFonts w:ascii="仿宋_GB2312" w:hAnsi="仿宋" w:eastAsia="仿宋_GB2312" w:cs="宋体"/>
                <w:kern w:val="0"/>
                <w:sz w:val="24"/>
                <w:szCs w:val="36"/>
              </w:rPr>
            </w:pPr>
          </w:p>
        </w:tc>
      </w:tr>
      <w:tr w14:paraId="645EE296">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640D1155">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验收地点： </w:t>
            </w:r>
          </w:p>
        </w:tc>
      </w:tr>
      <w:tr w14:paraId="32557B4C">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2727863C">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验收内容： </w:t>
            </w:r>
          </w:p>
        </w:tc>
      </w:tr>
      <w:tr w14:paraId="704BBBF1">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1467E1B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验收标准：</w:t>
            </w:r>
          </w:p>
        </w:tc>
      </w:tr>
      <w:tr w14:paraId="4B92FF5F">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08A5615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验收结论： </w:t>
            </w:r>
          </w:p>
        </w:tc>
      </w:tr>
      <w:tr w14:paraId="16FC6235">
        <w:tblPrEx>
          <w:tblCellMar>
            <w:top w:w="0" w:type="dxa"/>
            <w:left w:w="108" w:type="dxa"/>
            <w:bottom w:w="0" w:type="dxa"/>
            <w:right w:w="108" w:type="dxa"/>
          </w:tblCellMar>
        </w:tblPrEx>
        <w:trPr>
          <w:trHeight w:val="959" w:hRule="atLeast"/>
        </w:trPr>
        <w:tc>
          <w:tcPr>
            <w:tcW w:w="8505" w:type="dxa"/>
            <w:gridSpan w:val="4"/>
            <w:tcBorders>
              <w:top w:val="single" w:color="auto" w:sz="4" w:space="0"/>
              <w:left w:val="single" w:color="auto" w:sz="4" w:space="0"/>
              <w:bottom w:val="single" w:color="auto" w:sz="4" w:space="0"/>
              <w:right w:val="single" w:color="000000" w:sz="4" w:space="0"/>
            </w:tcBorders>
          </w:tcPr>
          <w:p w14:paraId="615BBA06">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备注：</w:t>
            </w:r>
          </w:p>
        </w:tc>
      </w:tr>
      <w:tr w14:paraId="07B16993">
        <w:tblPrEx>
          <w:tblCellMar>
            <w:top w:w="0" w:type="dxa"/>
            <w:left w:w="108" w:type="dxa"/>
            <w:bottom w:w="0" w:type="dxa"/>
            <w:right w:w="108" w:type="dxa"/>
          </w:tblCellMar>
        </w:tblPrEx>
        <w:trPr>
          <w:trHeight w:val="1934" w:hRule="atLeast"/>
        </w:trPr>
        <w:tc>
          <w:tcPr>
            <w:tcW w:w="4111" w:type="dxa"/>
            <w:gridSpan w:val="2"/>
            <w:tcBorders>
              <w:top w:val="single" w:color="auto" w:sz="4" w:space="0"/>
              <w:left w:val="single" w:color="auto" w:sz="4" w:space="0"/>
              <w:bottom w:val="single" w:color="auto" w:sz="4" w:space="0"/>
              <w:right w:val="single" w:color="auto" w:sz="4" w:space="0"/>
            </w:tcBorders>
          </w:tcPr>
          <w:p w14:paraId="6B503F8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日期：</w:t>
            </w:r>
          </w:p>
        </w:tc>
        <w:tc>
          <w:tcPr>
            <w:tcW w:w="4394" w:type="dxa"/>
            <w:gridSpan w:val="2"/>
            <w:tcBorders>
              <w:top w:val="single" w:color="auto" w:sz="4" w:space="0"/>
              <w:left w:val="nil"/>
              <w:bottom w:val="single" w:color="auto" w:sz="4" w:space="0"/>
              <w:right w:val="single" w:color="auto" w:sz="4" w:space="0"/>
            </w:tcBorders>
          </w:tcPr>
          <w:p w14:paraId="00A2FC3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 xml:space="preserve">日期： </w:t>
            </w:r>
          </w:p>
        </w:tc>
      </w:tr>
      <w:tr w14:paraId="643BC87C">
        <w:tblPrEx>
          <w:tblCellMar>
            <w:top w:w="0" w:type="dxa"/>
            <w:left w:w="108" w:type="dxa"/>
            <w:bottom w:w="0" w:type="dxa"/>
            <w:right w:w="108" w:type="dxa"/>
          </w:tblCellMar>
        </w:tblPrEx>
        <w:trPr>
          <w:trHeight w:val="2114" w:hRule="atLeast"/>
        </w:trPr>
        <w:tc>
          <w:tcPr>
            <w:tcW w:w="4111" w:type="dxa"/>
            <w:gridSpan w:val="2"/>
            <w:tcBorders>
              <w:top w:val="single" w:color="auto" w:sz="4" w:space="0"/>
              <w:left w:val="single" w:color="auto" w:sz="4" w:space="0"/>
              <w:bottom w:val="single" w:color="auto" w:sz="4" w:space="0"/>
              <w:right w:val="single" w:color="auto" w:sz="4" w:space="0"/>
            </w:tcBorders>
          </w:tcPr>
          <w:p w14:paraId="3C2BDF5B">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甲方验收单位（盖章）：</w:t>
            </w:r>
          </w:p>
        </w:tc>
        <w:tc>
          <w:tcPr>
            <w:tcW w:w="4394" w:type="dxa"/>
            <w:gridSpan w:val="2"/>
            <w:tcBorders>
              <w:top w:val="single" w:color="auto" w:sz="4" w:space="0"/>
              <w:left w:val="nil"/>
              <w:bottom w:val="single" w:color="auto" w:sz="4" w:space="0"/>
              <w:right w:val="single" w:color="auto" w:sz="4" w:space="0"/>
            </w:tcBorders>
          </w:tcPr>
          <w:p w14:paraId="7A2478D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乙方验收单位（盖章）：</w:t>
            </w:r>
          </w:p>
        </w:tc>
      </w:tr>
    </w:tbl>
    <w:p w14:paraId="6686E4EC">
      <w:pPr>
        <w:rPr>
          <w:rFonts w:hint="eastAsia" w:ascii="仿宋_GB2312" w:hAnsi="仿宋_GB2312" w:eastAsia="仿宋_GB2312" w:cs="仿宋_GB2312"/>
          <w:b/>
          <w:bCs/>
          <w:sz w:val="44"/>
          <w:szCs w:val="44"/>
          <w:highlight w:val="none"/>
        </w:rPr>
      </w:pPr>
      <w:r>
        <w:rPr>
          <w:rFonts w:hint="eastAsia" w:ascii="仿宋_GB2312" w:hAnsi="仿宋" w:eastAsia="仿宋_GB2312" w:cs="宋体"/>
          <w:kern w:val="0"/>
          <w:sz w:val="24"/>
          <w:szCs w:val="36"/>
        </w:rPr>
        <w:t>备注：本验收合格单一式两份，甲乙双方各执一份，具有同等法律效力。</w:t>
      </w:r>
      <w:r>
        <w:rPr>
          <w:rFonts w:hint="eastAsia" w:ascii="仿宋_GB2312" w:hAnsi="仿宋" w:eastAsia="仿宋_GB2312" w:cs="宋体"/>
          <w:kern w:val="0"/>
          <w:sz w:val="24"/>
          <w:szCs w:val="36"/>
        </w:rPr>
        <w:br w:type="page"/>
      </w:r>
    </w:p>
    <w:p w14:paraId="70A6534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lang w:val="en-US" w:eastAsia="zh-CN"/>
        </w:rPr>
        <w:t xml:space="preserve">第四章 </w:t>
      </w:r>
      <w:r>
        <w:rPr>
          <w:rFonts w:hint="eastAsia" w:ascii="仿宋_GB2312" w:hAnsi="仿宋_GB2312" w:eastAsia="仿宋_GB2312" w:cs="仿宋_GB2312"/>
          <w:b/>
          <w:bCs/>
          <w:sz w:val="44"/>
          <w:szCs w:val="44"/>
          <w:highlight w:val="none"/>
        </w:rPr>
        <w:t>响应文件格式</w:t>
      </w:r>
    </w:p>
    <w:p w14:paraId="14FD516D">
      <w:pPr>
        <w:spacing w:line="360" w:lineRule="auto"/>
        <w:outlineLvl w:val="9"/>
        <w:rPr>
          <w:rFonts w:hint="eastAsia" w:ascii="仿宋_GB2312" w:hAnsi="仿宋_GB2312" w:eastAsia="仿宋_GB2312" w:cs="仿宋_GB2312"/>
          <w:b/>
          <w:bCs/>
          <w:sz w:val="32"/>
          <w:szCs w:val="28"/>
          <w:highlight w:val="none"/>
        </w:rPr>
      </w:pPr>
      <w:bookmarkStart w:id="21" w:name="_Toc104912495"/>
      <w:r>
        <w:rPr>
          <w:rFonts w:hint="eastAsia" w:ascii="仿宋_GB2312" w:hAnsi="仿宋_GB2312" w:eastAsia="仿宋_GB2312" w:cs="仿宋_GB2312"/>
          <w:b/>
          <w:bCs/>
          <w:sz w:val="32"/>
          <w:szCs w:val="28"/>
          <w:highlight w:val="none"/>
        </w:rPr>
        <w:t>一、报价一览表</w:t>
      </w:r>
      <w:bookmarkEnd w:id="21"/>
      <w:r>
        <w:rPr>
          <w:rFonts w:hint="eastAsia" w:ascii="仿宋_GB2312" w:hAnsi="仿宋_GB2312" w:eastAsia="仿宋_GB2312" w:cs="仿宋_GB2312"/>
          <w:b/>
          <w:bCs/>
          <w:sz w:val="32"/>
          <w:szCs w:val="28"/>
          <w:highlight w:val="none"/>
          <w:lang w:val="en-US" w:eastAsia="zh-CN"/>
        </w:rPr>
        <w:t>（加盖公章）</w:t>
      </w:r>
    </w:p>
    <w:p w14:paraId="11F3D13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响应人名称：____________</w:t>
      </w:r>
      <w:r>
        <w:rPr>
          <w:rFonts w:hint="eastAsia" w:ascii="仿宋_GB2312" w:hAnsi="仿宋_GB2312" w:eastAsia="仿宋_GB2312" w:cs="仿宋_GB2312"/>
          <w:highlight w:val="none"/>
          <w:lang w:val="en-US" w:eastAsia="zh-CN"/>
        </w:rPr>
        <w:t xml:space="preserve"> </w:t>
      </w:r>
      <w:r>
        <w:rPr>
          <w:rFonts w:hint="eastAsia" w:ascii="仿宋_GB2312" w:hAnsi="仿宋_GB2312" w:eastAsia="仿宋_GB2312" w:cs="仿宋_GB2312"/>
          <w:highlight w:val="none"/>
        </w:rPr>
        <w:t>货币单位：人民币元</w:t>
      </w:r>
    </w:p>
    <w:p>
      <w:pPr>
        <w:shd w:val="clear" w:color="auto" w:fill="D9D9D9"/>
      </w:pPr>
      <w:r>
        <w:rPr>
          <w:rFonts w:ascii="仿宋_GB2312" w:hAnsi="仿宋_GB2312"/>
          <w:color w:val="000000"/>
        </w:rPr>
        <w:t>应答：满足。系统支持响应人名称和货币单位的灵活配置，能够根据用户需求进行自定义设置，确保信息的准确性和可追溯性。同时，系统提供界面化管理功能，便于用户快速查看和修改相关数据，提升操作效率。</w:t>
      </w:r>
    </w:p>
    <w:tbl>
      <w:tblPr>
        <w:tblStyle w:val="11"/>
        <w:tblW w:w="5193"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8"/>
        <w:gridCol w:w="1755"/>
        <w:gridCol w:w="1030"/>
        <w:gridCol w:w="1719"/>
        <w:gridCol w:w="1719"/>
        <w:gridCol w:w="1684"/>
      </w:tblGrid>
      <w:tr w14:paraId="6D5C2A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24" w:hRule="atLeast"/>
          <w:jc w:val="center"/>
        </w:trPr>
        <w:tc>
          <w:tcPr>
            <w:tcW w:w="463" w:type="pct"/>
            <w:tcMar>
              <w:left w:w="0" w:type="dxa"/>
              <w:right w:w="0" w:type="dxa"/>
            </w:tcMar>
            <w:vAlign w:val="center"/>
          </w:tcPr>
          <w:p w14:paraId="7DC8C8F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007" w:type="pct"/>
            <w:tcMar>
              <w:left w:w="0" w:type="dxa"/>
              <w:right w:w="0" w:type="dxa"/>
            </w:tcMar>
            <w:vAlign w:val="center"/>
          </w:tcPr>
          <w:p w14:paraId="69B736F8">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名  称</w:t>
            </w:r>
          </w:p>
        </w:tc>
        <w:tc>
          <w:tcPr>
            <w:tcW w:w="590" w:type="pct"/>
            <w:tcMar>
              <w:left w:w="0" w:type="dxa"/>
              <w:right w:w="0" w:type="dxa"/>
            </w:tcMar>
            <w:vAlign w:val="center"/>
          </w:tcPr>
          <w:p w14:paraId="220783C6">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数量</w:t>
            </w:r>
          </w:p>
        </w:tc>
        <w:tc>
          <w:tcPr>
            <w:tcW w:w="986" w:type="pct"/>
            <w:vAlign w:val="center"/>
          </w:tcPr>
          <w:p w14:paraId="60835DB2">
            <w:pPr>
              <w:jc w:val="cente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单位</w:t>
            </w:r>
          </w:p>
        </w:tc>
        <w:tc>
          <w:tcPr>
            <w:tcW w:w="986" w:type="pct"/>
            <w:vAlign w:val="center"/>
          </w:tcPr>
          <w:p w14:paraId="15DA1BB1">
            <w:pPr>
              <w:jc w:val="center"/>
              <w:rPr>
                <w:rFonts w:hint="default"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rPr>
              <w:t>单价</w:t>
            </w:r>
            <w:r>
              <w:rPr>
                <w:rFonts w:hint="eastAsia" w:ascii="仿宋_GB2312" w:hAnsi="仿宋_GB2312" w:eastAsia="仿宋_GB2312" w:cs="仿宋_GB2312"/>
                <w:b/>
                <w:bCs/>
                <w:highlight w:val="none"/>
                <w:lang w:val="en-US" w:eastAsia="zh-CN"/>
              </w:rPr>
              <w:t>(元/次)</w:t>
            </w:r>
          </w:p>
        </w:tc>
        <w:tc>
          <w:tcPr>
            <w:tcW w:w="966" w:type="pct"/>
            <w:tcMar>
              <w:left w:w="0" w:type="dxa"/>
              <w:right w:w="0" w:type="dxa"/>
            </w:tcMar>
            <w:vAlign w:val="center"/>
          </w:tcPr>
          <w:p w14:paraId="7F1D110A">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总  价</w:t>
            </w:r>
            <w:r>
              <w:rPr>
                <w:rFonts w:hint="eastAsia" w:ascii="仿宋_GB2312" w:hAnsi="仿宋_GB2312" w:eastAsia="仿宋_GB2312" w:cs="仿宋_GB2312"/>
                <w:b/>
                <w:bCs/>
                <w:highlight w:val="none"/>
                <w:lang w:val="en-US" w:eastAsia="zh-CN"/>
              </w:rPr>
              <w:t>(元)</w:t>
            </w:r>
          </w:p>
        </w:tc>
      </w:tr>
      <w:tr w14:paraId="52BA03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8" w:hRule="atLeast"/>
          <w:jc w:val="center"/>
        </w:trPr>
        <w:tc>
          <w:tcPr>
            <w:tcW w:w="463" w:type="pct"/>
            <w:vAlign w:val="center"/>
          </w:tcPr>
          <w:p w14:paraId="052CF13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007" w:type="pct"/>
            <w:vAlign w:val="center"/>
          </w:tcPr>
          <w:p w14:paraId="40C04D38">
            <w:pPr>
              <w:jc w:val="cente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二次放号查询</w:t>
            </w:r>
          </w:p>
        </w:tc>
        <w:tc>
          <w:tcPr>
            <w:tcW w:w="590" w:type="pct"/>
            <w:vAlign w:val="center"/>
          </w:tcPr>
          <w:p w14:paraId="2D43E21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55万</w:t>
            </w:r>
          </w:p>
        </w:tc>
        <w:tc>
          <w:tcPr>
            <w:tcW w:w="1719" w:type="dxa"/>
            <w:vAlign w:val="center"/>
          </w:tcPr>
          <w:p w14:paraId="10A8802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次</w:t>
            </w:r>
          </w:p>
        </w:tc>
        <w:tc>
          <w:tcPr>
            <w:tcW w:w="1719" w:type="dxa"/>
            <w:vAlign w:val="center"/>
          </w:tcPr>
          <w:p w14:paraId="4F3CA34C">
            <w:pPr>
              <w:jc w:val="center"/>
              <w:rPr>
                <w:rFonts w:hint="eastAsia" w:ascii="仿宋_GB2312" w:hAnsi="仿宋_GB2312" w:eastAsia="仿宋_GB2312" w:cs="仿宋_GB2312"/>
                <w:highlight w:val="none"/>
              </w:rPr>
            </w:pPr>
          </w:p>
        </w:tc>
        <w:tc>
          <w:tcPr>
            <w:tcW w:w="1684" w:type="dxa"/>
            <w:vAlign w:val="center"/>
          </w:tcPr>
          <w:p w14:paraId="395E88A2">
            <w:pPr>
              <w:jc w:val="center"/>
              <w:rPr>
                <w:rFonts w:hint="eastAsia" w:ascii="仿宋_GB2312" w:hAnsi="仿宋_GB2312" w:eastAsia="仿宋_GB2312" w:cs="仿宋_GB2312"/>
                <w:highlight w:val="none"/>
              </w:rPr>
            </w:pPr>
          </w:p>
        </w:tc>
      </w:tr>
    </w:tbl>
    <w:p w14:paraId="419FEC92">
      <w:pPr>
        <w:rPr>
          <w:rFonts w:hint="eastAsia" w:ascii="仿宋_GB2312" w:hAnsi="仿宋_GB2312" w:eastAsia="仿宋_GB2312" w:cs="仿宋_GB2312"/>
          <w:bCs/>
          <w:highlight w:val="none"/>
        </w:rPr>
      </w:pPr>
    </w:p>
    <w:p w14:paraId="52DAA496">
      <w:pPr>
        <w:rPr>
          <w:rFonts w:hint="eastAsia" w:ascii="仿宋_GB2312" w:hAnsi="仿宋_GB2312" w:eastAsia="仿宋_GB2312" w:cs="仿宋_GB2312"/>
          <w:bCs/>
          <w:highlight w:val="none"/>
          <w:u w:val="single"/>
        </w:rPr>
      </w:pPr>
      <w:r>
        <w:rPr>
          <w:rFonts w:hint="eastAsia" w:ascii="仿宋_GB2312" w:hAnsi="仿宋_GB2312" w:eastAsia="仿宋_GB2312" w:cs="仿宋_GB2312"/>
          <w:bCs/>
          <w:highlight w:val="none"/>
        </w:rPr>
        <w:t>响应人名称（盖公章）：</w:t>
      </w:r>
      <w:r>
        <w:rPr>
          <w:rFonts w:hint="eastAsia" w:ascii="仿宋_GB2312" w:hAnsi="仿宋_GB2312" w:eastAsia="仿宋_GB2312" w:cs="仿宋_GB2312"/>
          <w:bCs/>
          <w:highlight w:val="none"/>
          <w:u w:val="single"/>
        </w:rPr>
        <w:t xml:space="preserve">                      </w:t>
      </w:r>
    </w:p>
    <w:p>
      <w:pPr>
        <w:shd w:val="clear" w:color="auto" w:fill="D9D9D9"/>
      </w:pPr>
      <w:r>
        <w:rPr>
          <w:rFonts w:ascii="仿宋_GB2312" w:hAnsi="仿宋_GB2312"/>
          <w:color w:val="000000"/>
        </w:rPr>
        <w:t>应答：满足。系统支持可视化创建多种类型的数据源，包括传统数据库、文件系统、消息队列、SaaS API及NoSQL等。用户可通过友好的界面进行数据源的配置管理，支持新增、修改、删除等操作，并具备高效的搜索功能，确保数据源管理的灵活性与便捷性。</w:t>
      </w:r>
    </w:p>
    <w:p w14:paraId="55EC4288">
      <w:pPr>
        <w:rPr>
          <w:rFonts w:hint="eastAsia" w:ascii="仿宋_GB2312" w:hAnsi="仿宋_GB2312" w:eastAsia="仿宋_GB2312" w:cs="仿宋_GB2312"/>
          <w:bCs/>
          <w:highlight w:val="none"/>
          <w:u w:val="single"/>
        </w:rPr>
      </w:pPr>
    </w:p>
    <w:p w14:paraId="39C75053">
      <w:pPr>
        <w:rPr>
          <w:rFonts w:hint="eastAsia" w:ascii="仿宋_GB2312" w:hAnsi="仿宋_GB2312" w:eastAsia="仿宋_GB2312" w:cs="仿宋_GB2312"/>
          <w:bCs/>
          <w:highlight w:val="none"/>
        </w:rPr>
      </w:pPr>
      <w:r>
        <w:rPr>
          <w:rFonts w:hint="eastAsia" w:ascii="仿宋_GB2312" w:hAnsi="仿宋_GB2312" w:eastAsia="仿宋_GB2312" w:cs="仿宋_GB2312"/>
          <w:highlight w:val="none"/>
        </w:rPr>
        <w:t>法定代表人或其授权代表</w:t>
      </w:r>
      <w:r>
        <w:rPr>
          <w:rFonts w:hint="eastAsia" w:ascii="仿宋_GB2312" w:hAnsi="仿宋_GB2312" w:eastAsia="仿宋_GB2312" w:cs="仿宋_GB2312"/>
          <w:bCs/>
          <w:highlight w:val="none"/>
        </w:rPr>
        <w:t xml:space="preserve">（签字）： </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6B819003">
      <w:pPr>
        <w:rPr>
          <w:rFonts w:hint="eastAsia" w:ascii="仿宋_GB2312" w:hAnsi="仿宋_GB2312" w:eastAsia="仿宋_GB2312" w:cs="仿宋_GB2312"/>
          <w:bCs/>
          <w:highlight w:val="none"/>
        </w:rPr>
      </w:pPr>
    </w:p>
    <w:p w14:paraId="3CEEA3CA">
      <w:pPr>
        <w:rPr>
          <w:rFonts w:hint="eastAsia" w:ascii="仿宋_GB2312" w:hAnsi="仿宋_GB2312" w:eastAsia="仿宋_GB2312" w:cs="仿宋_GB2312"/>
          <w:bCs/>
          <w:highlight w:val="none"/>
        </w:rPr>
      </w:pPr>
      <w:r>
        <w:rPr>
          <w:rFonts w:hint="eastAsia" w:ascii="仿宋_GB2312" w:hAnsi="仿宋_GB2312" w:eastAsia="仿宋_GB2312" w:cs="仿宋_GB2312"/>
          <w:bCs/>
          <w:highlight w:val="none"/>
        </w:rPr>
        <w:t>日   期：</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3A8024AC">
      <w:pPr>
        <w:rPr>
          <w:rFonts w:hint="eastAsia" w:ascii="仿宋_GB2312" w:hAnsi="仿宋_GB2312" w:eastAsia="仿宋_GB2312" w:cs="仿宋_GB2312"/>
          <w:highlight w:val="none"/>
        </w:rPr>
      </w:pPr>
    </w:p>
    <w:p w14:paraId="521A384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注：</w:t>
      </w:r>
    </w:p>
    <w:p w14:paraId="151EAAC0">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1、本分项报价表中已列出项目，响应人在响应时不得变更其名称</w:t>
      </w:r>
      <w:r>
        <w:rPr>
          <w:rFonts w:hint="eastAsia" w:ascii="仿宋_GB2312" w:hAnsi="仿宋_GB2312" w:eastAsia="仿宋_GB2312" w:cs="仿宋_GB2312"/>
          <w:highlight w:val="none"/>
          <w:lang w:val="en-US" w:eastAsia="zh-CN"/>
        </w:rPr>
        <w:t>;</w:t>
      </w:r>
    </w:p>
    <w:p>
      <w:pPr>
        <w:shd w:val="clear" w:color="auto" w:fill="D9D9D9"/>
      </w:pPr>
      <w:r>
        <w:rPr>
          <w:rFonts w:ascii="仿宋_GB2312" w:hAnsi="仿宋_GB2312"/>
          <w:color w:val="000000"/>
        </w:rPr>
        <w:t>应答：满足。系统支持项目名称的严格管理，确保在报价表中列出的项目名称不可更改。所有项目名称均按照比选文件要求进行配置，确保响应过程中的一致性和合规性，避免任何变更可能导致的误解或争议。</w:t>
      </w:r>
    </w:p>
    <w:p w14:paraId="52F13FE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2、响应人在本表中未予报价的项目，将视作由响应人免费提供或已包含在其他分项价格中；</w:t>
      </w:r>
    </w:p>
    <w:p>
      <w:pPr>
        <w:shd w:val="clear" w:color="auto" w:fill="D9D9D9"/>
      </w:pPr>
      <w:r>
        <w:rPr>
          <w:rFonts w:ascii="仿宋_GB2312" w:hAnsi="仿宋_GB2312"/>
          <w:color w:val="000000"/>
        </w:rPr>
        <w:t>应答：满足。系统将确保所有未报价项目的服务和产品均被视为免费提供，或已合理包含在其他分项价格中，从而保证整体报价的透明性和公正性。我们将严格遵循这一原则，确保客户在预算内获得全面的服务支持。</w:t>
      </w:r>
    </w:p>
    <w:p w14:paraId="2F7BA90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3、响应人可参照采购标的报出有关产品的详细配置及部件的具体数量与明细价格，作为本表的附件</w:t>
      </w:r>
      <w:r>
        <w:rPr>
          <w:rFonts w:hint="eastAsia" w:ascii="仿宋_GB2312" w:hAnsi="仿宋_GB2312" w:eastAsia="仿宋_GB2312" w:cs="仿宋_GB2312"/>
          <w:highlight w:val="none"/>
          <w:lang w:val="en-US" w:eastAsia="zh-CN"/>
        </w:rPr>
        <w:t>;</w:t>
      </w:r>
    </w:p>
    <w:p>
      <w:pPr>
        <w:shd w:val="clear" w:color="auto" w:fill="D9D9D9"/>
      </w:pPr>
      <w:r>
        <w:rPr>
          <w:rFonts w:ascii="仿宋_GB2312" w:hAnsi="仿宋_GB2312"/>
          <w:color w:val="000000"/>
        </w:rPr>
        <w:t>应答：满足。系统支持详细配置及部件的具体数量与明细价格的报出，能够提供清晰的产品清单和价格明细，确保采购方对各项产品的了解和预算控制。同时，我方将附上相关的产品规格书和报价单，确保信息的透明与准确。</w:t>
      </w:r>
    </w:p>
    <w:p w14:paraId="085F13D4">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4、本表中未列出项目（如技术支持服务费用等），响应人可结合实际情况并根据文件要求具体列明；</w:t>
      </w:r>
    </w:p>
    <w:p>
      <w:pPr>
        <w:shd w:val="clear" w:color="auto" w:fill="D9D9D9"/>
      </w:pPr>
      <w:r>
        <w:rPr>
          <w:rFonts w:ascii="仿宋_GB2312" w:hAnsi="仿宋_GB2312"/>
          <w:color w:val="000000"/>
        </w:rPr>
        <w:t>应答：满足。系统支持根据实际需求灵活配置技术支持服务费用，响应人可提供详细的服务内容和费用结构，包括但不限于在线支持、现场服务、培训及维护等，确保满足采购方的各项需求。</w:t>
      </w:r>
    </w:p>
    <w:p w14:paraId="1C0D4DEF">
      <w:pPr>
        <w:outlineLvl w:val="9"/>
        <w:rPr>
          <w:rFonts w:hint="eastAsia" w:ascii="仿宋_GB2312" w:hAnsi="仿宋_GB2312" w:eastAsia="仿宋_GB2312" w:cs="仿宋_GB2312"/>
          <w:highlight w:val="none"/>
        </w:rPr>
      </w:pPr>
      <w:r>
        <w:rPr>
          <w:rFonts w:hint="eastAsia" w:ascii="仿宋_GB2312" w:hAnsi="仿宋_GB2312" w:eastAsia="仿宋_GB2312" w:cs="仿宋_GB2312"/>
          <w:highlight w:val="none"/>
        </w:rPr>
        <w:t>5、如果按单价计算的结果与总价不一致，以单价为准修正总价</w:t>
      </w:r>
      <w:r>
        <w:rPr>
          <w:rFonts w:hint="eastAsia" w:ascii="仿宋_GB2312" w:hAnsi="仿宋_GB2312" w:eastAsia="仿宋_GB2312" w:cs="仿宋_GB2312"/>
          <w:highlight w:val="none"/>
          <w:lang w:eastAsia="zh-CN"/>
        </w:rPr>
        <w:t>。</w:t>
      </w:r>
    </w:p>
    <w:p>
      <w:pPr>
        <w:shd w:val="clear" w:color="auto" w:fill="D9D9D9"/>
      </w:pPr>
      <w:r>
        <w:rPr>
          <w:rFonts w:ascii="仿宋_GB2312" w:hAnsi="仿宋_GB2312"/>
          <w:color w:val="000000"/>
        </w:rPr>
        <w:t>应答：满足。系统支持按单价计算的结果与总价不一致的情况，能够自动识别并修正总价，以确保最终报价的准确性。该功能通过内置的价格校验模块实现，确保所有计算均符合财务标准，提升报价的透明度和可靠性。</w:t>
      </w:r>
    </w:p>
    <w:p w14:paraId="49EF9C8B">
      <w:pPr>
        <w:rPr>
          <w:rFonts w:hint="eastAsia" w:ascii="仿宋_GB2312" w:hAnsi="仿宋_GB2312" w:eastAsia="仿宋_GB2312" w:cs="仿宋_GB2312"/>
          <w:highlight w:val="none"/>
        </w:rPr>
      </w:pPr>
    </w:p>
    <w:p w14:paraId="5FDF1D46">
      <w:pPr>
        <w:rPr>
          <w:rFonts w:hint="eastAsia" w:ascii="仿宋_GB2312" w:hAnsi="仿宋_GB2312" w:eastAsia="仿宋_GB2312" w:cs="仿宋_GB2312"/>
          <w:highlight w:val="none"/>
        </w:rPr>
      </w:pPr>
    </w:p>
    <w:p w14:paraId="595F335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br w:type="page"/>
      </w:r>
    </w:p>
    <w:p w14:paraId="2E42E8EC">
      <w:pPr>
        <w:spacing w:line="360" w:lineRule="auto"/>
        <w:outlineLvl w:val="9"/>
        <w:rPr>
          <w:rFonts w:hint="eastAsia" w:ascii="仿宋_GB2312" w:hAnsi="仿宋_GB2312" w:eastAsia="仿宋_GB2312" w:cs="仿宋_GB2312"/>
          <w:b/>
          <w:bCs/>
          <w:sz w:val="32"/>
          <w:szCs w:val="28"/>
          <w:highlight w:val="none"/>
        </w:rPr>
      </w:pPr>
      <w:bookmarkStart w:id="22" w:name="_Toc103160246"/>
      <w:bookmarkEnd w:id="22"/>
      <w:bookmarkStart w:id="23" w:name="_Toc103160224"/>
      <w:bookmarkEnd w:id="23"/>
      <w:bookmarkStart w:id="24" w:name="_Toc103160200"/>
      <w:bookmarkEnd w:id="24"/>
      <w:bookmarkStart w:id="25" w:name="_Toc103160192"/>
      <w:bookmarkEnd w:id="25"/>
      <w:bookmarkStart w:id="26" w:name="_Toc103160247"/>
      <w:bookmarkEnd w:id="26"/>
      <w:bookmarkStart w:id="27" w:name="_Toc103160193"/>
      <w:bookmarkEnd w:id="27"/>
      <w:bookmarkStart w:id="28" w:name="_Toc103160242"/>
      <w:bookmarkEnd w:id="28"/>
      <w:bookmarkStart w:id="29" w:name="_Toc103160245"/>
      <w:bookmarkEnd w:id="29"/>
      <w:bookmarkStart w:id="30" w:name="_Toc103160243"/>
      <w:bookmarkEnd w:id="30"/>
      <w:bookmarkStart w:id="31" w:name="_Toc103160212"/>
      <w:bookmarkEnd w:id="31"/>
      <w:bookmarkStart w:id="32" w:name="_Toc103160206"/>
      <w:bookmarkEnd w:id="32"/>
      <w:bookmarkStart w:id="33" w:name="_Toc103160236"/>
      <w:bookmarkEnd w:id="33"/>
      <w:bookmarkStart w:id="34" w:name="_Toc103160244"/>
      <w:bookmarkEnd w:id="34"/>
      <w:bookmarkStart w:id="35" w:name="_Toc103160230"/>
      <w:bookmarkEnd w:id="35"/>
      <w:bookmarkStart w:id="36" w:name="_Toc103160218"/>
      <w:bookmarkEnd w:id="36"/>
      <w:bookmarkStart w:id="37" w:name="_Toc88479810"/>
      <w:bookmarkStart w:id="38" w:name="_Toc104912496"/>
      <w:r>
        <w:rPr>
          <w:rFonts w:hint="eastAsia" w:ascii="仿宋_GB2312" w:hAnsi="仿宋_GB2312" w:eastAsia="仿宋_GB2312" w:cs="仿宋_GB2312"/>
          <w:b/>
          <w:bCs/>
          <w:sz w:val="32"/>
          <w:szCs w:val="28"/>
          <w:highlight w:val="none"/>
        </w:rPr>
        <w:t>二、法人身份证明书</w:t>
      </w:r>
      <w:bookmarkEnd w:id="37"/>
      <w:bookmarkEnd w:id="38"/>
      <w:r>
        <w:rPr>
          <w:rFonts w:hint="eastAsia" w:ascii="仿宋_GB2312" w:hAnsi="仿宋_GB2312" w:eastAsia="仿宋_GB2312" w:cs="仿宋_GB2312"/>
          <w:b/>
          <w:bCs/>
          <w:sz w:val="32"/>
          <w:szCs w:val="28"/>
          <w:highlight w:val="none"/>
          <w:lang w:val="en-US" w:eastAsia="zh-CN"/>
        </w:rPr>
        <w:t>（加盖公章）</w:t>
      </w:r>
    </w:p>
    <w:p w14:paraId="55A9881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姓名：</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，性别：</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，出生日期：</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，现任职务：</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，系</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（供应商名称）的法人。</w:t>
      </w:r>
    </w:p>
    <w:p>
      <w:pPr>
        <w:shd w:val="clear" w:color="auto" w:fill="D9D9D9"/>
      </w:pPr>
      <w:r>
        <w:rPr>
          <w:rFonts w:ascii="仿宋_GB2312" w:hAnsi="仿宋_GB2312"/>
          <w:color w:val="000000"/>
        </w:rPr>
        <w:t>应答：满足。系统支持用户信息的全面管理，包括姓名、性别、出生日期和现任职务等字段。所有信息均可通过界面化操作进行录入、修改和查询，确保数据的准确性和完整性。同时，系统具备权限管理功能，确保只有授权用户能够访问和修改敏感信息。</w:t>
      </w:r>
    </w:p>
    <w:p w14:paraId="464D986C">
      <w:pPr>
        <w:rPr>
          <w:rFonts w:hint="eastAsia" w:ascii="仿宋_GB2312" w:hAnsi="仿宋_GB2312" w:eastAsia="仿宋_GB2312" w:cs="仿宋_GB2312"/>
          <w:highlight w:val="none"/>
        </w:rPr>
      </w:pPr>
    </w:p>
    <w:p w14:paraId="480D770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特此证明。</w:t>
      </w:r>
    </w:p>
    <w:p w14:paraId="6A7A2999">
      <w:pPr>
        <w:rPr>
          <w:rFonts w:hint="eastAsia" w:ascii="仿宋_GB2312" w:hAnsi="仿宋_GB2312" w:eastAsia="仿宋_GB2312" w:cs="仿宋_GB2312"/>
          <w:highlight w:val="none"/>
        </w:rPr>
      </w:pPr>
    </w:p>
    <w:p w14:paraId="0B1C1028">
      <w:pPr>
        <w:rPr>
          <w:rFonts w:hint="eastAsia" w:ascii="仿宋_GB2312" w:hAnsi="仿宋_GB2312" w:eastAsia="仿宋_GB2312" w:cs="仿宋_GB2312"/>
          <w:highlight w:val="none"/>
        </w:rPr>
      </w:pPr>
    </w:p>
    <w:p w14:paraId="75FB13EA">
      <w:pPr>
        <w:rPr>
          <w:rFonts w:hint="eastAsia" w:ascii="仿宋_GB2312" w:hAnsi="仿宋_GB2312" w:eastAsia="仿宋_GB2312" w:cs="仿宋_GB2312"/>
          <w:highlight w:val="none"/>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8"/>
      </w:tblGrid>
      <w:tr w14:paraId="143E6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8228" w:type="dxa"/>
          </w:tcPr>
          <w:p w14:paraId="6E47022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（※法人身份证正、反面复印件※）</w:t>
            </w:r>
          </w:p>
        </w:tc>
      </w:tr>
    </w:tbl>
    <w:p w14:paraId="19B4170C">
      <w:pPr>
        <w:rPr>
          <w:rFonts w:hint="eastAsia" w:ascii="仿宋_GB2312" w:hAnsi="仿宋_GB2312" w:eastAsia="仿宋_GB2312" w:cs="仿宋_GB2312"/>
          <w:highlight w:val="none"/>
        </w:rPr>
      </w:pPr>
    </w:p>
    <w:p w14:paraId="279495AE">
      <w:pPr>
        <w:rPr>
          <w:rFonts w:hint="eastAsia" w:ascii="仿宋_GB2312" w:hAnsi="仿宋_GB2312" w:eastAsia="仿宋_GB2312" w:cs="仿宋_GB2312"/>
          <w:highlight w:val="none"/>
        </w:rPr>
      </w:pPr>
    </w:p>
    <w:p w14:paraId="0E31D14F">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法人或其授权代表（签字）：</w:t>
      </w:r>
      <w:r>
        <w:rPr>
          <w:rFonts w:hint="eastAsia" w:ascii="仿宋_GB2312" w:hAnsi="仿宋_GB2312" w:eastAsia="仿宋_GB2312" w:cs="仿宋_GB2312"/>
          <w:highlight w:val="none"/>
          <w:u w:val="single"/>
        </w:rPr>
        <w:t xml:space="preserve">               </w:t>
      </w:r>
    </w:p>
    <w:p w14:paraId="22911EAD">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供应商名称（盖章）：</w:t>
      </w:r>
      <w:r>
        <w:rPr>
          <w:rFonts w:hint="eastAsia" w:ascii="仿宋_GB2312" w:hAnsi="仿宋_GB2312" w:eastAsia="仿宋_GB2312" w:cs="仿宋_GB2312"/>
          <w:highlight w:val="none"/>
          <w:u w:val="single"/>
        </w:rPr>
        <w:t xml:space="preserve">                           </w:t>
      </w:r>
    </w:p>
    <w:p>
      <w:pPr>
        <w:shd w:val="clear" w:color="auto" w:fill="D9D9D9"/>
      </w:pPr>
      <w:r>
        <w:rPr>
          <w:rFonts w:ascii="仿宋_GB2312" w:hAnsi="仿宋_GB2312"/>
          <w:color w:val="000000"/>
        </w:rPr>
        <w:t>应答：满足。系统支持供应商信息的集中管理，能够通过界面化操作实现供应商名称的录入、修改和查询功能，确保信息的准确性和实时性。同时，系统具备数据安全控制，保障供应商信息的机密性和完整性。</w:t>
      </w:r>
    </w:p>
    <w:p w14:paraId="760B3AD4">
      <w:pPr>
        <w:rPr>
          <w:rFonts w:hint="eastAsia" w:ascii="仿宋_GB2312" w:hAnsi="仿宋_GB2312" w:eastAsia="仿宋_GB2312" w:cs="仿宋_GB2312"/>
          <w:highlight w:val="none"/>
        </w:rPr>
      </w:pPr>
    </w:p>
    <w:p w14:paraId="42C9B8F6">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highlight w:val="none"/>
        </w:rPr>
        <w:br w:type="page"/>
      </w:r>
      <w:bookmarkStart w:id="39" w:name="_Toc88479811"/>
      <w:bookmarkStart w:id="40" w:name="_Toc104912497"/>
      <w:r>
        <w:rPr>
          <w:rFonts w:hint="eastAsia" w:ascii="仿宋_GB2312" w:hAnsi="仿宋_GB2312" w:eastAsia="仿宋_GB2312" w:cs="仿宋_GB2312"/>
          <w:b/>
          <w:bCs/>
          <w:sz w:val="32"/>
          <w:szCs w:val="28"/>
          <w:highlight w:val="none"/>
        </w:rPr>
        <w:t>三、</w:t>
      </w:r>
      <w:bookmarkEnd w:id="39"/>
      <w:bookmarkEnd w:id="40"/>
      <w:r>
        <w:rPr>
          <w:rFonts w:hint="eastAsia" w:ascii="仿宋_GB2312" w:hAnsi="仿宋_GB2312" w:eastAsia="仿宋_GB2312" w:cs="仿宋_GB2312"/>
          <w:b/>
          <w:bCs/>
          <w:sz w:val="32"/>
          <w:szCs w:val="28"/>
          <w:highlight w:val="none"/>
          <w:lang w:eastAsia="zh-CN"/>
        </w:rPr>
        <w:t>法定代表人/企业负责人授权书</w:t>
      </w:r>
      <w:r>
        <w:rPr>
          <w:rFonts w:hint="eastAsia" w:ascii="仿宋_GB2312" w:hAnsi="仿宋_GB2312" w:eastAsia="仿宋_GB2312" w:cs="仿宋_GB2312"/>
          <w:b/>
          <w:bCs/>
          <w:sz w:val="32"/>
          <w:szCs w:val="28"/>
          <w:highlight w:val="none"/>
          <w:lang w:val="en-US" w:eastAsia="zh-CN"/>
        </w:rPr>
        <w:t>（加盖公章）</w:t>
      </w:r>
    </w:p>
    <w:p w14:paraId="158677C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C750AE4">
      <w:pPr>
        <w:rPr>
          <w:rFonts w:hint="eastAsia" w:ascii="仿宋_GB2312" w:hAnsi="仿宋_GB2312" w:eastAsia="仿宋_GB2312" w:cs="仿宋_GB2312"/>
          <w:b/>
          <w:bCs/>
          <w:highlight w:val="none"/>
        </w:rPr>
      </w:pPr>
      <w:r>
        <w:rPr>
          <w:rFonts w:hint="eastAsia" w:ascii="仿宋_GB2312" w:hAnsi="仿宋_GB2312" w:eastAsia="仿宋_GB2312" w:cs="仿宋_GB2312"/>
          <w:highlight w:val="none"/>
          <w:lang w:val="en-US" w:eastAsia="zh-CN"/>
        </w:rPr>
        <w:t>必须有时间</w:t>
      </w:r>
      <w:r>
        <w:rPr>
          <w:rFonts w:hint="eastAsia" w:ascii="仿宋_GB2312" w:hAnsi="仿宋_GB2312" w:eastAsia="仿宋_GB2312" w:cs="仿宋_GB2312"/>
          <w:b/>
          <w:bCs/>
          <w:highlight w:val="none"/>
        </w:rPr>
        <w:br w:type="page"/>
      </w:r>
    </w:p>
    <w:p w14:paraId="7A7CA384">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rPr>
        <w:t>四、被授权人身份证</w:t>
      </w:r>
      <w:r>
        <w:rPr>
          <w:rFonts w:hint="eastAsia" w:ascii="仿宋_GB2312" w:hAnsi="仿宋_GB2312" w:eastAsia="仿宋_GB2312" w:cs="仿宋_GB2312"/>
          <w:b/>
          <w:bCs/>
          <w:sz w:val="32"/>
          <w:szCs w:val="28"/>
          <w:highlight w:val="none"/>
          <w:lang w:val="en-US" w:eastAsia="zh-CN"/>
        </w:rPr>
        <w:t>（加盖公章）</w:t>
      </w:r>
    </w:p>
    <w:p w14:paraId="22BD45F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0ACFE75">
      <w:p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正反面</w:t>
      </w:r>
    </w:p>
    <w:p w14:paraId="13C75E87">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CAFF14C">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sz w:val="32"/>
          <w:szCs w:val="28"/>
          <w:highlight w:val="none"/>
          <w:lang w:val="en-US" w:eastAsia="zh-CN"/>
        </w:rPr>
        <w:t>五</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承诺函（加盖公章）</w:t>
      </w:r>
    </w:p>
    <w:p w14:paraId="284EE5C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FE654B1">
      <w:pPr>
        <w:rPr>
          <w:rFonts w:hint="eastAsia" w:ascii="仿宋_GB2312" w:hAnsi="仿宋_GB2312" w:eastAsia="仿宋_GB2312" w:cs="仿宋_GB2312"/>
          <w:highlight w:val="none"/>
          <w:lang w:val="en-US" w:eastAsia="zh-CN"/>
        </w:rPr>
      </w:pPr>
    </w:p>
    <w:p w14:paraId="383C4DFA">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必须包含以下内容：</w:t>
      </w:r>
    </w:p>
    <w:p w14:paraId="5C78F2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具有独立承担民事责任的能力；</w:t>
      </w:r>
    </w:p>
    <w:p w14:paraId="425D2C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具有在中国境内开展相关业务的营业资格；</w:t>
      </w:r>
    </w:p>
    <w:p w14:paraId="06CD0C9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遵守国家政策、法律、法规具有良好的商业信誉和诚实的商业道德；</w:t>
      </w:r>
    </w:p>
    <w:p w14:paraId="1DB1878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提交的资料（包括复印件）真实有效；</w:t>
      </w:r>
    </w:p>
    <w:p w14:paraId="18D6B65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承诺不向任何第三方提供相关信息，并遵守双方约定的相关保密要求；</w:t>
      </w:r>
    </w:p>
    <w:p>
      <w:pPr>
        <w:shd w:val="clear" w:color="auto" w:fill="D9D9D9"/>
      </w:pPr>
      <w:r>
        <w:rPr>
          <w:rFonts w:ascii="仿宋_GB2312" w:hAnsi="仿宋_GB2312"/>
          <w:color w:val="000000"/>
        </w:rPr>
        <w:t>应答：满足。系统承诺严格遵守双方约定的保密要求，确保不向任何第三方提供相关信息。我们将实施数据加密和访问控制措施，确保信息安全，保护客户隐私，维护合作信任。</w:t>
      </w:r>
    </w:p>
    <w:p w14:paraId="0A42EDF9">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响应人参加此采购活动三年内（2022年1月至今），在经营活动中没有重大违法记录的书面声明（格式自拟，加盖公章）；</w:t>
      </w:r>
    </w:p>
    <w:p>
      <w:pPr>
        <w:shd w:val="clear" w:color="auto" w:fill="D9D9D9"/>
      </w:pPr>
      <w:r>
        <w:rPr>
          <w:rFonts w:ascii="仿宋_GB2312" w:hAnsi="仿宋_GB2312"/>
          <w:color w:val="000000"/>
        </w:rPr>
        <w:t>应答：满足。我方在过去三年内（2022年1月至今）严格遵守相关法律法规，未发生任何重大违法记录。我们将提供书面声明，格式自拟并加盖公章，以确保合规性和诚信经营。</w:t>
      </w:r>
    </w:p>
    <w:p w14:paraId="23F703EC">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响应人未被列入失信被执行人的证明材料。</w:t>
      </w:r>
    </w:p>
    <w:p>
      <w:pPr>
        <w:shd w:val="clear" w:color="auto" w:fill="D9D9D9"/>
      </w:pPr>
      <w:r>
        <w:rPr>
          <w:rFonts w:ascii="仿宋_GB2312" w:hAnsi="仿宋_GB2312"/>
          <w:color w:val="000000"/>
        </w:rPr>
        <w:t>应答：满足。系统支持提供响应人未被列入失信被执行人的证明材料，确保合规性和透明度。我们将提供相关的法律文件和查询结果，确保符合采购要求，维护项目的诚信与合法性。</w:t>
      </w:r>
    </w:p>
    <w:p w14:paraId="4A038CF6">
      <w:pPr>
        <w:rPr>
          <w:rFonts w:hint="default" w:ascii="仿宋_GB2312" w:hAnsi="仿宋_GB2312" w:eastAsia="仿宋_GB2312" w:cs="仿宋_GB2312"/>
          <w:highlight w:val="none"/>
          <w:lang w:val="en-US" w:eastAsia="zh-CN"/>
        </w:rPr>
      </w:pPr>
    </w:p>
    <w:p w14:paraId="71A56ADF">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B79272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六</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营业执照复印件（加盖公章）</w:t>
      </w:r>
    </w:p>
    <w:p w14:paraId="6BC161A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0AF0FB8">
      <w:pPr>
        <w:rPr>
          <w:rFonts w:hint="eastAsia" w:ascii="仿宋_GB2312" w:hAnsi="仿宋_GB2312" w:eastAsia="仿宋_GB2312" w:cs="仿宋_GB2312"/>
          <w:b/>
          <w:bCs/>
          <w:highlight w:val="none"/>
        </w:rPr>
      </w:pPr>
    </w:p>
    <w:p w14:paraId="378FFFF4">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48B501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七</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基础电信业务经营许可证复印件（加盖公章）</w:t>
      </w:r>
    </w:p>
    <w:p w14:paraId="095F0E7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7A13E8B">
      <w:pPr>
        <w:rPr>
          <w:rFonts w:hint="eastAsia" w:ascii="仿宋_GB2312" w:hAnsi="仿宋_GB2312" w:eastAsia="仿宋_GB2312" w:cs="仿宋_GB2312"/>
          <w:b/>
          <w:bCs/>
          <w:highlight w:val="none"/>
        </w:rPr>
      </w:pPr>
    </w:p>
    <w:p w14:paraId="3BEC5633">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739E5236">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八</w:t>
      </w:r>
      <w:r>
        <w:rPr>
          <w:rFonts w:hint="eastAsia" w:ascii="仿宋_GB2312" w:hAnsi="仿宋_GB2312" w:eastAsia="仿宋_GB2312" w:cs="仿宋_GB2312"/>
          <w:b/>
          <w:bCs/>
          <w:sz w:val="32"/>
          <w:szCs w:val="28"/>
          <w:highlight w:val="none"/>
        </w:rPr>
        <w:t>、资格</w:t>
      </w:r>
      <w:r>
        <w:rPr>
          <w:rFonts w:hint="eastAsia" w:ascii="仿宋_GB2312" w:hAnsi="仿宋_GB2312" w:eastAsia="仿宋_GB2312" w:cs="仿宋_GB2312"/>
          <w:b/>
          <w:bCs/>
          <w:sz w:val="32"/>
          <w:szCs w:val="28"/>
          <w:highlight w:val="none"/>
          <w:lang w:val="en-US" w:eastAsia="zh-CN"/>
        </w:rPr>
        <w:t>案例（加盖公章）</w:t>
      </w:r>
    </w:p>
    <w:p w14:paraId="6A0E9C8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1BA72E8F">
      <w:pPr>
        <w:rPr>
          <w:rFonts w:hint="eastAsia" w:ascii="仿宋_GB2312" w:hAnsi="仿宋_GB2312" w:eastAsia="仿宋_GB2312" w:cs="仿宋_GB2312"/>
          <w:b/>
          <w:bCs/>
          <w:highlight w:val="none"/>
        </w:rPr>
      </w:pPr>
    </w:p>
    <w:p w14:paraId="23AD3CC5">
      <w:pPr>
        <w:rPr>
          <w:rFonts w:hint="eastAsia" w:ascii="仿宋_GB2312" w:hAnsi="仿宋_GB2312" w:eastAsia="仿宋_GB2312" w:cs="仿宋_GB2312"/>
          <w:b/>
          <w:bCs/>
          <w:highlight w:val="none"/>
        </w:rPr>
      </w:pPr>
    </w:p>
    <w:p w14:paraId="4EB69F2C">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5BC16325">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九</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技术和服务需求偏离表（加盖公章）</w:t>
      </w:r>
    </w:p>
    <w:p w14:paraId="4B10E111">
      <w:pPr>
        <w:rPr>
          <w:rFonts w:hint="eastAsia" w:ascii="仿宋_GB2312" w:hAnsi="仿宋_GB2312" w:eastAsia="仿宋_GB2312" w:cs="仿宋_GB2312"/>
          <w:b/>
          <w:bCs/>
          <w:highlight w:val="none"/>
        </w:rPr>
      </w:pPr>
    </w:p>
    <w:p w14:paraId="50D48F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pPr>
        <w:shd w:val="clear" w:color="auto" w:fill="D9D9D9"/>
      </w:pPr>
      <w:r>
        <w:rPr>
          <w:rFonts w:ascii="仿宋_GB2312" w:hAnsi="仿宋_GB2312"/>
          <w:color w:val="000000"/>
          <w:sz w:val="24"/>
        </w:rPr>
        <w:t>应答：满足。系统能够清晰地标识和管理指标的重要性，支持对“★”、“#”和一般无标示指标的分类与管理。对于关键指标，系统将提供实时监控和预警功能，确保及时响应；重要指标则具备详细的分析报告，便于决策支持。所有指标均可通过可视化界面进行管理，确保用户能够直观了解指标状态。</w:t>
      </w:r>
    </w:p>
    <w:p w14:paraId="5002ACD1">
      <w:pPr>
        <w:keepNext w:val="0"/>
        <w:keepLines w:val="0"/>
        <w:spacing w:line="360" w:lineRule="auto"/>
        <w:ind w:firstLine="482" w:firstLineChars="200"/>
        <w:rPr>
          <w:rFonts w:hint="default"/>
          <w:lang w:val="en-US" w:eastAsia="zh-CN"/>
        </w:rPr>
      </w:pPr>
      <w:r>
        <w:rPr>
          <w:rFonts w:hint="eastAsia" w:ascii="仿宋_GB2312" w:hAnsi="仿宋_GB2312" w:eastAsia="仿宋_GB2312" w:cs="仿宋_GB2312"/>
          <w:b/>
          <w:bCs/>
          <w:sz w:val="24"/>
          <w:szCs w:val="24"/>
          <w:highlight w:val="none"/>
          <w:lang w:val="en-US" w:eastAsia="zh-CN"/>
        </w:rPr>
        <w:t>技术需求偏离表：</w:t>
      </w:r>
    </w:p>
    <w:tbl>
      <w:tblPr>
        <w:tblStyle w:val="11"/>
        <w:tblW w:w="8330" w:type="dxa"/>
        <w:tblInd w:w="-10" w:type="dxa"/>
        <w:tblLayout w:type="fixed"/>
        <w:tblCellMar>
          <w:top w:w="0" w:type="dxa"/>
          <w:left w:w="0" w:type="dxa"/>
          <w:bottom w:w="0" w:type="dxa"/>
          <w:right w:w="0" w:type="dxa"/>
        </w:tblCellMar>
      </w:tblPr>
      <w:tblGrid>
        <w:gridCol w:w="714"/>
        <w:gridCol w:w="909"/>
        <w:gridCol w:w="1557"/>
        <w:gridCol w:w="3428"/>
        <w:gridCol w:w="1722"/>
      </w:tblGrid>
      <w:tr w14:paraId="59BCA315">
        <w:tblPrEx>
          <w:tblCellMar>
            <w:top w:w="0" w:type="dxa"/>
            <w:left w:w="0" w:type="dxa"/>
            <w:bottom w:w="0" w:type="dxa"/>
            <w:right w:w="0" w:type="dxa"/>
          </w:tblCellMar>
        </w:tblPrEx>
        <w:trPr>
          <w:trHeight w:val="20" w:hRule="atLeast"/>
          <w:tblHeader/>
        </w:trPr>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5FEA7C">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序号</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63CDBD">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重要性</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D6AEE">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3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B49ABF">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1722" w:type="dxa"/>
            <w:tcBorders>
              <w:top w:val="single" w:color="000000" w:sz="4" w:space="0"/>
              <w:left w:val="single" w:color="000000" w:sz="4" w:space="0"/>
              <w:bottom w:val="single" w:color="000000" w:sz="4" w:space="0"/>
              <w:right w:val="single" w:color="000000" w:sz="4" w:space="0"/>
            </w:tcBorders>
          </w:tcPr>
          <w:p w14:paraId="1F8B1CB0">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66D247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269FD8C6">
            <w:pPr>
              <w:widowControl/>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kern w:val="0"/>
                <w:sz w:val="24"/>
                <w:szCs w:val="24"/>
                <w:highlight w:val="none"/>
              </w:rPr>
              <w:t>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16F0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3A90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428" w:type="dxa"/>
            <w:tcBorders>
              <w:top w:val="single" w:color="000000" w:sz="4" w:space="0"/>
              <w:left w:val="single" w:color="000000" w:sz="4" w:space="0"/>
              <w:bottom w:val="single" w:color="000000" w:sz="4" w:space="0"/>
              <w:right w:val="single" w:color="000000" w:sz="4" w:space="0"/>
            </w:tcBorders>
            <w:vAlign w:val="center"/>
          </w:tcPr>
          <w:p w14:paraId="4D4E4971">
            <w:pPr>
              <w:widowControl/>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CC4303">
            <w:pPr>
              <w:widowControl/>
              <w:jc w:val="center"/>
              <w:textAlignment w:val="center"/>
              <w:rPr>
                <w:rFonts w:hint="eastAsia" w:ascii="仿宋_GB2312" w:hAnsi="仿宋_GB2312" w:eastAsia="仿宋_GB2312" w:cs="仿宋_GB2312"/>
                <w:sz w:val="24"/>
                <w:szCs w:val="24"/>
                <w:highlight w:val="none"/>
              </w:rPr>
            </w:pPr>
          </w:p>
        </w:tc>
      </w:tr>
      <w:tr w14:paraId="2A1FBB61">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E83BFC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9DF456">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0740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428" w:type="dxa"/>
            <w:tcBorders>
              <w:top w:val="single" w:color="000000" w:sz="4" w:space="0"/>
              <w:left w:val="single" w:color="000000" w:sz="4" w:space="0"/>
              <w:bottom w:val="single" w:color="000000" w:sz="4" w:space="0"/>
              <w:right w:val="single" w:color="000000" w:sz="4" w:space="0"/>
            </w:tcBorders>
            <w:vAlign w:val="center"/>
          </w:tcPr>
          <w:p w14:paraId="45256B79">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FB6E0C3">
            <w:pPr>
              <w:widowControl/>
              <w:jc w:val="center"/>
              <w:textAlignment w:val="center"/>
              <w:rPr>
                <w:rFonts w:hint="eastAsia" w:ascii="仿宋_GB2312" w:hAnsi="仿宋_GB2312" w:eastAsia="仿宋_GB2312" w:cs="仿宋_GB2312"/>
                <w:sz w:val="24"/>
                <w:szCs w:val="24"/>
                <w:highlight w:val="none"/>
              </w:rPr>
            </w:pPr>
          </w:p>
        </w:tc>
      </w:tr>
      <w:tr w14:paraId="50153A9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D9F65D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DDDDE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88B10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428" w:type="dxa"/>
            <w:tcBorders>
              <w:top w:val="single" w:color="000000" w:sz="4" w:space="0"/>
              <w:left w:val="single" w:color="000000" w:sz="4" w:space="0"/>
              <w:bottom w:val="single" w:color="000000" w:sz="4" w:space="0"/>
              <w:right w:val="single" w:color="000000" w:sz="4" w:space="0"/>
            </w:tcBorders>
            <w:vAlign w:val="center"/>
          </w:tcPr>
          <w:p w14:paraId="03FBB61E">
            <w:pPr>
              <w:widowControl/>
              <w:textAlignment w:val="center"/>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BB0DA2C">
            <w:pPr>
              <w:widowControl/>
              <w:jc w:val="center"/>
              <w:textAlignment w:val="center"/>
              <w:rPr>
                <w:rFonts w:hint="eastAsia" w:ascii="仿宋_GB2312" w:hAnsi="仿宋_GB2312" w:eastAsia="仿宋_GB2312" w:cs="仿宋_GB2312"/>
                <w:sz w:val="24"/>
                <w:szCs w:val="24"/>
                <w:highlight w:val="none"/>
              </w:rPr>
            </w:pPr>
          </w:p>
        </w:tc>
      </w:tr>
      <w:tr w14:paraId="3DD1483A">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F7A31F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0B86F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C6A3B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428" w:type="dxa"/>
            <w:tcBorders>
              <w:top w:val="single" w:color="000000" w:sz="4" w:space="0"/>
              <w:left w:val="single" w:color="000000" w:sz="4" w:space="0"/>
              <w:bottom w:val="single" w:color="000000" w:sz="4" w:space="0"/>
              <w:right w:val="single" w:color="000000" w:sz="4" w:space="0"/>
            </w:tcBorders>
            <w:vAlign w:val="center"/>
          </w:tcPr>
          <w:p w14:paraId="3B9F8242">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104E725">
            <w:pPr>
              <w:widowControl/>
              <w:jc w:val="center"/>
              <w:textAlignment w:val="center"/>
              <w:rPr>
                <w:rFonts w:hint="eastAsia" w:ascii="仿宋_GB2312" w:hAnsi="仿宋_GB2312" w:eastAsia="仿宋_GB2312" w:cs="仿宋_GB2312"/>
                <w:sz w:val="24"/>
                <w:szCs w:val="24"/>
                <w:highlight w:val="none"/>
              </w:rPr>
            </w:pPr>
          </w:p>
        </w:tc>
      </w:tr>
      <w:tr w14:paraId="46923487">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7484CD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25232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4B4F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7D269FF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10605FA2">
            <w:pPr>
              <w:widowControl/>
              <w:jc w:val="center"/>
              <w:textAlignment w:val="center"/>
              <w:rPr>
                <w:rFonts w:hint="eastAsia" w:ascii="仿宋_GB2312" w:hAnsi="仿宋_GB2312" w:eastAsia="仿宋_GB2312" w:cs="仿宋_GB2312"/>
                <w:sz w:val="24"/>
                <w:szCs w:val="24"/>
                <w:highlight w:val="none"/>
              </w:rPr>
            </w:pPr>
          </w:p>
        </w:tc>
      </w:tr>
      <w:tr w14:paraId="370033B0">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6BF8EF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6833C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81C64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428" w:type="dxa"/>
            <w:tcBorders>
              <w:top w:val="single" w:color="000000" w:sz="4" w:space="0"/>
              <w:left w:val="single" w:color="000000" w:sz="4" w:space="0"/>
              <w:bottom w:val="single" w:color="000000" w:sz="4" w:space="0"/>
              <w:right w:val="single" w:color="000000" w:sz="4" w:space="0"/>
            </w:tcBorders>
            <w:vAlign w:val="center"/>
          </w:tcPr>
          <w:p w14:paraId="27BE2F4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B87C863">
            <w:pPr>
              <w:widowControl/>
              <w:jc w:val="center"/>
              <w:textAlignment w:val="center"/>
              <w:rPr>
                <w:rFonts w:hint="eastAsia" w:ascii="仿宋_GB2312" w:hAnsi="仿宋_GB2312" w:eastAsia="仿宋_GB2312" w:cs="仿宋_GB2312"/>
                <w:sz w:val="24"/>
                <w:szCs w:val="24"/>
                <w:highlight w:val="none"/>
              </w:rPr>
            </w:pPr>
          </w:p>
        </w:tc>
      </w:tr>
      <w:tr w14:paraId="6586C5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4EDBBE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E542F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3D95D">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428" w:type="dxa"/>
            <w:tcBorders>
              <w:top w:val="single" w:color="000000" w:sz="4" w:space="0"/>
              <w:left w:val="single" w:color="000000" w:sz="4" w:space="0"/>
              <w:bottom w:val="single" w:color="000000" w:sz="4" w:space="0"/>
              <w:right w:val="single" w:color="000000" w:sz="4" w:space="0"/>
            </w:tcBorders>
            <w:vAlign w:val="center"/>
          </w:tcPr>
          <w:p w14:paraId="37986271">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5B775BB">
            <w:pPr>
              <w:widowControl/>
              <w:jc w:val="center"/>
              <w:textAlignment w:val="center"/>
              <w:rPr>
                <w:rFonts w:hint="eastAsia" w:ascii="仿宋_GB2312" w:hAnsi="仿宋_GB2312" w:eastAsia="仿宋_GB2312" w:cs="仿宋_GB2312"/>
                <w:sz w:val="24"/>
                <w:szCs w:val="24"/>
                <w:highlight w:val="none"/>
              </w:rPr>
            </w:pPr>
          </w:p>
        </w:tc>
      </w:tr>
      <w:tr w14:paraId="1967A4B6">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45D09F0">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B6DF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20F9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428" w:type="dxa"/>
            <w:tcBorders>
              <w:top w:val="single" w:color="000000" w:sz="4" w:space="0"/>
              <w:left w:val="single" w:color="000000" w:sz="4" w:space="0"/>
              <w:bottom w:val="single" w:color="000000" w:sz="4" w:space="0"/>
              <w:right w:val="single" w:color="000000" w:sz="4" w:space="0"/>
            </w:tcBorders>
            <w:vAlign w:val="center"/>
          </w:tcPr>
          <w:p w14:paraId="6099A5C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A6AC1C3">
            <w:pPr>
              <w:widowControl/>
              <w:jc w:val="center"/>
              <w:textAlignment w:val="center"/>
              <w:rPr>
                <w:rFonts w:hint="eastAsia" w:ascii="仿宋_GB2312" w:hAnsi="仿宋_GB2312" w:eastAsia="仿宋_GB2312" w:cs="仿宋_GB2312"/>
                <w:sz w:val="24"/>
                <w:szCs w:val="24"/>
                <w:highlight w:val="none"/>
              </w:rPr>
            </w:pPr>
          </w:p>
        </w:tc>
      </w:tr>
      <w:tr w14:paraId="1323805D">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4E5647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54F7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A591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428" w:type="dxa"/>
            <w:tcBorders>
              <w:top w:val="single" w:color="000000" w:sz="4" w:space="0"/>
              <w:left w:val="single" w:color="000000" w:sz="4" w:space="0"/>
              <w:bottom w:val="single" w:color="000000" w:sz="4" w:space="0"/>
              <w:right w:val="single" w:color="000000" w:sz="4" w:space="0"/>
            </w:tcBorders>
            <w:vAlign w:val="center"/>
          </w:tcPr>
          <w:p w14:paraId="21B744F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6E379FC3">
            <w:pPr>
              <w:widowControl/>
              <w:jc w:val="center"/>
              <w:textAlignment w:val="center"/>
              <w:rPr>
                <w:rFonts w:hint="eastAsia" w:ascii="仿宋_GB2312" w:hAnsi="仿宋_GB2312" w:eastAsia="仿宋_GB2312" w:cs="仿宋_GB2312"/>
                <w:sz w:val="24"/>
                <w:szCs w:val="24"/>
                <w:highlight w:val="none"/>
              </w:rPr>
            </w:pPr>
          </w:p>
        </w:tc>
      </w:tr>
      <w:tr w14:paraId="3D0798B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6B7E0B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3F141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F027F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652E29AF">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5A0E84B">
            <w:pPr>
              <w:widowControl/>
              <w:jc w:val="center"/>
              <w:textAlignment w:val="center"/>
              <w:rPr>
                <w:rFonts w:hint="eastAsia" w:ascii="仿宋_GB2312" w:hAnsi="仿宋_GB2312" w:eastAsia="仿宋_GB2312" w:cs="仿宋_GB2312"/>
                <w:sz w:val="24"/>
                <w:szCs w:val="24"/>
                <w:highlight w:val="none"/>
              </w:rPr>
            </w:pPr>
          </w:p>
        </w:tc>
      </w:tr>
      <w:tr w14:paraId="6EE4E2B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8602296">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20847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2A077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428" w:type="dxa"/>
            <w:tcBorders>
              <w:top w:val="single" w:color="000000" w:sz="4" w:space="0"/>
              <w:left w:val="single" w:color="000000" w:sz="4" w:space="0"/>
              <w:bottom w:val="single" w:color="000000" w:sz="4" w:space="0"/>
              <w:right w:val="single" w:color="000000" w:sz="4" w:space="0"/>
            </w:tcBorders>
            <w:vAlign w:val="center"/>
          </w:tcPr>
          <w:p w14:paraId="471E7D5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A58D800">
            <w:pPr>
              <w:widowControl/>
              <w:jc w:val="center"/>
              <w:textAlignment w:val="center"/>
              <w:rPr>
                <w:rFonts w:hint="eastAsia" w:ascii="仿宋_GB2312" w:hAnsi="仿宋_GB2312" w:eastAsia="仿宋_GB2312" w:cs="仿宋_GB2312"/>
                <w:sz w:val="24"/>
                <w:szCs w:val="24"/>
                <w:highlight w:val="none"/>
              </w:rPr>
            </w:pPr>
          </w:p>
        </w:tc>
      </w:tr>
      <w:tr w14:paraId="1885CC8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C84C777">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E62BA7">
            <w:pPr>
              <w:jc w:val="center"/>
              <w:rPr>
                <w:rFonts w:hint="eastAsia" w:ascii="仿宋_GB2312" w:hAnsi="宋体" w:eastAsia="仿宋_GB2312" w:cs="仿宋_GB2312"/>
                <w:i w:val="0"/>
                <w:iCs w:val="0"/>
                <w:color w:val="000000"/>
                <w:kern w:val="2"/>
                <w:sz w:val="24"/>
                <w:szCs w:val="24"/>
                <w:u w:val="none"/>
                <w:lang w:val="en-US" w:eastAsia="zh-CN" w:bidi="ar-SA"/>
              </w:rPr>
            </w:pP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69A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428" w:type="dxa"/>
            <w:tcBorders>
              <w:top w:val="single" w:color="000000" w:sz="4" w:space="0"/>
              <w:left w:val="single" w:color="000000" w:sz="4" w:space="0"/>
              <w:bottom w:val="single" w:color="000000" w:sz="4" w:space="0"/>
              <w:right w:val="single" w:color="000000" w:sz="4" w:space="0"/>
            </w:tcBorders>
            <w:vAlign w:val="center"/>
          </w:tcPr>
          <w:p w14:paraId="0B30F8E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4D122227">
            <w:pPr>
              <w:widowControl/>
              <w:jc w:val="center"/>
              <w:textAlignment w:val="center"/>
              <w:rPr>
                <w:rFonts w:hint="eastAsia" w:ascii="仿宋_GB2312" w:hAnsi="仿宋_GB2312" w:eastAsia="仿宋_GB2312" w:cs="仿宋_GB2312"/>
                <w:sz w:val="24"/>
                <w:szCs w:val="24"/>
                <w:highlight w:val="none"/>
              </w:rPr>
            </w:pPr>
          </w:p>
        </w:tc>
      </w:tr>
      <w:tr w14:paraId="25C25F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7369337E">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ED4B8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4C2F3">
            <w:pPr>
              <w:keepNext w:val="0"/>
              <w:keepLines w:val="0"/>
              <w:widowControl/>
              <w:suppressLineNumbers w:val="0"/>
              <w:jc w:val="center"/>
              <w:textAlignment w:val="center"/>
              <w:rPr>
                <w:rFonts w:hint="default" w:ascii="仿宋_GB2312" w:hAnsi="宋体" w:eastAsia="仿宋_GB2312" w:cs="仿宋_GB2312"/>
                <w:i w:val="0"/>
                <w:iCs w:val="0"/>
                <w:color w:val="000000"/>
                <w:kern w:val="0"/>
                <w:sz w:val="24"/>
                <w:szCs w:val="24"/>
                <w:u w:val="none"/>
                <w:lang w:val="en-US" w:eastAsia="zh-CN" w:bidi="ar"/>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428" w:type="dxa"/>
            <w:tcBorders>
              <w:top w:val="single" w:color="000000" w:sz="4" w:space="0"/>
              <w:left w:val="single" w:color="000000" w:sz="4" w:space="0"/>
              <w:bottom w:val="single" w:color="000000" w:sz="4" w:space="0"/>
              <w:right w:val="single" w:color="000000" w:sz="4" w:space="0"/>
            </w:tcBorders>
            <w:vAlign w:val="center"/>
          </w:tcPr>
          <w:p w14:paraId="6ADACB97">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3DD288">
            <w:pPr>
              <w:widowControl/>
              <w:jc w:val="center"/>
              <w:textAlignment w:val="center"/>
              <w:rPr>
                <w:rFonts w:hint="eastAsia" w:ascii="仿宋_GB2312" w:hAnsi="仿宋_GB2312" w:eastAsia="仿宋_GB2312" w:cs="仿宋_GB2312"/>
                <w:sz w:val="24"/>
                <w:szCs w:val="24"/>
                <w:highlight w:val="none"/>
              </w:rPr>
            </w:pPr>
          </w:p>
        </w:tc>
      </w:tr>
    </w:tbl>
    <w:p w14:paraId="1FFCBA87">
      <w:pPr>
        <w:rPr>
          <w:rFonts w:hint="eastAsia" w:ascii="仿宋_GB2312" w:hAnsi="仿宋_GB2312" w:eastAsia="仿宋_GB2312" w:cs="仿宋_GB2312"/>
          <w:b/>
          <w:bCs/>
          <w:highlight w:val="none"/>
        </w:rPr>
      </w:pPr>
    </w:p>
    <w:p w14:paraId="3967D7BE">
      <w:pPr>
        <w:rPr>
          <w:rFonts w:hint="eastAsia" w:ascii="仿宋_GB2312" w:hAnsi="仿宋_GB2312" w:eastAsia="仿宋_GB2312" w:cs="仿宋_GB2312"/>
          <w:b/>
          <w:bCs/>
          <w:highlight w:val="none"/>
          <w:lang w:val="en-US" w:eastAsia="zh-CN"/>
        </w:rPr>
      </w:pPr>
    </w:p>
    <w:p w14:paraId="29E6706D">
      <w:pPr>
        <w:rPr>
          <w:rFonts w:hint="eastAsia" w:ascii="仿宋_GB2312" w:hAnsi="仿宋_GB2312" w:eastAsia="仿宋_GB2312" w:cs="仿宋_GB2312"/>
          <w:b/>
          <w:bCs/>
          <w:highlight w:val="none"/>
          <w:lang w:val="en-US" w:eastAsia="zh-CN"/>
        </w:rPr>
      </w:pPr>
    </w:p>
    <w:p w14:paraId="6BD75013">
      <w:pPr>
        <w:rPr>
          <w:rFonts w:hint="eastAsia" w:ascii="仿宋_GB2312" w:hAnsi="仿宋_GB2312" w:eastAsia="仿宋_GB2312" w:cs="仿宋_GB2312"/>
          <w:b/>
          <w:bCs/>
          <w:highlight w:val="none"/>
          <w:lang w:val="en-US" w:eastAsia="zh-CN"/>
        </w:rPr>
      </w:pPr>
    </w:p>
    <w:p w14:paraId="35CE9FD8">
      <w:pPr>
        <w:rPr>
          <w:rFonts w:hint="eastAsia" w:ascii="仿宋_GB2312" w:hAnsi="仿宋_GB2312" w:eastAsia="仿宋_GB2312" w:cs="仿宋_GB2312"/>
          <w:b/>
          <w:bCs/>
          <w:highlight w:val="none"/>
          <w:lang w:val="en-US" w:eastAsia="zh-CN"/>
        </w:rPr>
      </w:pPr>
    </w:p>
    <w:p w14:paraId="7A803DF7">
      <w:pP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服务需求偏离表：</w:t>
      </w:r>
    </w:p>
    <w:tbl>
      <w:tblPr>
        <w:tblStyle w:val="11"/>
        <w:tblW w:w="4859"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66"/>
        <w:gridCol w:w="1851"/>
        <w:gridCol w:w="3100"/>
        <w:gridCol w:w="1666"/>
      </w:tblGrid>
      <w:tr w14:paraId="78B5B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511" w:type="pct"/>
            <w:vAlign w:val="center"/>
          </w:tcPr>
          <w:p w14:paraId="488AD60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序号</w:t>
            </w:r>
          </w:p>
        </w:tc>
        <w:tc>
          <w:tcPr>
            <w:tcW w:w="519" w:type="pct"/>
            <w:vAlign w:val="center"/>
          </w:tcPr>
          <w:p w14:paraId="672736D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重要性</w:t>
            </w:r>
          </w:p>
        </w:tc>
        <w:tc>
          <w:tcPr>
            <w:tcW w:w="1110" w:type="pct"/>
            <w:vAlign w:val="center"/>
          </w:tcPr>
          <w:p w14:paraId="613BB19C">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1859" w:type="pct"/>
            <w:vAlign w:val="center"/>
          </w:tcPr>
          <w:p w14:paraId="4A673110">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999" w:type="pct"/>
            <w:vAlign w:val="center"/>
          </w:tcPr>
          <w:p w14:paraId="140F3B7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8EB2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511510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519" w:type="pct"/>
            <w:vAlign w:val="center"/>
          </w:tcPr>
          <w:p w14:paraId="42459423">
            <w:pPr>
              <w:jc w:val="center"/>
              <w:rPr>
                <w:rFonts w:hint="eastAsia" w:ascii="仿宋" w:hAnsi="仿宋" w:eastAsia="仿宋" w:cs="Times New Roman"/>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11CECCC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技术要求</w:t>
            </w:r>
          </w:p>
        </w:tc>
        <w:tc>
          <w:tcPr>
            <w:tcW w:w="1859" w:type="pct"/>
            <w:vAlign w:val="center"/>
          </w:tcPr>
          <w:p w14:paraId="15BC126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服务要求详情“1.1 技术总体要求”章节</w:t>
            </w:r>
          </w:p>
        </w:tc>
        <w:tc>
          <w:tcPr>
            <w:tcW w:w="999" w:type="pct"/>
            <w:vAlign w:val="center"/>
          </w:tcPr>
          <w:p w14:paraId="69365185">
            <w:pPr>
              <w:jc w:val="center"/>
              <w:rPr>
                <w:rFonts w:hint="eastAsia" w:ascii="仿宋_GB2312" w:hAnsi="仿宋_GB2312" w:eastAsia="仿宋_GB2312" w:cs="仿宋_GB2312"/>
                <w:sz w:val="24"/>
                <w:szCs w:val="24"/>
                <w:highlight w:val="none"/>
              </w:rPr>
            </w:pPr>
          </w:p>
        </w:tc>
      </w:tr>
      <w:tr w14:paraId="5BE98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FAAAB8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519" w:type="pct"/>
            <w:vAlign w:val="center"/>
          </w:tcPr>
          <w:p w14:paraId="27B4104F">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42693F69">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1859" w:type="pct"/>
            <w:vAlign w:val="center"/>
          </w:tcPr>
          <w:p w14:paraId="59AC7E0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999" w:type="pct"/>
            <w:vAlign w:val="center"/>
          </w:tcPr>
          <w:p w14:paraId="6E9D3926">
            <w:pPr>
              <w:jc w:val="center"/>
              <w:rPr>
                <w:rFonts w:hint="eastAsia" w:ascii="仿宋_GB2312" w:hAnsi="仿宋_GB2312" w:eastAsia="仿宋_GB2312" w:cs="仿宋_GB2312"/>
                <w:sz w:val="24"/>
                <w:szCs w:val="24"/>
                <w:highlight w:val="none"/>
              </w:rPr>
            </w:pPr>
          </w:p>
        </w:tc>
      </w:tr>
      <w:tr w14:paraId="5D171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9688B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519" w:type="pct"/>
            <w:vAlign w:val="center"/>
          </w:tcPr>
          <w:p w14:paraId="6FBEDAB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65E4576">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1859" w:type="pct"/>
            <w:vAlign w:val="center"/>
          </w:tcPr>
          <w:p w14:paraId="003C8EC5">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999" w:type="pct"/>
            <w:vAlign w:val="center"/>
          </w:tcPr>
          <w:p w14:paraId="18157DE3">
            <w:pPr>
              <w:jc w:val="center"/>
              <w:rPr>
                <w:rFonts w:hint="eastAsia" w:ascii="仿宋_GB2312" w:hAnsi="仿宋_GB2312" w:eastAsia="仿宋_GB2312" w:cs="仿宋_GB2312"/>
                <w:sz w:val="24"/>
                <w:szCs w:val="24"/>
                <w:highlight w:val="none"/>
              </w:rPr>
            </w:pPr>
          </w:p>
        </w:tc>
      </w:tr>
      <w:tr w14:paraId="4A4C8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0214B0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519" w:type="pct"/>
            <w:vAlign w:val="center"/>
          </w:tcPr>
          <w:p w14:paraId="4D55A712">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19802B8">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服务开通要求</w:t>
            </w:r>
          </w:p>
        </w:tc>
        <w:tc>
          <w:tcPr>
            <w:tcW w:w="1859" w:type="pct"/>
            <w:vAlign w:val="center"/>
          </w:tcPr>
          <w:p w14:paraId="2068A0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999" w:type="pct"/>
            <w:vAlign w:val="center"/>
          </w:tcPr>
          <w:p w14:paraId="601B9165">
            <w:pPr>
              <w:jc w:val="center"/>
              <w:rPr>
                <w:rFonts w:hint="eastAsia" w:ascii="仿宋_GB2312" w:hAnsi="仿宋_GB2312" w:eastAsia="仿宋_GB2312" w:cs="仿宋_GB2312"/>
                <w:sz w:val="24"/>
                <w:szCs w:val="24"/>
                <w:highlight w:val="none"/>
              </w:rPr>
            </w:pPr>
          </w:p>
        </w:tc>
      </w:tr>
      <w:tr w14:paraId="54E20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AA1841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519" w:type="pct"/>
            <w:vAlign w:val="center"/>
          </w:tcPr>
          <w:p w14:paraId="3E8DDF09">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49BDE655">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服务实施要求</w:t>
            </w:r>
          </w:p>
        </w:tc>
        <w:tc>
          <w:tcPr>
            <w:tcW w:w="1859" w:type="pct"/>
            <w:vAlign w:val="center"/>
          </w:tcPr>
          <w:p w14:paraId="2BE86B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999" w:type="pct"/>
            <w:vAlign w:val="center"/>
          </w:tcPr>
          <w:p w14:paraId="0D6CCBE4">
            <w:pPr>
              <w:jc w:val="center"/>
              <w:rPr>
                <w:rFonts w:hint="eastAsia" w:ascii="仿宋_GB2312" w:hAnsi="仿宋_GB2312" w:eastAsia="仿宋_GB2312" w:cs="仿宋_GB2312"/>
                <w:sz w:val="24"/>
                <w:szCs w:val="24"/>
                <w:highlight w:val="none"/>
              </w:rPr>
            </w:pPr>
          </w:p>
        </w:tc>
      </w:tr>
      <w:tr w14:paraId="6CD24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5267086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519" w:type="pct"/>
            <w:vAlign w:val="center"/>
          </w:tcPr>
          <w:p w14:paraId="490C7F90">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5719556B">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1859" w:type="pct"/>
            <w:vAlign w:val="center"/>
          </w:tcPr>
          <w:p w14:paraId="3FDC43D9">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999" w:type="pct"/>
            <w:vAlign w:val="center"/>
          </w:tcPr>
          <w:p w14:paraId="32037CC1">
            <w:pPr>
              <w:jc w:val="center"/>
              <w:rPr>
                <w:rFonts w:hint="eastAsia" w:ascii="仿宋_GB2312" w:hAnsi="仿宋_GB2312" w:eastAsia="仿宋_GB2312" w:cs="仿宋_GB2312"/>
                <w:sz w:val="24"/>
                <w:szCs w:val="24"/>
                <w:highlight w:val="none"/>
              </w:rPr>
            </w:pPr>
          </w:p>
        </w:tc>
      </w:tr>
      <w:tr w14:paraId="49888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1052E64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519" w:type="pct"/>
            <w:vAlign w:val="center"/>
          </w:tcPr>
          <w:p w14:paraId="50C48D1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0D50833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技术支持与售后服务要求</w:t>
            </w:r>
          </w:p>
        </w:tc>
        <w:tc>
          <w:tcPr>
            <w:tcW w:w="1859" w:type="pct"/>
            <w:vAlign w:val="center"/>
          </w:tcPr>
          <w:p w14:paraId="36F846B0">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服务要求详情“4.1技术支持与售后服务”章节</w:t>
            </w:r>
          </w:p>
        </w:tc>
        <w:tc>
          <w:tcPr>
            <w:tcW w:w="999" w:type="pct"/>
            <w:vAlign w:val="center"/>
          </w:tcPr>
          <w:p w14:paraId="71191F7B">
            <w:pPr>
              <w:jc w:val="center"/>
              <w:rPr>
                <w:rFonts w:hint="eastAsia" w:ascii="仿宋_GB2312" w:hAnsi="仿宋_GB2312" w:eastAsia="仿宋_GB2312" w:cs="仿宋_GB2312"/>
                <w:sz w:val="24"/>
                <w:szCs w:val="24"/>
                <w:highlight w:val="none"/>
              </w:rPr>
            </w:pPr>
          </w:p>
        </w:tc>
      </w:tr>
      <w:tr w14:paraId="68F04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CEB9F1">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519" w:type="pct"/>
            <w:vAlign w:val="center"/>
          </w:tcPr>
          <w:p w14:paraId="458F328F">
            <w:pPr>
              <w:jc w:val="center"/>
              <w:rPr>
                <w:rFonts w:hint="eastAsia" w:ascii="仿宋" w:hAnsi="仿宋" w:eastAsia="仿宋" w:cs="宋体"/>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53B3147A">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支持与服务要求</w:t>
            </w:r>
          </w:p>
        </w:tc>
        <w:tc>
          <w:tcPr>
            <w:tcW w:w="1859" w:type="pct"/>
            <w:vAlign w:val="center"/>
          </w:tcPr>
          <w:p w14:paraId="499FF13A">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服务要求详情“4.2支持与服务要求说明”章节</w:t>
            </w:r>
          </w:p>
        </w:tc>
        <w:tc>
          <w:tcPr>
            <w:tcW w:w="999" w:type="pct"/>
            <w:vAlign w:val="center"/>
          </w:tcPr>
          <w:p w14:paraId="7A2FE89B">
            <w:pPr>
              <w:jc w:val="center"/>
              <w:rPr>
                <w:rFonts w:hint="eastAsia" w:ascii="仿宋_GB2312" w:hAnsi="仿宋_GB2312" w:eastAsia="仿宋_GB2312" w:cs="仿宋_GB2312"/>
                <w:sz w:val="24"/>
                <w:szCs w:val="24"/>
                <w:highlight w:val="none"/>
              </w:rPr>
            </w:pPr>
          </w:p>
        </w:tc>
      </w:tr>
      <w:tr w14:paraId="46F0C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6BEC835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519" w:type="pct"/>
            <w:vAlign w:val="center"/>
          </w:tcPr>
          <w:p w14:paraId="195B34C9">
            <w:pPr>
              <w:jc w:val="center"/>
              <w:rPr>
                <w:rFonts w:hint="eastAsia" w:ascii="仿宋" w:hAnsi="仿宋" w:eastAsia="仿宋" w:cs="宋体"/>
                <w:kern w:val="0"/>
                <w:sz w:val="28"/>
                <w:szCs w:val="28"/>
                <w:lang w:val="en-US" w:eastAsia="zh-CN" w:bidi="ar-SA"/>
              </w:rPr>
            </w:pPr>
            <w:r>
              <w:rPr>
                <w:rFonts w:hint="eastAsia" w:ascii="仿宋" w:hAnsi="仿宋" w:eastAsia="仿宋" w:cs="宋体"/>
                <w:sz w:val="28"/>
                <w:szCs w:val="28"/>
              </w:rPr>
              <w:t>#</w:t>
            </w:r>
          </w:p>
        </w:tc>
        <w:tc>
          <w:tcPr>
            <w:tcW w:w="1110" w:type="pct"/>
            <w:vAlign w:val="center"/>
          </w:tcPr>
          <w:p w14:paraId="1C90677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重要时期保障服务</w:t>
            </w:r>
          </w:p>
        </w:tc>
        <w:tc>
          <w:tcPr>
            <w:tcW w:w="1859" w:type="pct"/>
            <w:vAlign w:val="center"/>
          </w:tcPr>
          <w:p w14:paraId="5E91B88F">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服务要求详情“4.3重要通讯保障服务”章节</w:t>
            </w:r>
          </w:p>
        </w:tc>
        <w:tc>
          <w:tcPr>
            <w:tcW w:w="999" w:type="pct"/>
            <w:vAlign w:val="center"/>
          </w:tcPr>
          <w:p w14:paraId="309FB808">
            <w:pPr>
              <w:jc w:val="center"/>
              <w:rPr>
                <w:rFonts w:hint="eastAsia" w:ascii="仿宋_GB2312" w:hAnsi="仿宋_GB2312" w:eastAsia="仿宋_GB2312" w:cs="仿宋_GB2312"/>
                <w:sz w:val="24"/>
                <w:szCs w:val="24"/>
                <w:highlight w:val="none"/>
              </w:rPr>
            </w:pPr>
          </w:p>
        </w:tc>
      </w:tr>
      <w:tr w14:paraId="5BBA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4E8772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519" w:type="pct"/>
            <w:vAlign w:val="center"/>
          </w:tcPr>
          <w:p w14:paraId="74DDB624">
            <w:pPr>
              <w:jc w:val="center"/>
              <w:rPr>
                <w:rFonts w:hint="eastAsia" w:ascii="仿宋" w:hAnsi="仿宋" w:eastAsia="仿宋" w:cs="宋体"/>
                <w:kern w:val="2"/>
                <w:sz w:val="28"/>
                <w:szCs w:val="28"/>
                <w:lang w:val="en-US" w:eastAsia="zh-CN" w:bidi="ar-SA"/>
              </w:rPr>
            </w:pPr>
            <w:r>
              <w:rPr>
                <w:rFonts w:hint="eastAsia" w:ascii="仿宋" w:hAnsi="仿宋" w:eastAsia="仿宋" w:cs="宋体"/>
                <w:sz w:val="28"/>
                <w:szCs w:val="28"/>
              </w:rPr>
              <w:t>#</w:t>
            </w:r>
          </w:p>
        </w:tc>
        <w:tc>
          <w:tcPr>
            <w:tcW w:w="1110" w:type="pct"/>
            <w:vAlign w:val="center"/>
          </w:tcPr>
          <w:p w14:paraId="1DD2AA0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服务罚则</w:t>
            </w:r>
          </w:p>
        </w:tc>
        <w:tc>
          <w:tcPr>
            <w:tcW w:w="1859" w:type="pct"/>
            <w:vAlign w:val="center"/>
          </w:tcPr>
          <w:p w14:paraId="25276524">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“4.4 服务罚则”</w:t>
            </w:r>
          </w:p>
        </w:tc>
        <w:tc>
          <w:tcPr>
            <w:tcW w:w="999" w:type="pct"/>
            <w:vAlign w:val="center"/>
          </w:tcPr>
          <w:p w14:paraId="7BAB2ECC">
            <w:pPr>
              <w:jc w:val="center"/>
              <w:rPr>
                <w:rFonts w:hint="eastAsia" w:ascii="仿宋_GB2312" w:hAnsi="仿宋_GB2312" w:eastAsia="仿宋_GB2312" w:cs="仿宋_GB2312"/>
                <w:sz w:val="24"/>
                <w:szCs w:val="24"/>
                <w:highlight w:val="none"/>
              </w:rPr>
            </w:pPr>
          </w:p>
        </w:tc>
      </w:tr>
      <w:tr w14:paraId="751F9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5E9DD7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519" w:type="pct"/>
            <w:vAlign w:val="center"/>
          </w:tcPr>
          <w:p w14:paraId="6CF8F44D">
            <w:pPr>
              <w:jc w:val="center"/>
              <w:rPr>
                <w:rFonts w:hint="eastAsia" w:ascii="仿宋" w:hAnsi="仿宋" w:eastAsia="仿宋" w:cs="宋体"/>
                <w:kern w:val="2"/>
                <w:sz w:val="28"/>
                <w:szCs w:val="28"/>
                <w:lang w:val="en-US" w:eastAsia="zh-CN" w:bidi="ar-SA"/>
              </w:rPr>
            </w:pPr>
          </w:p>
        </w:tc>
        <w:tc>
          <w:tcPr>
            <w:tcW w:w="1110" w:type="pct"/>
            <w:vAlign w:val="center"/>
          </w:tcPr>
          <w:p w14:paraId="76719C1C">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安全服务</w:t>
            </w:r>
          </w:p>
        </w:tc>
        <w:tc>
          <w:tcPr>
            <w:tcW w:w="1859" w:type="pct"/>
            <w:vAlign w:val="center"/>
          </w:tcPr>
          <w:p w14:paraId="30D4A927">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“4.5 安全服务”</w:t>
            </w:r>
          </w:p>
        </w:tc>
        <w:tc>
          <w:tcPr>
            <w:tcW w:w="999" w:type="pct"/>
            <w:vAlign w:val="center"/>
          </w:tcPr>
          <w:p w14:paraId="53FB6517">
            <w:pPr>
              <w:jc w:val="center"/>
              <w:rPr>
                <w:rFonts w:hint="eastAsia" w:ascii="仿宋_GB2312" w:hAnsi="仿宋_GB2312" w:eastAsia="仿宋_GB2312" w:cs="仿宋_GB2312"/>
                <w:sz w:val="24"/>
                <w:szCs w:val="24"/>
                <w:highlight w:val="none"/>
              </w:rPr>
            </w:pPr>
          </w:p>
        </w:tc>
      </w:tr>
      <w:tr w14:paraId="74D0B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6D8696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519" w:type="pct"/>
            <w:vAlign w:val="center"/>
          </w:tcPr>
          <w:p w14:paraId="19252717">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69019A53">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保密要求</w:t>
            </w:r>
          </w:p>
        </w:tc>
        <w:tc>
          <w:tcPr>
            <w:tcW w:w="1859" w:type="pct"/>
            <w:vAlign w:val="center"/>
          </w:tcPr>
          <w:p w14:paraId="7CF2E70D">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服务要求详情“5 保密要求”章节</w:t>
            </w:r>
          </w:p>
        </w:tc>
        <w:tc>
          <w:tcPr>
            <w:tcW w:w="999" w:type="pct"/>
            <w:vAlign w:val="center"/>
          </w:tcPr>
          <w:p w14:paraId="40114ED1">
            <w:pPr>
              <w:jc w:val="center"/>
              <w:rPr>
                <w:rFonts w:hint="eastAsia" w:ascii="仿宋_GB2312" w:hAnsi="仿宋_GB2312" w:eastAsia="仿宋_GB2312" w:cs="仿宋_GB2312"/>
                <w:sz w:val="24"/>
                <w:szCs w:val="24"/>
                <w:highlight w:val="none"/>
              </w:rPr>
            </w:pPr>
          </w:p>
        </w:tc>
      </w:tr>
      <w:tr w14:paraId="56170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A76EBDB">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519" w:type="pct"/>
            <w:vAlign w:val="center"/>
          </w:tcPr>
          <w:p w14:paraId="36E544F4">
            <w:pPr>
              <w:jc w:val="center"/>
              <w:rPr>
                <w:rFonts w:hint="eastAsia" w:ascii="仿宋_GB2312" w:hAnsi="仿宋_GB2312" w:eastAsia="仿宋_GB2312" w:cs="仿宋_GB2312"/>
                <w:kern w:val="0"/>
                <w:sz w:val="24"/>
                <w:szCs w:val="24"/>
                <w:lang w:val="en-US" w:eastAsia="zh-CN" w:bidi="ar-SA"/>
              </w:rPr>
            </w:pPr>
            <w:r>
              <w:rPr>
                <w:rFonts w:hint="eastAsia" w:ascii="仿宋" w:hAnsi="仿宋" w:eastAsia="仿宋" w:cs="宋体"/>
                <w:kern w:val="0"/>
                <w:sz w:val="28"/>
                <w:szCs w:val="28"/>
              </w:rPr>
              <w:t>★</w:t>
            </w:r>
          </w:p>
        </w:tc>
        <w:tc>
          <w:tcPr>
            <w:tcW w:w="1110" w:type="pct"/>
            <w:vAlign w:val="center"/>
          </w:tcPr>
          <w:p w14:paraId="0D4D4A0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付款方式</w:t>
            </w:r>
          </w:p>
        </w:tc>
        <w:tc>
          <w:tcPr>
            <w:tcW w:w="1859" w:type="pct"/>
            <w:vAlign w:val="center"/>
          </w:tcPr>
          <w:p w14:paraId="1F12CA0E">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999" w:type="pct"/>
            <w:vAlign w:val="center"/>
          </w:tcPr>
          <w:p w14:paraId="0B07A964">
            <w:pPr>
              <w:jc w:val="center"/>
              <w:rPr>
                <w:rFonts w:hint="eastAsia" w:ascii="仿宋_GB2312" w:hAnsi="仿宋_GB2312" w:eastAsia="仿宋_GB2312" w:cs="仿宋_GB2312"/>
                <w:kern w:val="2"/>
                <w:sz w:val="24"/>
                <w:szCs w:val="24"/>
                <w:lang w:val="en-US" w:eastAsia="zh-CN" w:bidi="ar-SA"/>
              </w:rPr>
            </w:pPr>
          </w:p>
        </w:tc>
      </w:tr>
    </w:tbl>
    <w:p w14:paraId="4738C852">
      <w:pPr>
        <w:rPr>
          <w:rFonts w:hint="default" w:ascii="仿宋_GB2312" w:hAnsi="仿宋_GB2312" w:eastAsia="仿宋_GB2312" w:cs="仿宋_GB2312"/>
          <w:b/>
          <w:bCs/>
          <w:highlight w:val="none"/>
          <w:lang w:val="en-US" w:eastAsia="zh-CN"/>
        </w:rPr>
      </w:pPr>
    </w:p>
    <w:p w14:paraId="79444FAC">
      <w:pPr>
        <w:rPr>
          <w:rFonts w:hint="eastAsia" w:ascii="仿宋_GB2312" w:hAnsi="仿宋_GB2312" w:eastAsia="仿宋_GB2312" w:cs="仿宋_GB2312"/>
          <w:b/>
          <w:bCs/>
          <w:highlight w:val="none"/>
        </w:rPr>
      </w:pPr>
    </w:p>
    <w:p w14:paraId="332D738E">
      <w:pPr>
        <w:rPr>
          <w:rFonts w:hint="default" w:ascii="仿宋_GB2312" w:hAnsi="仿宋_GB2312" w:eastAsia="仿宋_GB2312" w:cs="仿宋_GB2312"/>
          <w:b/>
          <w:bCs/>
          <w:sz w:val="32"/>
          <w:szCs w:val="28"/>
          <w:highlight w:val="none"/>
          <w:lang w:val="en-US"/>
        </w:rPr>
      </w:pPr>
      <w:bookmarkStart w:id="41" w:name="_Toc104912498"/>
      <w:r>
        <w:rPr>
          <w:rFonts w:hint="default" w:ascii="仿宋_GB2312" w:hAnsi="仿宋_GB2312" w:eastAsia="仿宋_GB2312" w:cs="仿宋_GB2312"/>
          <w:b/>
          <w:bCs/>
          <w:sz w:val="32"/>
          <w:szCs w:val="28"/>
          <w:highlight w:val="none"/>
          <w:lang w:val="en-US"/>
        </w:rPr>
        <w:br w:type="page"/>
      </w:r>
    </w:p>
    <w:p w14:paraId="696C1083">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lang w:val="en-US" w:eastAsia="zh-CN"/>
        </w:rPr>
        <w:t>十</w:t>
      </w:r>
      <w:r>
        <w:rPr>
          <w:rFonts w:hint="eastAsia" w:ascii="仿宋_GB2312" w:hAnsi="仿宋_GB2312" w:eastAsia="仿宋_GB2312" w:cs="仿宋_GB2312"/>
          <w:b/>
          <w:bCs/>
          <w:sz w:val="32"/>
          <w:szCs w:val="28"/>
          <w:highlight w:val="none"/>
        </w:rPr>
        <w:t>、采购需求提及或响应人认为需要提供的其他证明材料</w:t>
      </w:r>
      <w:r>
        <w:rPr>
          <w:rFonts w:hint="eastAsia" w:ascii="仿宋_GB2312" w:hAnsi="仿宋_GB2312" w:eastAsia="仿宋_GB2312" w:cs="仿宋_GB2312"/>
          <w:b/>
          <w:bCs/>
          <w:sz w:val="32"/>
          <w:szCs w:val="28"/>
          <w:highlight w:val="none"/>
          <w:lang w:eastAsia="zh-CN"/>
        </w:rPr>
        <w:t>（</w:t>
      </w:r>
      <w:r>
        <w:rPr>
          <w:rFonts w:hint="eastAsia" w:ascii="仿宋_GB2312" w:hAnsi="仿宋_GB2312" w:eastAsia="仿宋_GB2312" w:cs="仿宋_GB2312"/>
          <w:b/>
          <w:bCs/>
          <w:sz w:val="32"/>
          <w:szCs w:val="28"/>
          <w:highlight w:val="none"/>
          <w:lang w:val="en-US" w:eastAsia="zh-CN"/>
        </w:rPr>
        <w:t>加盖公章</w:t>
      </w:r>
      <w:r>
        <w:rPr>
          <w:rFonts w:hint="eastAsia" w:ascii="仿宋_GB2312" w:hAnsi="仿宋_GB2312" w:eastAsia="仿宋_GB2312" w:cs="仿宋_GB2312"/>
          <w:b/>
          <w:bCs/>
          <w:sz w:val="32"/>
          <w:szCs w:val="28"/>
          <w:highlight w:val="none"/>
          <w:lang w:eastAsia="zh-CN"/>
        </w:rPr>
        <w:t>）</w:t>
      </w:r>
      <w:bookmarkEnd w:id="41"/>
    </w:p>
    <w:p w14:paraId="0F433DB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29BD129">
      <w:pPr>
        <w:rPr>
          <w:rFonts w:hint="default" w:ascii="仿宋_GB2312" w:hAnsi="仿宋_GB2312" w:eastAsia="仿宋_GB2312" w:cs="仿宋_GB2312"/>
          <w:highlight w:val="none"/>
          <w:lang w:val="en-US" w:eastAsia="zh-CN"/>
        </w:rPr>
      </w:pPr>
    </w:p>
    <w:p w14:paraId="13A16F5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详见</w:t>
      </w:r>
      <w:r>
        <w:rPr>
          <w:rFonts w:hint="eastAsia" w:ascii="仿宋_GB2312" w:hAnsi="仿宋_GB2312" w:eastAsia="仿宋_GB2312" w:cs="仿宋_GB2312"/>
          <w:highlight w:val="none"/>
          <w:lang w:val="en-US" w:eastAsia="zh-CN"/>
        </w:rPr>
        <w:t>全文,不限于下列信息：</w:t>
      </w:r>
    </w:p>
    <w:p w14:paraId="49A5994C">
      <w:pPr>
        <w:numPr>
          <w:ilvl w:val="0"/>
          <w:numId w:val="4"/>
        </w:numPr>
        <w:outlineLvl w:val="9"/>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双活部署方案，包括基础设施双活、应用双活等。</w:t>
      </w:r>
    </w:p>
    <w:p>
      <w:pPr>
        <w:shd w:val="clear" w:color="auto" w:fill="D9D9D9"/>
      </w:pPr>
      <w:r>
        <w:rPr>
          <w:rFonts w:ascii="仿宋_GB2312" w:hAnsi="仿宋_GB2312"/>
          <w:color w:val="000000"/>
        </w:rPr>
        <w:t>应答：满足。系统支持双活部署方案，涵盖基础设施双活和应用双活。基础设施方面，采用主流的负载均衡技术和数据同步机制，确保在任一节点故障时，系统能够无缝切换，保障业务连续性。应用层面，支持多活架构，利用容器化技术实现应用的高可用性和弹性扩展，确保用户体验不受影响。</w:t>
      </w:r>
    </w:p>
    <w:p w14:paraId="735680B0">
      <w:pPr>
        <w:numPr>
          <w:ilvl w:val="0"/>
          <w:numId w:val="0"/>
        </w:num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（2）售后服务方案，包括</w:t>
      </w:r>
      <w:r>
        <w:rPr>
          <w:rFonts w:hint="eastAsia" w:ascii="仿宋_GB2312" w:hAnsi="仿宋_GB2312" w:eastAsia="仿宋_GB2312" w:cs="仿宋_GB2312"/>
          <w:szCs w:val="24"/>
          <w:highlight w:val="none"/>
        </w:rPr>
        <w:t>完善的服务制度和专业的服务保障团队，应具有良好的售后服务和24小时响应支持的能力</w:t>
      </w:r>
      <w:r>
        <w:rPr>
          <w:rFonts w:hint="eastAsia" w:ascii="仿宋_GB2312" w:hAnsi="仿宋_GB2312" w:eastAsia="仿宋_GB2312" w:cs="仿宋_GB2312"/>
          <w:szCs w:val="24"/>
          <w:highlight w:val="none"/>
          <w:lang w:val="en-US" w:eastAsia="zh-CN"/>
        </w:rPr>
        <w:t>等描述。</w:t>
      </w:r>
    </w:p>
    <w:p>
      <w:pPr>
        <w:shd w:val="clear" w:color="auto" w:fill="D9D9D9"/>
      </w:pPr>
      <w:r>
        <w:rPr>
          <w:rFonts w:ascii="仿宋_GB2312" w:hAnsi="仿宋_GB2312"/>
          <w:color w:val="000000"/>
        </w:rPr>
        <w:t>应答：满足。系统配备完善的售后服务制度，成立专业的服务保障团队，确保客户在使用过程中获得及时支持。我们承诺提供24小时响应服务，针对客户的问题和需求，快速响应并解决，确保系统的稳定运行和客户满意度。</w:t>
      </w:r>
    </w:p>
    <w:p w14:paraId="53BA86DC">
      <w:pPr>
        <w:numPr>
          <w:ilvl w:val="0"/>
          <w:numId w:val="0"/>
        </w:numPr>
        <w:rPr>
          <w:rFonts w:hint="eastAsia" w:ascii="仿宋_GB2312" w:hAnsi="仿宋_GB2312" w:eastAsia="仿宋_GB2312" w:cs="仿宋_GB2312"/>
          <w:highlight w:val="none"/>
          <w:lang w:val="en-US" w:eastAsia="zh-CN"/>
        </w:rPr>
      </w:pPr>
    </w:p>
    <w:p w14:paraId="2F22C4C7">
      <w:pPr>
        <w:numPr>
          <w:ilvl w:val="0"/>
          <w:numId w:val="0"/>
        </w:numPr>
        <w:rPr>
          <w:rFonts w:hint="eastAsia" w:ascii="仿宋_GB2312" w:hAnsi="仿宋_GB2312" w:eastAsia="仿宋_GB2312" w:cs="仿宋_GB2312"/>
          <w:highlight w:val="none"/>
          <w:lang w:val="en-US" w:eastAsia="zh-CN"/>
        </w:rPr>
      </w:pPr>
    </w:p>
    <w:p w14:paraId="363EA91E">
      <w:pPr>
        <w:numPr>
          <w:ilvl w:val="0"/>
          <w:numId w:val="0"/>
        </w:numPr>
        <w:rPr>
          <w:rFonts w:hint="eastAsia" w:ascii="仿宋_GB2312" w:hAnsi="仿宋_GB2312" w:eastAsia="仿宋_GB2312" w:cs="仿宋_GB2312"/>
          <w:highlight w:val="none"/>
          <w:lang w:val="en-US" w:eastAsia="zh-CN"/>
        </w:rPr>
      </w:pPr>
    </w:p>
    <w:p w14:paraId="000E99E3">
      <w:pPr>
        <w:numPr>
          <w:ilvl w:val="0"/>
          <w:numId w:val="0"/>
        </w:numPr>
        <w:rPr>
          <w:rFonts w:hint="eastAsia" w:ascii="仿宋_GB2312" w:hAnsi="仿宋_GB2312" w:eastAsia="仿宋_GB2312" w:cs="仿宋_GB2312"/>
          <w:highlight w:val="none"/>
          <w:lang w:val="en-US" w:eastAsia="zh-CN"/>
        </w:rPr>
      </w:pPr>
    </w:p>
    <w:p w14:paraId="2B08696E">
      <w:pPr>
        <w:rPr>
          <w:highlight w:val="none"/>
        </w:rPr>
      </w:pPr>
    </w:p>
    <w:p>
      <w:pPr>
        <w:spacing w:lineRule="auto" w:line="360"/>
      </w:pPr>
    </w:p>
    <w:p>
      <w:pPr>
        <w:spacing w:lineRule="auto" w:line="360"/>
      </w:pPr>
    </w:p>
    <w:p>
      <w:pPr>
        <w:spacing w:lineRule="auto" w:line="360"/>
        <w:ind w:firstLine="48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jc w:val="left"/>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jc w:val="left"/>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68"/>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68"/>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640"/>
      </w:pPr>
    </w:p>
    <w:p>
      <w:pPr>
        <w:spacing w:lineRule="auto" w:line="360"/>
        <w:ind w:firstLine="480"/>
      </w:pPr>
    </w:p>
    <w:p>
      <w:pPr>
        <w:spacing w:lineRule="auto" w:line="360"/>
      </w:pPr>
    </w:p>
    <w:p>
      <w:pPr>
        <w:spacing w:lineRule="auto" w:line="360"/>
        <w:ind w:firstLine="480"/>
      </w:pPr>
    </w:p>
    <w:p>
      <w:pPr>
        <w:spacing w:lineRule="auto" w:line="36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left="68"/>
        <w:jc w:val="left"/>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jc w:val="left"/>
      </w:pPr>
    </w:p>
    <w:p>
      <w:pPr>
        <w:spacing w:lineRule="auto" w:line="360"/>
        <w:ind w:firstLine="480"/>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0" w:firstLine="480"/>
      </w:pPr>
    </w:p>
    <w:p>
      <w:pPr>
        <w:spacing w:lineRule="auto" w:line="360"/>
        <w:ind w:left="0"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sectPr>
      <w:pgSz w:w="11920" w:h="16840"/>
      <w:pgMar w:top="1440" w:right="1780" w:bottom="1440" w:left="1780" w:header="256" w:footer="154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PingFang SC">
    <w:altName w:val="微软雅黑"/>
    <w:panose1 w:val="00000000000000000000"/>
    <w:charset w:val="86"/>
    <w:family w:val="auto"/>
    <w:pitch w:val="default"/>
    <w:sig w:usb0="00000000" w:usb1="00000000" w:usb2="00000000" w:usb3="00000000" w:csb0="00160000" w:csb1="00000000"/>
  </w:font>
  <w:font w:name="微软雅黑">
    <w:panose1 w:val="020B0503020204020204"/>
    <w:charset w:val="86"/>
    <w:family w:val="auto"/>
    <w:pitch w:val="default"/>
    <w:sig w:usb0="80000287" w:usb1="2ACF3C50" w:usb2="00000016" w:usb3="00000000" w:csb0="0004001F" w:csb1="00000000"/>
  </w:font>
  <w:font w:name="Helvetica Neue">
    <w:altName w:val="Arial"/>
    <w:panose1 w:val="00000000000000000000"/>
    <w:charset w:val="00"/>
    <w:family w:val="auto"/>
    <w:pitch w:val="default"/>
    <w:sig w:usb0="00000000" w:usb1="00000000" w:usb2="00000010" w:usb3="00000000" w:csb0="00000000" w:csb1="00000000"/>
  </w:font>
  <w:font w:name="Adobe 仿宋 Std R">
    <w:altName w:val="仿宋"/>
    <w:panose1 w:val="00000000000000000000"/>
    <w:charset w:val="86"/>
    <w:family w:val="roman"/>
    <w:pitch w:val="default"/>
    <w:sig w:usb0="00000000" w:usb1="0000000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522E4">
    <w:pPr>
      <w:pStyle w:val="6"/>
      <w:ind w:right="360" w:firstLine="360"/>
      <w:jc w:val="center"/>
      <w:rPr>
        <w:szCs w:val="24"/>
      </w:rPr>
    </w:pPr>
  </w:p>
  <w:p w14:paraId="4215A9F6">
    <w:pPr>
      <w:pStyle w:val="6"/>
      <w:ind w:firstLine="360"/>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90477">
    <w:pPr>
      <w:pStyle w:val="6"/>
      <w:framePr w:wrap="around" w:vAnchor="text" w:hAnchor="margin" w:xAlign="center" w:y="1"/>
      <w:ind w:firstLine="360"/>
      <w:rPr>
        <w:rStyle w:val="13"/>
        <w:szCs w:val="24"/>
      </w:rPr>
    </w:pPr>
    <w:r>
      <w:rPr>
        <w:szCs w:val="24"/>
      </w:rPr>
      <w:fldChar w:fldCharType="begin"/>
    </w:r>
    <w:r>
      <w:rPr>
        <w:rStyle w:val="13"/>
        <w:szCs w:val="24"/>
      </w:rPr>
      <w:instrText xml:space="preserve">PAGE  </w:instrText>
    </w:r>
    <w:r>
      <w:rPr>
        <w:szCs w:val="24"/>
      </w:rPr>
      <w:fldChar w:fldCharType="end"/>
    </w:r>
  </w:p>
  <w:p w14:paraId="40A4F078">
    <w:pPr>
      <w:pStyle w:val="6"/>
      <w:ind w:right="360" w:firstLine="360"/>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60631"/>
    </w:sdtPr>
    <w:sdtContent>
      <w:p w14:paraId="0E27EAC0">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14:paraId="696505D7">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3CCB0">
    <w:pPr>
      <w:ind w:firstLine="360"/>
      <w:jc w:val="left"/>
      <w:rPr>
        <w:sz w:val="1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DE0B9">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CB0A7">
    <w:pPr>
      <w:ind w:firstLine="360"/>
      <w:jc w:val="left"/>
      <w:rPr>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F0C7C"/>
    <w:multiLevelType w:val="singleLevel"/>
    <w:tmpl w:val="C85F0C7C"/>
    <w:lvl w:ilvl="0" w:tentative="0">
      <w:start w:val="1"/>
      <w:numFmt w:val="decimal"/>
      <w:suff w:val="nothing"/>
      <w:lvlText w:val="（%1）"/>
      <w:lvlJc w:val="left"/>
    </w:lvl>
  </w:abstractNum>
  <w:abstractNum w:abstractNumId="1">
    <w:nsid w:val="48DA27F8"/>
    <w:multiLevelType w:val="multilevel"/>
    <w:tmpl w:val="48DA27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2754766"/>
    <w:multiLevelType w:val="multilevel"/>
    <w:tmpl w:val="5275476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5D5F6B10"/>
    <w:multiLevelType w:val="singleLevel"/>
    <w:tmpl w:val="5D5F6B10"/>
    <w:lvl w:ilvl="0" w:tentative="0">
      <w:start w:val="6"/>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iOTM0NjEyZTUxMmVkYTFmZDU0ZDZkOWVjMzQwYTAifQ=="/>
  </w:docVars>
  <w:rsids>
    <w:rsidRoot w:val="009A6A9A"/>
    <w:rsid w:val="00001DE2"/>
    <w:rsid w:val="0000525E"/>
    <w:rsid w:val="000067CD"/>
    <w:rsid w:val="00007E86"/>
    <w:rsid w:val="00032CEA"/>
    <w:rsid w:val="000335BA"/>
    <w:rsid w:val="000335CB"/>
    <w:rsid w:val="00036188"/>
    <w:rsid w:val="00036387"/>
    <w:rsid w:val="000370CF"/>
    <w:rsid w:val="00037FFD"/>
    <w:rsid w:val="000443AE"/>
    <w:rsid w:val="000448E2"/>
    <w:rsid w:val="00050AB6"/>
    <w:rsid w:val="0005156D"/>
    <w:rsid w:val="00053703"/>
    <w:rsid w:val="000539F9"/>
    <w:rsid w:val="0005484F"/>
    <w:rsid w:val="0006084B"/>
    <w:rsid w:val="0006218B"/>
    <w:rsid w:val="0006356C"/>
    <w:rsid w:val="0006380C"/>
    <w:rsid w:val="000702BF"/>
    <w:rsid w:val="00070733"/>
    <w:rsid w:val="000741C0"/>
    <w:rsid w:val="000828D1"/>
    <w:rsid w:val="00082FD3"/>
    <w:rsid w:val="00084EB0"/>
    <w:rsid w:val="000947D3"/>
    <w:rsid w:val="00095CB7"/>
    <w:rsid w:val="000A11A1"/>
    <w:rsid w:val="000A7615"/>
    <w:rsid w:val="000B3484"/>
    <w:rsid w:val="000B6784"/>
    <w:rsid w:val="000C1B27"/>
    <w:rsid w:val="000C6376"/>
    <w:rsid w:val="000C6DBC"/>
    <w:rsid w:val="000D056B"/>
    <w:rsid w:val="000D1662"/>
    <w:rsid w:val="000D1B6E"/>
    <w:rsid w:val="000D43E0"/>
    <w:rsid w:val="000D590A"/>
    <w:rsid w:val="000D7923"/>
    <w:rsid w:val="000F1EB1"/>
    <w:rsid w:val="000F68E1"/>
    <w:rsid w:val="000F6E6B"/>
    <w:rsid w:val="000F7205"/>
    <w:rsid w:val="00110BFE"/>
    <w:rsid w:val="00112336"/>
    <w:rsid w:val="00112B4A"/>
    <w:rsid w:val="001174FD"/>
    <w:rsid w:val="00120ABC"/>
    <w:rsid w:val="00121E4D"/>
    <w:rsid w:val="00123D7F"/>
    <w:rsid w:val="001317A6"/>
    <w:rsid w:val="00132FD8"/>
    <w:rsid w:val="00133C8C"/>
    <w:rsid w:val="00135C7C"/>
    <w:rsid w:val="00142AFB"/>
    <w:rsid w:val="00147B61"/>
    <w:rsid w:val="0015466C"/>
    <w:rsid w:val="00172EBA"/>
    <w:rsid w:val="0017574B"/>
    <w:rsid w:val="00176978"/>
    <w:rsid w:val="00191464"/>
    <w:rsid w:val="00191FAE"/>
    <w:rsid w:val="001935A1"/>
    <w:rsid w:val="0019549E"/>
    <w:rsid w:val="001959D9"/>
    <w:rsid w:val="001969AC"/>
    <w:rsid w:val="001A0F70"/>
    <w:rsid w:val="001A228F"/>
    <w:rsid w:val="001A4B83"/>
    <w:rsid w:val="001A5C12"/>
    <w:rsid w:val="001B0EA8"/>
    <w:rsid w:val="001B2E80"/>
    <w:rsid w:val="001B3638"/>
    <w:rsid w:val="001B5020"/>
    <w:rsid w:val="001B7FE1"/>
    <w:rsid w:val="001C11AE"/>
    <w:rsid w:val="001C4043"/>
    <w:rsid w:val="001C54A1"/>
    <w:rsid w:val="001C6AD2"/>
    <w:rsid w:val="001C6B81"/>
    <w:rsid w:val="001C7849"/>
    <w:rsid w:val="001D02F9"/>
    <w:rsid w:val="001D0629"/>
    <w:rsid w:val="001D21CF"/>
    <w:rsid w:val="001D785A"/>
    <w:rsid w:val="001E0C0E"/>
    <w:rsid w:val="001E69DE"/>
    <w:rsid w:val="001E6B7A"/>
    <w:rsid w:val="001F06E4"/>
    <w:rsid w:val="001F35D5"/>
    <w:rsid w:val="001F5EFC"/>
    <w:rsid w:val="001F6029"/>
    <w:rsid w:val="00204A7F"/>
    <w:rsid w:val="0021086A"/>
    <w:rsid w:val="00211FC0"/>
    <w:rsid w:val="00217AF8"/>
    <w:rsid w:val="00217B0B"/>
    <w:rsid w:val="00222562"/>
    <w:rsid w:val="002227D9"/>
    <w:rsid w:val="00222DAC"/>
    <w:rsid w:val="00223169"/>
    <w:rsid w:val="00237C2D"/>
    <w:rsid w:val="00240163"/>
    <w:rsid w:val="002401A2"/>
    <w:rsid w:val="002411AC"/>
    <w:rsid w:val="00241CB2"/>
    <w:rsid w:val="00244A87"/>
    <w:rsid w:val="0024566E"/>
    <w:rsid w:val="00247399"/>
    <w:rsid w:val="00250917"/>
    <w:rsid w:val="00261C57"/>
    <w:rsid w:val="002624F3"/>
    <w:rsid w:val="00263D69"/>
    <w:rsid w:val="00267A68"/>
    <w:rsid w:val="002757DA"/>
    <w:rsid w:val="00280676"/>
    <w:rsid w:val="002837DE"/>
    <w:rsid w:val="00283E5C"/>
    <w:rsid w:val="002937BC"/>
    <w:rsid w:val="002969F7"/>
    <w:rsid w:val="002A2AE4"/>
    <w:rsid w:val="002A6A40"/>
    <w:rsid w:val="002B6F1E"/>
    <w:rsid w:val="002C2A0E"/>
    <w:rsid w:val="002C501B"/>
    <w:rsid w:val="002C767F"/>
    <w:rsid w:val="002D4620"/>
    <w:rsid w:val="002D4698"/>
    <w:rsid w:val="002E0710"/>
    <w:rsid w:val="002E0F56"/>
    <w:rsid w:val="002E21E5"/>
    <w:rsid w:val="002E504D"/>
    <w:rsid w:val="002E6339"/>
    <w:rsid w:val="002E7C56"/>
    <w:rsid w:val="002F0473"/>
    <w:rsid w:val="002F2194"/>
    <w:rsid w:val="002F5022"/>
    <w:rsid w:val="002F6BF0"/>
    <w:rsid w:val="003010E8"/>
    <w:rsid w:val="003021C4"/>
    <w:rsid w:val="00305779"/>
    <w:rsid w:val="00307340"/>
    <w:rsid w:val="003102BE"/>
    <w:rsid w:val="00311532"/>
    <w:rsid w:val="00311813"/>
    <w:rsid w:val="00312D33"/>
    <w:rsid w:val="00313320"/>
    <w:rsid w:val="00317143"/>
    <w:rsid w:val="00331352"/>
    <w:rsid w:val="00341797"/>
    <w:rsid w:val="00342442"/>
    <w:rsid w:val="00342EDA"/>
    <w:rsid w:val="003451E2"/>
    <w:rsid w:val="00345714"/>
    <w:rsid w:val="00350A43"/>
    <w:rsid w:val="00353AAF"/>
    <w:rsid w:val="00355AA1"/>
    <w:rsid w:val="003563EA"/>
    <w:rsid w:val="00361A30"/>
    <w:rsid w:val="003629E8"/>
    <w:rsid w:val="0036511E"/>
    <w:rsid w:val="00366574"/>
    <w:rsid w:val="00373269"/>
    <w:rsid w:val="00380916"/>
    <w:rsid w:val="00381186"/>
    <w:rsid w:val="00384096"/>
    <w:rsid w:val="0039020E"/>
    <w:rsid w:val="00390594"/>
    <w:rsid w:val="00395B18"/>
    <w:rsid w:val="00396921"/>
    <w:rsid w:val="003A174D"/>
    <w:rsid w:val="003A34C8"/>
    <w:rsid w:val="003B4BA8"/>
    <w:rsid w:val="003B760A"/>
    <w:rsid w:val="003B7823"/>
    <w:rsid w:val="003C4DBD"/>
    <w:rsid w:val="003D09B3"/>
    <w:rsid w:val="003D1848"/>
    <w:rsid w:val="003D2A3D"/>
    <w:rsid w:val="003D66B0"/>
    <w:rsid w:val="003E124D"/>
    <w:rsid w:val="003F03B7"/>
    <w:rsid w:val="003F7E50"/>
    <w:rsid w:val="0040067B"/>
    <w:rsid w:val="0040087E"/>
    <w:rsid w:val="00402256"/>
    <w:rsid w:val="0040763C"/>
    <w:rsid w:val="00412BDB"/>
    <w:rsid w:val="0041393A"/>
    <w:rsid w:val="004139E8"/>
    <w:rsid w:val="004147AB"/>
    <w:rsid w:val="00415499"/>
    <w:rsid w:val="00420FE5"/>
    <w:rsid w:val="0042192E"/>
    <w:rsid w:val="00422CB2"/>
    <w:rsid w:val="00424438"/>
    <w:rsid w:val="004249C8"/>
    <w:rsid w:val="00430368"/>
    <w:rsid w:val="00433641"/>
    <w:rsid w:val="00436E9A"/>
    <w:rsid w:val="00437051"/>
    <w:rsid w:val="00441F6A"/>
    <w:rsid w:val="00444BE2"/>
    <w:rsid w:val="00452738"/>
    <w:rsid w:val="004529C1"/>
    <w:rsid w:val="004570D4"/>
    <w:rsid w:val="00464372"/>
    <w:rsid w:val="00465089"/>
    <w:rsid w:val="00466E9B"/>
    <w:rsid w:val="00475A45"/>
    <w:rsid w:val="00480AE8"/>
    <w:rsid w:val="004852C6"/>
    <w:rsid w:val="00490CDE"/>
    <w:rsid w:val="00492EAD"/>
    <w:rsid w:val="00493A4F"/>
    <w:rsid w:val="00495206"/>
    <w:rsid w:val="00497B6B"/>
    <w:rsid w:val="004A07E5"/>
    <w:rsid w:val="004A5FE6"/>
    <w:rsid w:val="004B370B"/>
    <w:rsid w:val="004B47C8"/>
    <w:rsid w:val="004B6462"/>
    <w:rsid w:val="004C1690"/>
    <w:rsid w:val="004C1FE5"/>
    <w:rsid w:val="004C2350"/>
    <w:rsid w:val="004C2C4C"/>
    <w:rsid w:val="004C2E10"/>
    <w:rsid w:val="004C4185"/>
    <w:rsid w:val="004C763E"/>
    <w:rsid w:val="004D0CAA"/>
    <w:rsid w:val="004D3A12"/>
    <w:rsid w:val="004D55A5"/>
    <w:rsid w:val="004D6064"/>
    <w:rsid w:val="004E0BB1"/>
    <w:rsid w:val="004E1314"/>
    <w:rsid w:val="004E723E"/>
    <w:rsid w:val="004F2679"/>
    <w:rsid w:val="004F3249"/>
    <w:rsid w:val="004F7FB6"/>
    <w:rsid w:val="0050799F"/>
    <w:rsid w:val="00507CDC"/>
    <w:rsid w:val="00510165"/>
    <w:rsid w:val="005177FE"/>
    <w:rsid w:val="00521ABD"/>
    <w:rsid w:val="00525D6F"/>
    <w:rsid w:val="005263C7"/>
    <w:rsid w:val="00531087"/>
    <w:rsid w:val="00534CE5"/>
    <w:rsid w:val="005353CC"/>
    <w:rsid w:val="00544BD1"/>
    <w:rsid w:val="00545E3B"/>
    <w:rsid w:val="00547604"/>
    <w:rsid w:val="00553215"/>
    <w:rsid w:val="005557D4"/>
    <w:rsid w:val="005611C6"/>
    <w:rsid w:val="00574E82"/>
    <w:rsid w:val="00575C8B"/>
    <w:rsid w:val="005771C2"/>
    <w:rsid w:val="00580C3D"/>
    <w:rsid w:val="005906A1"/>
    <w:rsid w:val="00593490"/>
    <w:rsid w:val="005A55E6"/>
    <w:rsid w:val="005B700E"/>
    <w:rsid w:val="005B725B"/>
    <w:rsid w:val="005B72A0"/>
    <w:rsid w:val="005C09A0"/>
    <w:rsid w:val="005C59F6"/>
    <w:rsid w:val="005C6078"/>
    <w:rsid w:val="005C6840"/>
    <w:rsid w:val="005D5624"/>
    <w:rsid w:val="005E7CA5"/>
    <w:rsid w:val="005F1A72"/>
    <w:rsid w:val="005F3FA0"/>
    <w:rsid w:val="005F55EA"/>
    <w:rsid w:val="005F6307"/>
    <w:rsid w:val="005F64D6"/>
    <w:rsid w:val="005F6DA6"/>
    <w:rsid w:val="00603267"/>
    <w:rsid w:val="00604B10"/>
    <w:rsid w:val="006108B7"/>
    <w:rsid w:val="006129EB"/>
    <w:rsid w:val="00615523"/>
    <w:rsid w:val="006166E2"/>
    <w:rsid w:val="00621758"/>
    <w:rsid w:val="00627316"/>
    <w:rsid w:val="0063009E"/>
    <w:rsid w:val="00632CEA"/>
    <w:rsid w:val="00636C08"/>
    <w:rsid w:val="00640B79"/>
    <w:rsid w:val="006413BE"/>
    <w:rsid w:val="006419A6"/>
    <w:rsid w:val="00642F67"/>
    <w:rsid w:val="00644FBF"/>
    <w:rsid w:val="006450E4"/>
    <w:rsid w:val="00645117"/>
    <w:rsid w:val="00645A35"/>
    <w:rsid w:val="00647FEA"/>
    <w:rsid w:val="0065082E"/>
    <w:rsid w:val="00660D6F"/>
    <w:rsid w:val="00661649"/>
    <w:rsid w:val="0066368D"/>
    <w:rsid w:val="006650B9"/>
    <w:rsid w:val="00676DCC"/>
    <w:rsid w:val="006809B4"/>
    <w:rsid w:val="00681D07"/>
    <w:rsid w:val="00681E75"/>
    <w:rsid w:val="006825A3"/>
    <w:rsid w:val="00683606"/>
    <w:rsid w:val="006861D0"/>
    <w:rsid w:val="00686352"/>
    <w:rsid w:val="006935FA"/>
    <w:rsid w:val="0069394F"/>
    <w:rsid w:val="006A6EA5"/>
    <w:rsid w:val="006B0F83"/>
    <w:rsid w:val="006B2295"/>
    <w:rsid w:val="006B7650"/>
    <w:rsid w:val="006C4F01"/>
    <w:rsid w:val="006C5146"/>
    <w:rsid w:val="006D6C08"/>
    <w:rsid w:val="006D7140"/>
    <w:rsid w:val="006E3FE5"/>
    <w:rsid w:val="006E626D"/>
    <w:rsid w:val="006F4571"/>
    <w:rsid w:val="007009FA"/>
    <w:rsid w:val="00700E11"/>
    <w:rsid w:val="00701B5B"/>
    <w:rsid w:val="007044F1"/>
    <w:rsid w:val="00705FC3"/>
    <w:rsid w:val="007072FB"/>
    <w:rsid w:val="00710D89"/>
    <w:rsid w:val="0071244A"/>
    <w:rsid w:val="00712632"/>
    <w:rsid w:val="007127EB"/>
    <w:rsid w:val="007132EA"/>
    <w:rsid w:val="0071638F"/>
    <w:rsid w:val="00717BFC"/>
    <w:rsid w:val="00721070"/>
    <w:rsid w:val="00725410"/>
    <w:rsid w:val="00727ACB"/>
    <w:rsid w:val="00731A29"/>
    <w:rsid w:val="00734E76"/>
    <w:rsid w:val="0073503E"/>
    <w:rsid w:val="007356C8"/>
    <w:rsid w:val="00736E4B"/>
    <w:rsid w:val="00737537"/>
    <w:rsid w:val="00740004"/>
    <w:rsid w:val="00741AF2"/>
    <w:rsid w:val="00742536"/>
    <w:rsid w:val="007463AA"/>
    <w:rsid w:val="00746E89"/>
    <w:rsid w:val="0075113C"/>
    <w:rsid w:val="0075185C"/>
    <w:rsid w:val="00752E8F"/>
    <w:rsid w:val="00753636"/>
    <w:rsid w:val="00762450"/>
    <w:rsid w:val="007624F6"/>
    <w:rsid w:val="0076302B"/>
    <w:rsid w:val="007701F5"/>
    <w:rsid w:val="00773814"/>
    <w:rsid w:val="00780F36"/>
    <w:rsid w:val="00795562"/>
    <w:rsid w:val="00796900"/>
    <w:rsid w:val="00797E18"/>
    <w:rsid w:val="007A3781"/>
    <w:rsid w:val="007A58AE"/>
    <w:rsid w:val="007B00C4"/>
    <w:rsid w:val="007B0D4F"/>
    <w:rsid w:val="007B1E38"/>
    <w:rsid w:val="007B5CA6"/>
    <w:rsid w:val="007C1D26"/>
    <w:rsid w:val="007C2FFF"/>
    <w:rsid w:val="007D05B4"/>
    <w:rsid w:val="007D2186"/>
    <w:rsid w:val="007D22C8"/>
    <w:rsid w:val="007D260E"/>
    <w:rsid w:val="007D2CAA"/>
    <w:rsid w:val="007D7D49"/>
    <w:rsid w:val="007E006B"/>
    <w:rsid w:val="007E02A8"/>
    <w:rsid w:val="007E14FE"/>
    <w:rsid w:val="007E5941"/>
    <w:rsid w:val="007F1770"/>
    <w:rsid w:val="00801E31"/>
    <w:rsid w:val="00802D2F"/>
    <w:rsid w:val="008049A3"/>
    <w:rsid w:val="008108CF"/>
    <w:rsid w:val="00813215"/>
    <w:rsid w:val="0081546C"/>
    <w:rsid w:val="00815912"/>
    <w:rsid w:val="00815A2A"/>
    <w:rsid w:val="00821886"/>
    <w:rsid w:val="00821D6E"/>
    <w:rsid w:val="008234E6"/>
    <w:rsid w:val="00826E86"/>
    <w:rsid w:val="00827192"/>
    <w:rsid w:val="00831C5B"/>
    <w:rsid w:val="008323D4"/>
    <w:rsid w:val="00832443"/>
    <w:rsid w:val="00832A9B"/>
    <w:rsid w:val="00833DE1"/>
    <w:rsid w:val="00835E7D"/>
    <w:rsid w:val="00842E16"/>
    <w:rsid w:val="00853C99"/>
    <w:rsid w:val="0085637B"/>
    <w:rsid w:val="0086319A"/>
    <w:rsid w:val="00871EAC"/>
    <w:rsid w:val="00875DB4"/>
    <w:rsid w:val="00876001"/>
    <w:rsid w:val="00881CCA"/>
    <w:rsid w:val="0088687C"/>
    <w:rsid w:val="008877A1"/>
    <w:rsid w:val="00893837"/>
    <w:rsid w:val="008943D9"/>
    <w:rsid w:val="0089576A"/>
    <w:rsid w:val="008A262E"/>
    <w:rsid w:val="008A4740"/>
    <w:rsid w:val="008B185B"/>
    <w:rsid w:val="008C1062"/>
    <w:rsid w:val="008C1BAB"/>
    <w:rsid w:val="008C326C"/>
    <w:rsid w:val="008C7935"/>
    <w:rsid w:val="008D44E6"/>
    <w:rsid w:val="008D4C94"/>
    <w:rsid w:val="008D5550"/>
    <w:rsid w:val="008E0F0C"/>
    <w:rsid w:val="008E23BB"/>
    <w:rsid w:val="008E2629"/>
    <w:rsid w:val="008F3005"/>
    <w:rsid w:val="008F3D4C"/>
    <w:rsid w:val="008F64EA"/>
    <w:rsid w:val="00900E47"/>
    <w:rsid w:val="009046C9"/>
    <w:rsid w:val="009055B9"/>
    <w:rsid w:val="00905679"/>
    <w:rsid w:val="00906138"/>
    <w:rsid w:val="009173C6"/>
    <w:rsid w:val="009202D7"/>
    <w:rsid w:val="00923A7A"/>
    <w:rsid w:val="00925130"/>
    <w:rsid w:val="00934F04"/>
    <w:rsid w:val="009351DA"/>
    <w:rsid w:val="0094292F"/>
    <w:rsid w:val="009459AB"/>
    <w:rsid w:val="00945F4C"/>
    <w:rsid w:val="009478F4"/>
    <w:rsid w:val="00950908"/>
    <w:rsid w:val="00952C1B"/>
    <w:rsid w:val="00953A6D"/>
    <w:rsid w:val="00957930"/>
    <w:rsid w:val="009629CF"/>
    <w:rsid w:val="00962FA6"/>
    <w:rsid w:val="0097599B"/>
    <w:rsid w:val="009767F9"/>
    <w:rsid w:val="00977BE7"/>
    <w:rsid w:val="00977C07"/>
    <w:rsid w:val="00977E68"/>
    <w:rsid w:val="00981768"/>
    <w:rsid w:val="009832F0"/>
    <w:rsid w:val="00983C22"/>
    <w:rsid w:val="00985223"/>
    <w:rsid w:val="0098734E"/>
    <w:rsid w:val="00997CF0"/>
    <w:rsid w:val="009A1190"/>
    <w:rsid w:val="009A2CC2"/>
    <w:rsid w:val="009A699B"/>
    <w:rsid w:val="009A6A9A"/>
    <w:rsid w:val="009B1187"/>
    <w:rsid w:val="009B4FFE"/>
    <w:rsid w:val="009B7754"/>
    <w:rsid w:val="009C06E7"/>
    <w:rsid w:val="009C0997"/>
    <w:rsid w:val="009C5A60"/>
    <w:rsid w:val="009C6AB2"/>
    <w:rsid w:val="009D01D5"/>
    <w:rsid w:val="009D6875"/>
    <w:rsid w:val="009E1620"/>
    <w:rsid w:val="009E1823"/>
    <w:rsid w:val="009E18A7"/>
    <w:rsid w:val="009E5433"/>
    <w:rsid w:val="009E617B"/>
    <w:rsid w:val="009E73E8"/>
    <w:rsid w:val="009E746E"/>
    <w:rsid w:val="009F0D67"/>
    <w:rsid w:val="009F2D75"/>
    <w:rsid w:val="00A00F55"/>
    <w:rsid w:val="00A025FA"/>
    <w:rsid w:val="00A06160"/>
    <w:rsid w:val="00A063BC"/>
    <w:rsid w:val="00A103F9"/>
    <w:rsid w:val="00A118C9"/>
    <w:rsid w:val="00A15830"/>
    <w:rsid w:val="00A20413"/>
    <w:rsid w:val="00A20A72"/>
    <w:rsid w:val="00A20F97"/>
    <w:rsid w:val="00A22678"/>
    <w:rsid w:val="00A277E2"/>
    <w:rsid w:val="00A30A07"/>
    <w:rsid w:val="00A32EC1"/>
    <w:rsid w:val="00A349DF"/>
    <w:rsid w:val="00A34F53"/>
    <w:rsid w:val="00A36ED4"/>
    <w:rsid w:val="00A51DFF"/>
    <w:rsid w:val="00A52D99"/>
    <w:rsid w:val="00A545E4"/>
    <w:rsid w:val="00A54A5D"/>
    <w:rsid w:val="00A63404"/>
    <w:rsid w:val="00A63E87"/>
    <w:rsid w:val="00A70F99"/>
    <w:rsid w:val="00A848E6"/>
    <w:rsid w:val="00A85202"/>
    <w:rsid w:val="00A858E0"/>
    <w:rsid w:val="00A92D27"/>
    <w:rsid w:val="00A940CE"/>
    <w:rsid w:val="00A96923"/>
    <w:rsid w:val="00AA2228"/>
    <w:rsid w:val="00AB13F1"/>
    <w:rsid w:val="00AC5181"/>
    <w:rsid w:val="00AD32D1"/>
    <w:rsid w:val="00AD3475"/>
    <w:rsid w:val="00AD63C7"/>
    <w:rsid w:val="00AD761D"/>
    <w:rsid w:val="00AE4602"/>
    <w:rsid w:val="00AE5B7B"/>
    <w:rsid w:val="00AE7300"/>
    <w:rsid w:val="00AF275E"/>
    <w:rsid w:val="00AF2AE8"/>
    <w:rsid w:val="00AF4C23"/>
    <w:rsid w:val="00AF52C8"/>
    <w:rsid w:val="00AF7494"/>
    <w:rsid w:val="00B0137B"/>
    <w:rsid w:val="00B11B64"/>
    <w:rsid w:val="00B11F4A"/>
    <w:rsid w:val="00B1281A"/>
    <w:rsid w:val="00B1729B"/>
    <w:rsid w:val="00B2480F"/>
    <w:rsid w:val="00B2543D"/>
    <w:rsid w:val="00B26DFE"/>
    <w:rsid w:val="00B33256"/>
    <w:rsid w:val="00B358BF"/>
    <w:rsid w:val="00B4154E"/>
    <w:rsid w:val="00B42505"/>
    <w:rsid w:val="00B47B7B"/>
    <w:rsid w:val="00B50ACA"/>
    <w:rsid w:val="00B57BEA"/>
    <w:rsid w:val="00B61C90"/>
    <w:rsid w:val="00B63766"/>
    <w:rsid w:val="00B63B25"/>
    <w:rsid w:val="00B646AB"/>
    <w:rsid w:val="00B66311"/>
    <w:rsid w:val="00B66AA9"/>
    <w:rsid w:val="00B6701E"/>
    <w:rsid w:val="00B67BF7"/>
    <w:rsid w:val="00B76455"/>
    <w:rsid w:val="00B80063"/>
    <w:rsid w:val="00B80A20"/>
    <w:rsid w:val="00B80E65"/>
    <w:rsid w:val="00B82E6E"/>
    <w:rsid w:val="00B838D3"/>
    <w:rsid w:val="00B8419C"/>
    <w:rsid w:val="00B951F9"/>
    <w:rsid w:val="00B95481"/>
    <w:rsid w:val="00B9656F"/>
    <w:rsid w:val="00B9740A"/>
    <w:rsid w:val="00BA0549"/>
    <w:rsid w:val="00BA0CC6"/>
    <w:rsid w:val="00BA20AF"/>
    <w:rsid w:val="00BA280B"/>
    <w:rsid w:val="00BA329A"/>
    <w:rsid w:val="00BA34CD"/>
    <w:rsid w:val="00BB0136"/>
    <w:rsid w:val="00BB53F5"/>
    <w:rsid w:val="00BB5DDE"/>
    <w:rsid w:val="00BB6264"/>
    <w:rsid w:val="00BB643D"/>
    <w:rsid w:val="00BB712F"/>
    <w:rsid w:val="00BC1F31"/>
    <w:rsid w:val="00BC5A6A"/>
    <w:rsid w:val="00BC6B1C"/>
    <w:rsid w:val="00BC75C7"/>
    <w:rsid w:val="00BD19DC"/>
    <w:rsid w:val="00BD320D"/>
    <w:rsid w:val="00BD3E2F"/>
    <w:rsid w:val="00BD4095"/>
    <w:rsid w:val="00BD5EE4"/>
    <w:rsid w:val="00BE01A0"/>
    <w:rsid w:val="00BE199D"/>
    <w:rsid w:val="00BE22D5"/>
    <w:rsid w:val="00BE3B33"/>
    <w:rsid w:val="00BE44BE"/>
    <w:rsid w:val="00BE6F0C"/>
    <w:rsid w:val="00BE786A"/>
    <w:rsid w:val="00BE7FA5"/>
    <w:rsid w:val="00BF68C4"/>
    <w:rsid w:val="00C00B24"/>
    <w:rsid w:val="00C014FE"/>
    <w:rsid w:val="00C01FB2"/>
    <w:rsid w:val="00C04EB1"/>
    <w:rsid w:val="00C167DC"/>
    <w:rsid w:val="00C17012"/>
    <w:rsid w:val="00C24F13"/>
    <w:rsid w:val="00C2519C"/>
    <w:rsid w:val="00C339C2"/>
    <w:rsid w:val="00C436DB"/>
    <w:rsid w:val="00C51319"/>
    <w:rsid w:val="00C53891"/>
    <w:rsid w:val="00C548EA"/>
    <w:rsid w:val="00C56444"/>
    <w:rsid w:val="00C61248"/>
    <w:rsid w:val="00C6266D"/>
    <w:rsid w:val="00C6352E"/>
    <w:rsid w:val="00C6528D"/>
    <w:rsid w:val="00C6611E"/>
    <w:rsid w:val="00C71EB8"/>
    <w:rsid w:val="00C72B78"/>
    <w:rsid w:val="00C73464"/>
    <w:rsid w:val="00C74C43"/>
    <w:rsid w:val="00C763B8"/>
    <w:rsid w:val="00C80657"/>
    <w:rsid w:val="00C82DCF"/>
    <w:rsid w:val="00C92382"/>
    <w:rsid w:val="00C95B01"/>
    <w:rsid w:val="00C97535"/>
    <w:rsid w:val="00CA045B"/>
    <w:rsid w:val="00CA0875"/>
    <w:rsid w:val="00CA36A0"/>
    <w:rsid w:val="00CA67B5"/>
    <w:rsid w:val="00CA6AF3"/>
    <w:rsid w:val="00CA7FC8"/>
    <w:rsid w:val="00CB2CD7"/>
    <w:rsid w:val="00CC168A"/>
    <w:rsid w:val="00CC27C0"/>
    <w:rsid w:val="00CC2829"/>
    <w:rsid w:val="00CC52DE"/>
    <w:rsid w:val="00CC5FD9"/>
    <w:rsid w:val="00CC6FDF"/>
    <w:rsid w:val="00CD1743"/>
    <w:rsid w:val="00CD188C"/>
    <w:rsid w:val="00CD1DDE"/>
    <w:rsid w:val="00CD502A"/>
    <w:rsid w:val="00CF16F6"/>
    <w:rsid w:val="00CF594A"/>
    <w:rsid w:val="00CF634A"/>
    <w:rsid w:val="00D051A2"/>
    <w:rsid w:val="00D05604"/>
    <w:rsid w:val="00D07699"/>
    <w:rsid w:val="00D15B87"/>
    <w:rsid w:val="00D16F84"/>
    <w:rsid w:val="00D20876"/>
    <w:rsid w:val="00D213C4"/>
    <w:rsid w:val="00D26B84"/>
    <w:rsid w:val="00D3095A"/>
    <w:rsid w:val="00D30BA6"/>
    <w:rsid w:val="00D32A28"/>
    <w:rsid w:val="00D33327"/>
    <w:rsid w:val="00D349BD"/>
    <w:rsid w:val="00D37CC0"/>
    <w:rsid w:val="00D437D5"/>
    <w:rsid w:val="00D4508D"/>
    <w:rsid w:val="00D47167"/>
    <w:rsid w:val="00D47935"/>
    <w:rsid w:val="00D5035D"/>
    <w:rsid w:val="00D510C3"/>
    <w:rsid w:val="00D53EAF"/>
    <w:rsid w:val="00D559C2"/>
    <w:rsid w:val="00D575F4"/>
    <w:rsid w:val="00D60958"/>
    <w:rsid w:val="00D6128D"/>
    <w:rsid w:val="00D61AD7"/>
    <w:rsid w:val="00D639D9"/>
    <w:rsid w:val="00D645AC"/>
    <w:rsid w:val="00D67DDF"/>
    <w:rsid w:val="00D705AF"/>
    <w:rsid w:val="00D71413"/>
    <w:rsid w:val="00D7596D"/>
    <w:rsid w:val="00D80ADF"/>
    <w:rsid w:val="00D81DCC"/>
    <w:rsid w:val="00D87D4F"/>
    <w:rsid w:val="00D9050E"/>
    <w:rsid w:val="00D90815"/>
    <w:rsid w:val="00D93044"/>
    <w:rsid w:val="00DA4149"/>
    <w:rsid w:val="00DA57AD"/>
    <w:rsid w:val="00DA7093"/>
    <w:rsid w:val="00DA751A"/>
    <w:rsid w:val="00DB2D8C"/>
    <w:rsid w:val="00DB38C2"/>
    <w:rsid w:val="00DB45EC"/>
    <w:rsid w:val="00DB5130"/>
    <w:rsid w:val="00DB68F2"/>
    <w:rsid w:val="00DC0E62"/>
    <w:rsid w:val="00DC77F8"/>
    <w:rsid w:val="00DE26C3"/>
    <w:rsid w:val="00DE2AB0"/>
    <w:rsid w:val="00DE69AB"/>
    <w:rsid w:val="00DE7135"/>
    <w:rsid w:val="00DF278A"/>
    <w:rsid w:val="00DF3F92"/>
    <w:rsid w:val="00E0050D"/>
    <w:rsid w:val="00E012FC"/>
    <w:rsid w:val="00E047C9"/>
    <w:rsid w:val="00E05390"/>
    <w:rsid w:val="00E0543D"/>
    <w:rsid w:val="00E06899"/>
    <w:rsid w:val="00E07937"/>
    <w:rsid w:val="00E101AF"/>
    <w:rsid w:val="00E12E01"/>
    <w:rsid w:val="00E13939"/>
    <w:rsid w:val="00E22AC4"/>
    <w:rsid w:val="00E23BAE"/>
    <w:rsid w:val="00E244E8"/>
    <w:rsid w:val="00E25482"/>
    <w:rsid w:val="00E256E5"/>
    <w:rsid w:val="00E3236A"/>
    <w:rsid w:val="00E35CDB"/>
    <w:rsid w:val="00E362F6"/>
    <w:rsid w:val="00E422F3"/>
    <w:rsid w:val="00E42A84"/>
    <w:rsid w:val="00E44872"/>
    <w:rsid w:val="00E44C9E"/>
    <w:rsid w:val="00E452AF"/>
    <w:rsid w:val="00E5312D"/>
    <w:rsid w:val="00E53134"/>
    <w:rsid w:val="00E55FC1"/>
    <w:rsid w:val="00E72A1C"/>
    <w:rsid w:val="00E75C83"/>
    <w:rsid w:val="00E83A77"/>
    <w:rsid w:val="00E84924"/>
    <w:rsid w:val="00E85157"/>
    <w:rsid w:val="00E87B6F"/>
    <w:rsid w:val="00EA048C"/>
    <w:rsid w:val="00EA2A02"/>
    <w:rsid w:val="00EA7412"/>
    <w:rsid w:val="00EB41D8"/>
    <w:rsid w:val="00EB53DB"/>
    <w:rsid w:val="00EB5ED2"/>
    <w:rsid w:val="00EB6767"/>
    <w:rsid w:val="00EB7C8D"/>
    <w:rsid w:val="00EC0717"/>
    <w:rsid w:val="00ED4ADA"/>
    <w:rsid w:val="00ED59E0"/>
    <w:rsid w:val="00EE042C"/>
    <w:rsid w:val="00EE2336"/>
    <w:rsid w:val="00EE3527"/>
    <w:rsid w:val="00EE498F"/>
    <w:rsid w:val="00EE4F47"/>
    <w:rsid w:val="00EE52BC"/>
    <w:rsid w:val="00EE79E4"/>
    <w:rsid w:val="00EF52E0"/>
    <w:rsid w:val="00EF62A5"/>
    <w:rsid w:val="00EF72A2"/>
    <w:rsid w:val="00EF7AFB"/>
    <w:rsid w:val="00F1215F"/>
    <w:rsid w:val="00F14A1C"/>
    <w:rsid w:val="00F16688"/>
    <w:rsid w:val="00F25787"/>
    <w:rsid w:val="00F25F42"/>
    <w:rsid w:val="00F31933"/>
    <w:rsid w:val="00F34ABB"/>
    <w:rsid w:val="00F4396D"/>
    <w:rsid w:val="00F43AC8"/>
    <w:rsid w:val="00F469EE"/>
    <w:rsid w:val="00F500B3"/>
    <w:rsid w:val="00F5070A"/>
    <w:rsid w:val="00F67845"/>
    <w:rsid w:val="00F82555"/>
    <w:rsid w:val="00F84527"/>
    <w:rsid w:val="00F85771"/>
    <w:rsid w:val="00F9432B"/>
    <w:rsid w:val="00F95E7B"/>
    <w:rsid w:val="00F97867"/>
    <w:rsid w:val="00FA10FC"/>
    <w:rsid w:val="00FA39D2"/>
    <w:rsid w:val="00FA5CD5"/>
    <w:rsid w:val="00FA7D94"/>
    <w:rsid w:val="00FB1CFF"/>
    <w:rsid w:val="00FB2E5E"/>
    <w:rsid w:val="00FB42D5"/>
    <w:rsid w:val="00FB62FB"/>
    <w:rsid w:val="00FB7243"/>
    <w:rsid w:val="00FC16C8"/>
    <w:rsid w:val="00FC3488"/>
    <w:rsid w:val="00FC4968"/>
    <w:rsid w:val="00FC67E5"/>
    <w:rsid w:val="00FD4E55"/>
    <w:rsid w:val="00FD51EA"/>
    <w:rsid w:val="00FE4454"/>
    <w:rsid w:val="00FE4D14"/>
    <w:rsid w:val="00FE5FE3"/>
    <w:rsid w:val="00FE773A"/>
    <w:rsid w:val="00FF045D"/>
    <w:rsid w:val="00FF5366"/>
    <w:rsid w:val="00FF57AD"/>
    <w:rsid w:val="01DF79C5"/>
    <w:rsid w:val="02D12E6F"/>
    <w:rsid w:val="03232102"/>
    <w:rsid w:val="03393105"/>
    <w:rsid w:val="037F1A70"/>
    <w:rsid w:val="03A569EC"/>
    <w:rsid w:val="053578FC"/>
    <w:rsid w:val="053B0AAF"/>
    <w:rsid w:val="053C512E"/>
    <w:rsid w:val="056D55F6"/>
    <w:rsid w:val="058D1570"/>
    <w:rsid w:val="05C70D97"/>
    <w:rsid w:val="05FD4A2D"/>
    <w:rsid w:val="06E74905"/>
    <w:rsid w:val="0869448C"/>
    <w:rsid w:val="08B823D5"/>
    <w:rsid w:val="08F04266"/>
    <w:rsid w:val="09454877"/>
    <w:rsid w:val="09A017D8"/>
    <w:rsid w:val="09CC7F24"/>
    <w:rsid w:val="0A1E28E6"/>
    <w:rsid w:val="0A9C2466"/>
    <w:rsid w:val="0A9E7CF1"/>
    <w:rsid w:val="0ADC5738"/>
    <w:rsid w:val="0AFB2C0F"/>
    <w:rsid w:val="0B70541A"/>
    <w:rsid w:val="0B8B6B92"/>
    <w:rsid w:val="0B9568F1"/>
    <w:rsid w:val="0C632FA1"/>
    <w:rsid w:val="0D5758FA"/>
    <w:rsid w:val="0D7A67F4"/>
    <w:rsid w:val="0DC423E0"/>
    <w:rsid w:val="0DF540CC"/>
    <w:rsid w:val="0E105E0E"/>
    <w:rsid w:val="0F255367"/>
    <w:rsid w:val="0F8554ED"/>
    <w:rsid w:val="0F8E47D8"/>
    <w:rsid w:val="0FF25A25"/>
    <w:rsid w:val="100C055E"/>
    <w:rsid w:val="101F0F07"/>
    <w:rsid w:val="104D01F0"/>
    <w:rsid w:val="10977370"/>
    <w:rsid w:val="10BC7123"/>
    <w:rsid w:val="10EC0380"/>
    <w:rsid w:val="11120B2B"/>
    <w:rsid w:val="114535BD"/>
    <w:rsid w:val="12080656"/>
    <w:rsid w:val="12483364"/>
    <w:rsid w:val="127D025B"/>
    <w:rsid w:val="12BA546E"/>
    <w:rsid w:val="13286518"/>
    <w:rsid w:val="13AD4172"/>
    <w:rsid w:val="13FD5657"/>
    <w:rsid w:val="140D5ACB"/>
    <w:rsid w:val="14A140BF"/>
    <w:rsid w:val="15035321"/>
    <w:rsid w:val="1598015F"/>
    <w:rsid w:val="15D33106"/>
    <w:rsid w:val="163E2AD9"/>
    <w:rsid w:val="170F2E28"/>
    <w:rsid w:val="18496038"/>
    <w:rsid w:val="187A6CED"/>
    <w:rsid w:val="197E7326"/>
    <w:rsid w:val="1A376ABB"/>
    <w:rsid w:val="1A4E313B"/>
    <w:rsid w:val="1AC83294"/>
    <w:rsid w:val="1B087B35"/>
    <w:rsid w:val="1D6F75F2"/>
    <w:rsid w:val="1DB4365C"/>
    <w:rsid w:val="1E122A78"/>
    <w:rsid w:val="1EA23DFC"/>
    <w:rsid w:val="1EBC7AA1"/>
    <w:rsid w:val="1F65031A"/>
    <w:rsid w:val="20A756FA"/>
    <w:rsid w:val="21E1671F"/>
    <w:rsid w:val="23600C86"/>
    <w:rsid w:val="24540F0B"/>
    <w:rsid w:val="247930D8"/>
    <w:rsid w:val="251217FD"/>
    <w:rsid w:val="25643BBA"/>
    <w:rsid w:val="25764068"/>
    <w:rsid w:val="258C50F4"/>
    <w:rsid w:val="258E256B"/>
    <w:rsid w:val="25900E53"/>
    <w:rsid w:val="25B049BE"/>
    <w:rsid w:val="25B763DF"/>
    <w:rsid w:val="260625A9"/>
    <w:rsid w:val="26274D25"/>
    <w:rsid w:val="26865DB2"/>
    <w:rsid w:val="275817E1"/>
    <w:rsid w:val="27800BEA"/>
    <w:rsid w:val="28306FBE"/>
    <w:rsid w:val="284C627B"/>
    <w:rsid w:val="28717098"/>
    <w:rsid w:val="28D330CF"/>
    <w:rsid w:val="28F65471"/>
    <w:rsid w:val="295A3164"/>
    <w:rsid w:val="2B195446"/>
    <w:rsid w:val="2BBE1C86"/>
    <w:rsid w:val="2BC5737C"/>
    <w:rsid w:val="2BD057E2"/>
    <w:rsid w:val="2BDA2E28"/>
    <w:rsid w:val="2C7B6301"/>
    <w:rsid w:val="2CCA605A"/>
    <w:rsid w:val="2CCD0296"/>
    <w:rsid w:val="2D122EB9"/>
    <w:rsid w:val="2D12336A"/>
    <w:rsid w:val="2D406CBA"/>
    <w:rsid w:val="2ECD615D"/>
    <w:rsid w:val="2F7F718A"/>
    <w:rsid w:val="2F8A0996"/>
    <w:rsid w:val="2FE50E66"/>
    <w:rsid w:val="300C37CC"/>
    <w:rsid w:val="30C80F96"/>
    <w:rsid w:val="30DA350B"/>
    <w:rsid w:val="31407818"/>
    <w:rsid w:val="31684A32"/>
    <w:rsid w:val="31771119"/>
    <w:rsid w:val="31B4181F"/>
    <w:rsid w:val="320922FF"/>
    <w:rsid w:val="32147EFA"/>
    <w:rsid w:val="325E7BE3"/>
    <w:rsid w:val="333F2E0A"/>
    <w:rsid w:val="33AA7494"/>
    <w:rsid w:val="343C3F54"/>
    <w:rsid w:val="34733E19"/>
    <w:rsid w:val="347C27D9"/>
    <w:rsid w:val="34F4260B"/>
    <w:rsid w:val="34FB1B65"/>
    <w:rsid w:val="353C420B"/>
    <w:rsid w:val="359936C4"/>
    <w:rsid w:val="35AD6EB7"/>
    <w:rsid w:val="365F05C0"/>
    <w:rsid w:val="36DD0389"/>
    <w:rsid w:val="381E1435"/>
    <w:rsid w:val="38726D25"/>
    <w:rsid w:val="38DB750D"/>
    <w:rsid w:val="38F33212"/>
    <w:rsid w:val="394723EF"/>
    <w:rsid w:val="39B76556"/>
    <w:rsid w:val="3A2C5B30"/>
    <w:rsid w:val="3B3846C2"/>
    <w:rsid w:val="3BD91D56"/>
    <w:rsid w:val="3BDE24FE"/>
    <w:rsid w:val="3BE43358"/>
    <w:rsid w:val="3C326368"/>
    <w:rsid w:val="3CA07750"/>
    <w:rsid w:val="3D1A42D1"/>
    <w:rsid w:val="3DAE7C70"/>
    <w:rsid w:val="3DCC459A"/>
    <w:rsid w:val="3E1B3C71"/>
    <w:rsid w:val="3E220CF9"/>
    <w:rsid w:val="3E2F3189"/>
    <w:rsid w:val="40063244"/>
    <w:rsid w:val="403943B3"/>
    <w:rsid w:val="40741BEA"/>
    <w:rsid w:val="4074321D"/>
    <w:rsid w:val="40E9308C"/>
    <w:rsid w:val="40EF4858"/>
    <w:rsid w:val="410F39F1"/>
    <w:rsid w:val="41B415CD"/>
    <w:rsid w:val="42AE0712"/>
    <w:rsid w:val="42B51AA1"/>
    <w:rsid w:val="42F56849"/>
    <w:rsid w:val="43755AEC"/>
    <w:rsid w:val="438C112A"/>
    <w:rsid w:val="43EA4E41"/>
    <w:rsid w:val="449C4CC6"/>
    <w:rsid w:val="45462E84"/>
    <w:rsid w:val="45531A1A"/>
    <w:rsid w:val="47721D0E"/>
    <w:rsid w:val="480C3F11"/>
    <w:rsid w:val="48482A6F"/>
    <w:rsid w:val="493E459E"/>
    <w:rsid w:val="4A4B2304"/>
    <w:rsid w:val="4B857DCA"/>
    <w:rsid w:val="4B9366F7"/>
    <w:rsid w:val="4BB6767D"/>
    <w:rsid w:val="4BC92C81"/>
    <w:rsid w:val="4BDE3E16"/>
    <w:rsid w:val="4EEB463D"/>
    <w:rsid w:val="4F0A6CD0"/>
    <w:rsid w:val="4F654B9D"/>
    <w:rsid w:val="4FA41E65"/>
    <w:rsid w:val="500F0A42"/>
    <w:rsid w:val="50287F84"/>
    <w:rsid w:val="5066262C"/>
    <w:rsid w:val="5066789F"/>
    <w:rsid w:val="508F0048"/>
    <w:rsid w:val="50EF2D57"/>
    <w:rsid w:val="517D376B"/>
    <w:rsid w:val="518F170F"/>
    <w:rsid w:val="5200419C"/>
    <w:rsid w:val="52416EAD"/>
    <w:rsid w:val="5277467D"/>
    <w:rsid w:val="52A5743C"/>
    <w:rsid w:val="53AC6661"/>
    <w:rsid w:val="53E356FF"/>
    <w:rsid w:val="54244390"/>
    <w:rsid w:val="545C1D7C"/>
    <w:rsid w:val="54E8371F"/>
    <w:rsid w:val="54EB3100"/>
    <w:rsid w:val="54ED50CA"/>
    <w:rsid w:val="553951D0"/>
    <w:rsid w:val="557219C2"/>
    <w:rsid w:val="55A50C69"/>
    <w:rsid w:val="55AD595E"/>
    <w:rsid w:val="55BD4A9D"/>
    <w:rsid w:val="56284281"/>
    <w:rsid w:val="56552122"/>
    <w:rsid w:val="567F6E75"/>
    <w:rsid w:val="56A143BE"/>
    <w:rsid w:val="57713D91"/>
    <w:rsid w:val="594C0BCC"/>
    <w:rsid w:val="5A1D0200"/>
    <w:rsid w:val="5A820063"/>
    <w:rsid w:val="5AA17A6F"/>
    <w:rsid w:val="5B084A0C"/>
    <w:rsid w:val="5B3255E5"/>
    <w:rsid w:val="5B394BC5"/>
    <w:rsid w:val="5B77749C"/>
    <w:rsid w:val="5C75446B"/>
    <w:rsid w:val="5C9003EA"/>
    <w:rsid w:val="5D073263"/>
    <w:rsid w:val="5D5A5582"/>
    <w:rsid w:val="5D8D464B"/>
    <w:rsid w:val="5DCF1811"/>
    <w:rsid w:val="5E21735D"/>
    <w:rsid w:val="5E385316"/>
    <w:rsid w:val="5F21606B"/>
    <w:rsid w:val="5F4104EC"/>
    <w:rsid w:val="5F5D5DA2"/>
    <w:rsid w:val="5FBA81F2"/>
    <w:rsid w:val="5FFB6D18"/>
    <w:rsid w:val="607D7279"/>
    <w:rsid w:val="60C5514D"/>
    <w:rsid w:val="60D55390"/>
    <w:rsid w:val="60EE7D2A"/>
    <w:rsid w:val="61077959"/>
    <w:rsid w:val="613876CD"/>
    <w:rsid w:val="61453A27"/>
    <w:rsid w:val="61690053"/>
    <w:rsid w:val="61D07906"/>
    <w:rsid w:val="61DB1D99"/>
    <w:rsid w:val="625427A2"/>
    <w:rsid w:val="62DE6052"/>
    <w:rsid w:val="630A6E47"/>
    <w:rsid w:val="6310019E"/>
    <w:rsid w:val="63882384"/>
    <w:rsid w:val="642D54E3"/>
    <w:rsid w:val="644E2F7F"/>
    <w:rsid w:val="64503F8C"/>
    <w:rsid w:val="65472703"/>
    <w:rsid w:val="66E225B5"/>
    <w:rsid w:val="67944EC0"/>
    <w:rsid w:val="67D5211A"/>
    <w:rsid w:val="67D55C76"/>
    <w:rsid w:val="6817268D"/>
    <w:rsid w:val="68486477"/>
    <w:rsid w:val="68892A22"/>
    <w:rsid w:val="6B3E35C2"/>
    <w:rsid w:val="6B65048D"/>
    <w:rsid w:val="6BB05F49"/>
    <w:rsid w:val="6C4E5FF7"/>
    <w:rsid w:val="6C5B1EDC"/>
    <w:rsid w:val="6CE178C1"/>
    <w:rsid w:val="6D036AE1"/>
    <w:rsid w:val="6D324755"/>
    <w:rsid w:val="6EA97E5C"/>
    <w:rsid w:val="6EED7D49"/>
    <w:rsid w:val="7003083A"/>
    <w:rsid w:val="70ED4030"/>
    <w:rsid w:val="7152682E"/>
    <w:rsid w:val="716B2939"/>
    <w:rsid w:val="71E24E0B"/>
    <w:rsid w:val="72006161"/>
    <w:rsid w:val="72097D64"/>
    <w:rsid w:val="7238577F"/>
    <w:rsid w:val="727250A8"/>
    <w:rsid w:val="72A76EFF"/>
    <w:rsid w:val="72F70AE8"/>
    <w:rsid w:val="734343DB"/>
    <w:rsid w:val="74DF127F"/>
    <w:rsid w:val="74EB6D02"/>
    <w:rsid w:val="7506739F"/>
    <w:rsid w:val="75882579"/>
    <w:rsid w:val="76180EE8"/>
    <w:rsid w:val="765A079C"/>
    <w:rsid w:val="76D161A2"/>
    <w:rsid w:val="76F9422E"/>
    <w:rsid w:val="76FFDF44"/>
    <w:rsid w:val="780162ED"/>
    <w:rsid w:val="78864D0C"/>
    <w:rsid w:val="792D2103"/>
    <w:rsid w:val="7A934502"/>
    <w:rsid w:val="7AB864FF"/>
    <w:rsid w:val="7B110428"/>
    <w:rsid w:val="7BEFC791"/>
    <w:rsid w:val="7C8A6464"/>
    <w:rsid w:val="7CAC6C64"/>
    <w:rsid w:val="7CBF2009"/>
    <w:rsid w:val="7CC02A4E"/>
    <w:rsid w:val="7D955719"/>
    <w:rsid w:val="7DE61EA0"/>
    <w:rsid w:val="7EBA7904"/>
    <w:rsid w:val="7EDE6F81"/>
    <w:rsid w:val="7F6A7194"/>
    <w:rsid w:val="7FCA6573"/>
    <w:rsid w:val="7FFF5B2E"/>
    <w:rsid w:val="ADBFA347"/>
    <w:rsid w:val="BFBF7276"/>
    <w:rsid w:val="D3EF120F"/>
    <w:rsid w:val="E3A5D280"/>
    <w:rsid w:val="F73E24EA"/>
    <w:rsid w:val="F7F3B5AB"/>
    <w:rsid w:val="FAFF9742"/>
    <w:rsid w:val="FD7F72BD"/>
    <w:rsid w:val="FEDF2538"/>
    <w:rsid w:val="FEF6D6ED"/>
    <w:rsid w:val="FFD7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pPr>
      <w:spacing w:line="560" w:lineRule="exact"/>
      <w:ind w:firstLine="200" w:firstLineChars="200"/>
      <w:jc w:val="left"/>
    </w:pPr>
    <w:rPr>
      <w:rFonts w:ascii="Times New Roman" w:hAnsi="Times New Roman" w:eastAsia="仿宋_GB2312"/>
      <w:sz w:val="32"/>
    </w:rPr>
  </w:style>
  <w:style w:type="paragraph" w:styleId="4">
    <w:name w:val="Body Text"/>
    <w:basedOn w:val="1"/>
    <w:link w:val="23"/>
    <w:unhideWhenUsed/>
    <w:qFormat/>
    <w:uiPriority w:val="99"/>
    <w:rPr>
      <w:rFonts w:ascii="Arial" w:hAnsi="Arial" w:eastAsiaTheme="minorEastAsia"/>
      <w:color w:val="000000"/>
      <w:sz w:val="21"/>
    </w:rPr>
  </w:style>
  <w:style w:type="paragraph" w:styleId="5">
    <w:name w:val="Balloon Text"/>
    <w:basedOn w:val="1"/>
    <w:link w:val="26"/>
    <w:semiHidden/>
    <w:unhideWhenUsed/>
    <w:qFormat/>
    <w:uiPriority w:val="99"/>
    <w:rPr>
      <w:sz w:val="18"/>
      <w:szCs w:val="18"/>
    </w:r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line="480" w:lineRule="exact"/>
      <w:ind w:firstLine="420" w:firstLineChars="200"/>
    </w:pPr>
  </w:style>
  <w:style w:type="paragraph" w:styleId="9">
    <w:name w:val="Normal (Web)"/>
    <w:basedOn w:val="1"/>
    <w:link w:val="31"/>
    <w:unhideWhenUsed/>
    <w:qFormat/>
    <w:uiPriority w:val="99"/>
  </w:style>
  <w:style w:type="paragraph" w:styleId="10">
    <w:name w:val="annotation subject"/>
    <w:basedOn w:val="3"/>
    <w:next w:val="3"/>
    <w:link w:val="25"/>
    <w:semiHidden/>
    <w:unhideWhenUsed/>
    <w:qFormat/>
    <w:uiPriority w:val="99"/>
    <w:pPr>
      <w:spacing w:line="240" w:lineRule="auto"/>
      <w:ind w:firstLine="0" w:firstLineChars="0"/>
    </w:pPr>
    <w:rPr>
      <w:rFonts w:eastAsia="仿宋" w:asciiTheme="minorHAnsi" w:hAnsiTheme="minorHAnsi"/>
      <w:b/>
      <w:bCs/>
      <w:sz w:val="24"/>
    </w:rPr>
  </w:style>
  <w:style w:type="character" w:styleId="13">
    <w:name w:val="page number"/>
    <w:basedOn w:val="12"/>
    <w:qFormat/>
    <w:uiPriority w:val="99"/>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unhideWhenUsed/>
    <w:qFormat/>
    <w:uiPriority w:val="99"/>
    <w:rPr>
      <w:sz w:val="21"/>
      <w:szCs w:val="21"/>
    </w:rPr>
  </w:style>
  <w:style w:type="character" w:customStyle="1" w:styleId="16">
    <w:name w:val="标题 2 字符"/>
    <w:basedOn w:val="12"/>
    <w:link w:val="2"/>
    <w:qFormat/>
    <w:uiPriority w:val="9"/>
    <w:rPr>
      <w:rFonts w:eastAsia="仿宋" w:asciiTheme="majorHAnsi" w:hAnsiTheme="majorHAnsi" w:cstheme="majorBidi"/>
      <w:b/>
      <w:bCs/>
      <w:sz w:val="32"/>
      <w:szCs w:val="32"/>
    </w:rPr>
  </w:style>
  <w:style w:type="paragraph" w:customStyle="1" w:styleId="17">
    <w:name w:val="样式1"/>
    <w:basedOn w:val="1"/>
    <w:link w:val="18"/>
    <w:qFormat/>
    <w:uiPriority w:val="0"/>
    <w:rPr>
      <w:rFonts w:eastAsia="宋体"/>
    </w:rPr>
  </w:style>
  <w:style w:type="character" w:customStyle="1" w:styleId="18">
    <w:name w:val="样式1 字符"/>
    <w:basedOn w:val="12"/>
    <w:link w:val="17"/>
    <w:qFormat/>
    <w:uiPriority w:val="0"/>
    <w:rPr>
      <w:rFonts w:eastAsia="宋体"/>
      <w:sz w:val="24"/>
    </w:rPr>
  </w:style>
  <w:style w:type="character" w:customStyle="1" w:styleId="19">
    <w:name w:val="页眉 字符"/>
    <w:basedOn w:val="12"/>
    <w:link w:val="7"/>
    <w:qFormat/>
    <w:uiPriority w:val="99"/>
    <w:rPr>
      <w:rFonts w:eastAsia="仿宋"/>
      <w:sz w:val="18"/>
      <w:szCs w:val="18"/>
    </w:rPr>
  </w:style>
  <w:style w:type="character" w:customStyle="1" w:styleId="20">
    <w:name w:val="页脚 字符"/>
    <w:basedOn w:val="12"/>
    <w:link w:val="6"/>
    <w:qFormat/>
    <w:uiPriority w:val="99"/>
    <w:rPr>
      <w:rFonts w:eastAsia="仿宋"/>
      <w:sz w:val="18"/>
      <w:szCs w:val="18"/>
    </w:rPr>
  </w:style>
  <w:style w:type="character" w:customStyle="1" w:styleId="21">
    <w:name w:val="批注文字 字符"/>
    <w:basedOn w:val="12"/>
    <w:link w:val="3"/>
    <w:qFormat/>
    <w:uiPriority w:val="99"/>
    <w:rPr>
      <w:rFonts w:ascii="Times New Roman" w:hAnsi="Times New Roman" w:eastAsia="仿宋_GB2312"/>
      <w:sz w:val="32"/>
    </w:rPr>
  </w:style>
  <w:style w:type="character" w:customStyle="1" w:styleId="22">
    <w:name w:val="未处理的提及1"/>
    <w:basedOn w:val="12"/>
    <w:semiHidden/>
    <w:unhideWhenUsed/>
    <w:qFormat/>
    <w:uiPriority w:val="99"/>
    <w:rPr>
      <w:color w:val="605E5C"/>
      <w:shd w:val="clear" w:color="auto" w:fill="E1DFDD"/>
    </w:rPr>
  </w:style>
  <w:style w:type="character" w:customStyle="1" w:styleId="23">
    <w:name w:val="正文文本 字符"/>
    <w:basedOn w:val="12"/>
    <w:link w:val="4"/>
    <w:qFormat/>
    <w:uiPriority w:val="99"/>
    <w:rPr>
      <w:rFonts w:ascii="Arial" w:hAnsi="Arial"/>
      <w:color w:val="000000"/>
    </w:rPr>
  </w:style>
  <w:style w:type="paragraph" w:styleId="24">
    <w:name w:val="List Paragraph"/>
    <w:basedOn w:val="1"/>
    <w:qFormat/>
    <w:uiPriority w:val="34"/>
    <w:pPr>
      <w:ind w:firstLine="420" w:firstLineChars="200"/>
    </w:pPr>
  </w:style>
  <w:style w:type="character" w:customStyle="1" w:styleId="25">
    <w:name w:val="批注主题 字符"/>
    <w:basedOn w:val="21"/>
    <w:link w:val="10"/>
    <w:semiHidden/>
    <w:qFormat/>
    <w:uiPriority w:val="99"/>
    <w:rPr>
      <w:rFonts w:ascii="Times New Roman" w:hAnsi="Times New Roman" w:eastAsia="仿宋"/>
      <w:b/>
      <w:bCs/>
      <w:sz w:val="24"/>
    </w:rPr>
  </w:style>
  <w:style w:type="character" w:customStyle="1" w:styleId="26">
    <w:name w:val="批注框文本 字符"/>
    <w:basedOn w:val="12"/>
    <w:link w:val="5"/>
    <w:semiHidden/>
    <w:qFormat/>
    <w:uiPriority w:val="99"/>
    <w:rPr>
      <w:rFonts w:eastAsia="仿宋"/>
      <w:sz w:val="18"/>
      <w:szCs w:val="18"/>
    </w:rPr>
  </w:style>
  <w:style w:type="paragraph" w:customStyle="1" w:styleId="27">
    <w:name w:val="p1"/>
    <w:basedOn w:val="1"/>
    <w:qFormat/>
    <w:uiPriority w:val="0"/>
    <w:rPr>
      <w:rFonts w:ascii="PingFang SC" w:hAnsi="PingFang SC" w:eastAsia="PingFang SC" w:cs="Times New Roman"/>
      <w:kern w:val="0"/>
      <w:sz w:val="26"/>
      <w:szCs w:val="26"/>
    </w:rPr>
  </w:style>
  <w:style w:type="character" w:customStyle="1" w:styleId="28">
    <w:name w:val="s1"/>
    <w:basedOn w:val="12"/>
    <w:qFormat/>
    <w:uiPriority w:val="0"/>
    <w:rPr>
      <w:rFonts w:ascii="Helvetica Neue" w:hAnsi="Helvetica Neue" w:eastAsia="Helvetica Neue" w:cs="Helvetica Neue"/>
      <w:sz w:val="26"/>
      <w:szCs w:val="26"/>
    </w:rPr>
  </w:style>
  <w:style w:type="paragraph" w:customStyle="1" w:styleId="29">
    <w:name w:val="修订1"/>
    <w:hidden/>
    <w:semiHidden/>
    <w:qFormat/>
    <w:uiPriority w:val="99"/>
    <w:rPr>
      <w:rFonts w:eastAsia="仿宋" w:asciiTheme="minorHAnsi" w:hAnsiTheme="minorHAnsi" w:cstheme="minorBidi"/>
      <w:kern w:val="2"/>
      <w:sz w:val="24"/>
      <w:szCs w:val="22"/>
      <w:lang w:val="en-US" w:eastAsia="zh-CN" w:bidi="ar-SA"/>
    </w:rPr>
  </w:style>
  <w:style w:type="paragraph" w:customStyle="1" w:styleId="30">
    <w:name w:val="Revision"/>
    <w:hidden/>
    <w:semiHidden/>
    <w:qFormat/>
    <w:uiPriority w:val="99"/>
    <w:rPr>
      <w:rFonts w:eastAsia="仿宋" w:asciiTheme="minorHAnsi" w:hAnsiTheme="minorHAnsi" w:cstheme="minorBidi"/>
      <w:kern w:val="2"/>
      <w:sz w:val="24"/>
      <w:szCs w:val="22"/>
      <w:lang w:val="en-US" w:eastAsia="zh-CN" w:bidi="ar-SA"/>
    </w:rPr>
  </w:style>
  <w:style w:type="character" w:customStyle="1" w:styleId="31">
    <w:name w:val="普通(网站) 字符"/>
    <w:link w:val="9"/>
    <w:qFormat/>
    <w:uiPriority w:val="99"/>
    <w:rPr>
      <w:rFonts w:eastAsia="仿宋" w:asciiTheme="minorHAnsi" w:hAnsiTheme="minorHAnsi" w:cstheme="minorBidi"/>
      <w:kern w:val="2"/>
      <w:sz w:val="24"/>
      <w:szCs w:val="22"/>
    </w:rPr>
  </w:style>
  <w:style w:type="paragraph" w:customStyle="1" w:styleId="32">
    <w:name w:val="列出段落1"/>
    <w:basedOn w:val="1"/>
    <w:qFormat/>
    <w:uiPriority w:val="99"/>
    <w:pPr>
      <w:ind w:firstLine="420" w:firstLineChars="200"/>
    </w:pPr>
    <w:rPr>
      <w:rFonts w:ascii="Times New Roman" w:hAnsi="Times New Roman" w:eastAsia="宋体" w:cs="Times New Roman"/>
      <w:sz w:val="21"/>
      <w:szCs w:val="24"/>
    </w:rPr>
  </w:style>
  <w:style w:type="paragraph" w:customStyle="1" w:styleId="33">
    <w:name w:val="正文（标题三）"/>
    <w:basedOn w:val="1"/>
    <w:qFormat/>
    <w:uiPriority w:val="0"/>
    <w:pPr>
      <w:spacing w:line="360" w:lineRule="auto"/>
      <w:ind w:left="170" w:firstLine="425"/>
    </w:pPr>
    <w:rPr>
      <w:sz w:val="24"/>
    </w:rPr>
  </w:style>
  <w:style w:type="paragraph" w:customStyle="1" w:styleId="34">
    <w:name w:val="样式4"/>
    <w:basedOn w:val="1"/>
    <w:qFormat/>
    <w:uiPriority w:val="3"/>
    <w:pPr>
      <w:jc w:val="center"/>
      <w:outlineLvl w:val="0"/>
    </w:pPr>
    <w:rPr>
      <w:b/>
      <w:sz w:val="32"/>
    </w:rPr>
  </w:style>
  <w:style w:type="character" w:customStyle="1" w:styleId="35">
    <w:name w:val="DeltaView Insertion"/>
    <w:qFormat/>
    <w:uiPriority w:val="99"/>
    <w:rPr>
      <w:color w:val="0000FF"/>
      <w:u w:val="doub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2868</Words>
  <Characters>3031</Characters>
  <Lines>103</Lines>
  <Paragraphs>29</Paragraphs>
  <TotalTime>298</TotalTime>
  <ScaleCrop>false</ScaleCrop>
  <LinksUpToDate>false</LinksUpToDate>
  <CharactersWithSpaces>3053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2022-08-02T08:01:00Z</dcterms:created>
  <dc:creator>高 洋</dc:creator>
  <cp:lastModifiedBy>baoyihong</cp:lastModifiedBy>
  <cp:lastPrinted>2023-10-11T07:06:00Z</cp:lastPrinted>
  <dcterms:modified xsi:type="dcterms:W3CDTF">2025-08-27T03:22:17Z</dcterms:modified>
  <cp:revision>1074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F938056CBF5C44A1B2DB85F17755CFAC_13</vt:lpwstr>
  </property>
  <property fmtid="{D5CDD505-2E9C-101B-9397-08002B2CF9AE}" pid="4" name="KSOTemplateDocerSaveRecord">
    <vt:lpwstr>eyJoZGlkIjoiZjkwZmI5Y2I0NThiZjhiZTgyMzc1OTliNDk2M2MyM2QiLCJ1c2VySWQiOiIyMzI2Mzg3MzEifQ==</vt:lpwstr>
  </property>
</Properties>
</file>