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536BB">
      <w:pPr>
        <w:rPr>
          <w:rFonts w:hint="eastAsia" w:ascii="仿宋_GB2312" w:hAnsi="仿宋_GB2312" w:eastAsia="仿宋_GB2312" w:cs="仿宋_GB2312"/>
          <w:highlight w:val="none"/>
        </w:rPr>
      </w:pPr>
      <w:bookmarkStart w:id="0" w:name="_Hlk89427572"/>
    </w:p>
    <w:p w14:paraId="7DE1F7A8">
      <w:pPr>
        <w:rPr>
          <w:rFonts w:hint="eastAsia" w:ascii="仿宋_GB2312" w:hAnsi="仿宋_GB2312" w:eastAsia="仿宋_GB2312" w:cs="仿宋_GB2312"/>
          <w:highlight w:val="none"/>
        </w:rPr>
      </w:pPr>
    </w:p>
    <w:p w14:paraId="34A7D1FB">
      <w:pPr>
        <w:rPr>
          <w:rFonts w:hint="eastAsia" w:ascii="仿宋_GB2312" w:hAnsi="仿宋_GB2312" w:eastAsia="仿宋_GB2312" w:cs="仿宋_GB2312"/>
          <w:b/>
          <w:bCs/>
          <w:highlight w:val="none"/>
        </w:rPr>
      </w:pPr>
    </w:p>
    <w:p w14:paraId="03B4B50E">
      <w:pPr>
        <w:rPr>
          <w:rFonts w:hint="eastAsia" w:ascii="仿宋_GB2312" w:hAnsi="仿宋_GB2312" w:eastAsia="仿宋_GB2312" w:cs="仿宋_GB2312"/>
          <w:highlight w:val="none"/>
        </w:rPr>
      </w:pPr>
    </w:p>
    <w:p w14:paraId="6B211CAD">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数字人民币运营管理中心有限公司</w:t>
      </w:r>
    </w:p>
    <w:p w14:paraId="2B137DC8">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2025年二次放号查询服务采购项目</w:t>
      </w:r>
    </w:p>
    <w:p w14:paraId="67DA0699">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采购需求文件</w:t>
      </w:r>
    </w:p>
    <w:p w14:paraId="45C67839">
      <w:pPr>
        <w:rPr>
          <w:rFonts w:hint="eastAsia" w:ascii="仿宋_GB2312" w:hAnsi="仿宋_GB2312" w:eastAsia="仿宋_GB2312" w:cs="仿宋_GB2312"/>
          <w:highlight w:val="none"/>
        </w:rPr>
      </w:pPr>
    </w:p>
    <w:p w14:paraId="129BEE4F">
      <w:pPr>
        <w:rPr>
          <w:rFonts w:hint="eastAsia" w:ascii="仿宋_GB2312" w:hAnsi="仿宋_GB2312" w:eastAsia="仿宋_GB2312" w:cs="仿宋_GB2312"/>
          <w:highlight w:val="none"/>
        </w:rPr>
      </w:pPr>
    </w:p>
    <w:p w14:paraId="659DA41B">
      <w:pPr>
        <w:rPr>
          <w:rFonts w:hint="eastAsia" w:ascii="仿宋_GB2312" w:hAnsi="仿宋_GB2312" w:eastAsia="仿宋_GB2312" w:cs="仿宋_GB2312"/>
          <w:highlight w:val="none"/>
        </w:rPr>
      </w:pPr>
    </w:p>
    <w:p w14:paraId="0FE56FA9">
      <w:pPr>
        <w:rPr>
          <w:rFonts w:hint="eastAsia" w:ascii="仿宋_GB2312" w:hAnsi="仿宋_GB2312" w:eastAsia="仿宋_GB2312" w:cs="仿宋_GB2312"/>
          <w:highlight w:val="none"/>
        </w:rPr>
      </w:pPr>
    </w:p>
    <w:p w14:paraId="7DB916FA">
      <w:pPr>
        <w:rPr>
          <w:rFonts w:hint="eastAsia" w:ascii="仿宋_GB2312" w:hAnsi="仿宋_GB2312" w:eastAsia="仿宋_GB2312" w:cs="仿宋_GB2312"/>
          <w:highlight w:val="none"/>
        </w:rPr>
      </w:pPr>
    </w:p>
    <w:p w14:paraId="730CCE1C">
      <w:pPr>
        <w:rPr>
          <w:rFonts w:hint="eastAsia" w:ascii="仿宋_GB2312" w:hAnsi="仿宋_GB2312" w:eastAsia="仿宋_GB2312" w:cs="仿宋_GB2312"/>
          <w:highlight w:val="none"/>
        </w:rPr>
      </w:pPr>
    </w:p>
    <w:p w14:paraId="18FCB896">
      <w:pPr>
        <w:rPr>
          <w:rFonts w:hint="eastAsia" w:ascii="仿宋_GB2312" w:hAnsi="仿宋_GB2312" w:eastAsia="仿宋_GB2312" w:cs="仿宋_GB2312"/>
          <w:highlight w:val="none"/>
        </w:rPr>
      </w:pPr>
    </w:p>
    <w:p w14:paraId="6532DA60">
      <w:pPr>
        <w:rPr>
          <w:rFonts w:hint="eastAsia" w:ascii="仿宋_GB2312" w:hAnsi="仿宋_GB2312" w:eastAsia="仿宋_GB2312" w:cs="仿宋_GB2312"/>
          <w:highlight w:val="none"/>
        </w:rPr>
      </w:pPr>
    </w:p>
    <w:p w14:paraId="44BE2810">
      <w:pPr>
        <w:rPr>
          <w:rFonts w:hint="eastAsia" w:ascii="仿宋_GB2312" w:hAnsi="仿宋_GB2312" w:eastAsia="仿宋_GB2312" w:cs="仿宋_GB2312"/>
          <w:highlight w:val="none"/>
        </w:rPr>
      </w:pPr>
    </w:p>
    <w:p w14:paraId="5F89DA56">
      <w:pPr>
        <w:rPr>
          <w:rFonts w:hint="eastAsia" w:ascii="仿宋_GB2312" w:hAnsi="仿宋_GB2312" w:eastAsia="仿宋_GB2312" w:cs="仿宋_GB2312"/>
          <w:highlight w:val="none"/>
        </w:rPr>
      </w:pPr>
    </w:p>
    <w:p w14:paraId="0CAEB302">
      <w:pPr>
        <w:rPr>
          <w:rFonts w:hint="eastAsia" w:ascii="仿宋_GB2312" w:hAnsi="仿宋_GB2312" w:eastAsia="仿宋_GB2312" w:cs="仿宋_GB2312"/>
          <w:highlight w:val="none"/>
        </w:rPr>
      </w:pPr>
    </w:p>
    <w:p w14:paraId="5771BEC4">
      <w:pPr>
        <w:rPr>
          <w:rFonts w:hint="eastAsia" w:ascii="仿宋_GB2312" w:hAnsi="仿宋_GB2312" w:eastAsia="仿宋_GB2312" w:cs="仿宋_GB2312"/>
          <w:highlight w:val="none"/>
        </w:rPr>
      </w:pPr>
    </w:p>
    <w:p w14:paraId="2F01E9FA">
      <w:pPr>
        <w:rPr>
          <w:rFonts w:hint="eastAsia" w:ascii="仿宋_GB2312" w:hAnsi="仿宋_GB2312" w:eastAsia="仿宋_GB2312" w:cs="仿宋_GB2312"/>
          <w:highlight w:val="none"/>
        </w:rPr>
      </w:pPr>
    </w:p>
    <w:p w14:paraId="7453D8D7">
      <w:pPr>
        <w:rPr>
          <w:rFonts w:hint="eastAsia" w:ascii="仿宋_GB2312" w:hAnsi="仿宋_GB2312" w:eastAsia="仿宋_GB2312" w:cs="仿宋_GB2312"/>
          <w:highlight w:val="none"/>
        </w:rPr>
      </w:pPr>
    </w:p>
    <w:p w14:paraId="41AA9B94">
      <w:pPr>
        <w:rPr>
          <w:rFonts w:hint="eastAsia" w:ascii="仿宋_GB2312" w:hAnsi="仿宋_GB2312" w:eastAsia="仿宋_GB2312" w:cs="仿宋_GB2312"/>
          <w:highlight w:val="none"/>
        </w:rPr>
      </w:pPr>
    </w:p>
    <w:p w14:paraId="7563D80D">
      <w:pPr>
        <w:rPr>
          <w:rFonts w:hint="eastAsia" w:ascii="仿宋_GB2312" w:hAnsi="仿宋_GB2312" w:eastAsia="仿宋_GB2312" w:cs="仿宋_GB2312"/>
          <w:highlight w:val="none"/>
        </w:rPr>
      </w:pPr>
    </w:p>
    <w:p w14:paraId="76B3E15E">
      <w:pPr>
        <w:rPr>
          <w:rFonts w:hint="eastAsia" w:ascii="仿宋_GB2312" w:hAnsi="仿宋_GB2312" w:eastAsia="仿宋_GB2312" w:cs="仿宋_GB2312"/>
          <w:highlight w:val="none"/>
        </w:rPr>
      </w:pPr>
    </w:p>
    <w:p w14:paraId="0403C8D8">
      <w:pPr>
        <w:rPr>
          <w:rFonts w:hint="eastAsia" w:ascii="仿宋_GB2312" w:hAnsi="仿宋_GB2312" w:eastAsia="仿宋_GB2312" w:cs="仿宋_GB2312"/>
          <w:highlight w:val="none"/>
        </w:rPr>
      </w:pPr>
    </w:p>
    <w:p w14:paraId="04D97A5B">
      <w:pPr>
        <w:rPr>
          <w:rFonts w:hint="eastAsia" w:ascii="仿宋_GB2312" w:hAnsi="仿宋_GB2312" w:eastAsia="仿宋_GB2312" w:cs="仿宋_GB2312"/>
          <w:highlight w:val="none"/>
        </w:rPr>
      </w:pPr>
    </w:p>
    <w:p w14:paraId="00632990">
      <w:pPr>
        <w:rPr>
          <w:rFonts w:hint="eastAsia" w:ascii="仿宋_GB2312" w:hAnsi="仿宋_GB2312" w:eastAsia="仿宋_GB2312" w:cs="仿宋_GB2312"/>
          <w:highlight w:val="none"/>
        </w:rPr>
      </w:pPr>
    </w:p>
    <w:p w14:paraId="2BE0F8EB">
      <w:pPr>
        <w:rPr>
          <w:rFonts w:hint="eastAsia" w:ascii="仿宋_GB2312" w:hAnsi="仿宋_GB2312" w:eastAsia="仿宋_GB2312" w:cs="仿宋_GB2312"/>
          <w:highlight w:val="none"/>
        </w:rPr>
      </w:pPr>
    </w:p>
    <w:p w14:paraId="461B579E">
      <w:pPr>
        <w:rPr>
          <w:rFonts w:hint="eastAsia" w:ascii="仿宋_GB2312" w:hAnsi="仿宋_GB2312" w:eastAsia="仿宋_GB2312" w:cs="仿宋_GB2312"/>
          <w:highlight w:val="none"/>
        </w:rPr>
      </w:pPr>
    </w:p>
    <w:p w14:paraId="10C5A56A">
      <w:pPr>
        <w:rPr>
          <w:rFonts w:hint="eastAsia" w:ascii="仿宋_GB2312" w:hAnsi="仿宋_GB2312" w:eastAsia="仿宋_GB2312" w:cs="仿宋_GB2312"/>
          <w:highlight w:val="none"/>
        </w:rPr>
      </w:pPr>
    </w:p>
    <w:p w14:paraId="37EC40AD">
      <w:pPr>
        <w:rPr>
          <w:rFonts w:hint="eastAsia" w:ascii="仿宋_GB2312" w:hAnsi="仿宋_GB2312" w:eastAsia="仿宋_GB2312" w:cs="仿宋_GB2312"/>
          <w:highlight w:val="none"/>
        </w:rPr>
      </w:pPr>
    </w:p>
    <w:p w14:paraId="40ACAEE2">
      <w:pPr>
        <w:rPr>
          <w:rFonts w:hint="eastAsia" w:ascii="仿宋_GB2312" w:hAnsi="仿宋_GB2312" w:eastAsia="仿宋_GB2312" w:cs="仿宋_GB2312"/>
          <w:highlight w:val="none"/>
        </w:rPr>
      </w:pPr>
    </w:p>
    <w:p w14:paraId="697A5B86">
      <w:pPr>
        <w:jc w:val="center"/>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采购人：</w:t>
      </w:r>
      <w:r>
        <w:rPr>
          <w:rFonts w:hint="eastAsia" w:ascii="仿宋_GB2312" w:hAnsi="仿宋_GB2312" w:eastAsia="仿宋_GB2312" w:cs="仿宋_GB2312"/>
          <w:sz w:val="32"/>
          <w:szCs w:val="32"/>
          <w:highlight w:val="none"/>
          <w:lang w:val="en-US" w:eastAsia="zh-CN"/>
        </w:rPr>
        <w:t>数字人民币运营管理中心有限公司</w:t>
      </w:r>
    </w:p>
    <w:p w14:paraId="4823C99E">
      <w:pPr>
        <w:jc w:val="center"/>
        <w:rPr>
          <w:rFonts w:hint="eastAsia" w:ascii="仿宋_GB2312" w:hAnsi="仿宋_GB2312" w:eastAsia="仿宋_GB2312" w:cs="仿宋_GB2312"/>
          <w:sz w:val="32"/>
          <w:szCs w:val="32"/>
          <w:highlight w:val="none"/>
        </w:rPr>
      </w:pPr>
    </w:p>
    <w:p w14:paraId="68324863">
      <w:pPr>
        <w:jc w:val="center"/>
        <w:rPr>
          <w:rFonts w:hint="eastAsia" w:ascii="仿宋_GB2312" w:hAnsi="仿宋_GB2312" w:eastAsia="仿宋_GB2312" w:cs="仿宋_GB2312"/>
          <w:b/>
          <w:bCs/>
          <w:sz w:val="32"/>
          <w:szCs w:val="32"/>
          <w:highlight w:val="none"/>
        </w:rPr>
        <w:sectPr>
          <w:headerReference r:id="rId5" w:type="first"/>
          <w:footerReference r:id="rId8" w:type="first"/>
          <w:headerReference r:id="rId3" w:type="default"/>
          <w:footerReference r:id="rId6" w:type="default"/>
          <w:headerReference r:id="rId4" w:type="even"/>
          <w:footerReference r:id="rId7" w:type="even"/>
          <w:pgSz w:w="11920" w:h="16840"/>
          <w:pgMar w:top="1440" w:right="1780" w:bottom="1440" w:left="1780" w:header="0" w:footer="964" w:gutter="0"/>
          <w:cols w:space="720" w:num="1"/>
        </w:sectPr>
      </w:pPr>
      <w:r>
        <w:rPr>
          <w:rFonts w:hint="eastAsia" w:ascii="仿宋_GB2312" w:hAnsi="仿宋_GB2312" w:eastAsia="仿宋_GB2312" w:cs="仿宋_GB2312"/>
          <w:sz w:val="32"/>
          <w:szCs w:val="32"/>
          <w:highlight w:val="none"/>
        </w:rPr>
        <w:t>202</w:t>
      </w:r>
      <w:r>
        <w:rPr>
          <w:rFonts w:hint="eastAsia" w:ascii="仿宋_GB2312" w:hAnsi="仿宋_GB2312" w:eastAsia="仿宋_GB2312" w:cs="仿宋_GB2312"/>
          <w:sz w:val="32"/>
          <w:szCs w:val="32"/>
          <w:highlight w:val="none"/>
          <w:lang w:val="en-US" w:eastAsia="zh-CN"/>
        </w:rPr>
        <w:t>5</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8</w:t>
      </w:r>
      <w:r>
        <w:rPr>
          <w:rFonts w:hint="eastAsia" w:ascii="仿宋_GB2312" w:hAnsi="仿宋_GB2312" w:eastAsia="仿宋_GB2312" w:cs="仿宋_GB2312"/>
          <w:sz w:val="32"/>
          <w:szCs w:val="32"/>
          <w:highlight w:val="none"/>
        </w:rPr>
        <w:t>月</w:t>
      </w:r>
    </w:p>
    <w:p w14:paraId="356AD833">
      <w:pPr>
        <w:rPr>
          <w:rFonts w:hint="eastAsia" w:ascii="仿宋_GB2312" w:hAnsi="仿宋_GB2312" w:eastAsia="仿宋_GB2312" w:cs="仿宋_GB2312"/>
          <w:highlight w:val="none"/>
        </w:rPr>
      </w:pPr>
    </w:p>
    <w:p w14:paraId="6089C26F">
      <w:pPr>
        <w:spacing w:line="360" w:lineRule="auto"/>
        <w:jc w:val="center"/>
        <w:outlineLvl w:val="0"/>
        <w:rPr>
          <w:rFonts w:hint="eastAsia" w:ascii="仿宋_GB2312" w:hAnsi="仿宋_GB2312" w:eastAsia="仿宋_GB2312" w:cs="仿宋_GB2312"/>
          <w:b/>
          <w:bCs/>
          <w:sz w:val="44"/>
          <w:szCs w:val="44"/>
          <w:highlight w:val="none"/>
        </w:rPr>
      </w:pPr>
      <w:bookmarkStart w:id="1" w:name="_Toc104912493"/>
      <w:r>
        <w:rPr>
          <w:rFonts w:hint="eastAsia" w:ascii="仿宋_GB2312" w:hAnsi="仿宋_GB2312" w:eastAsia="仿宋_GB2312" w:cs="仿宋_GB2312"/>
          <w:b/>
          <w:bCs/>
          <w:sz w:val="44"/>
          <w:szCs w:val="44"/>
          <w:highlight w:val="none"/>
        </w:rPr>
        <w:t>第一章 采购邀请</w:t>
      </w:r>
      <w:bookmarkEnd w:id="1"/>
    </w:p>
    <w:p w14:paraId="7B9EF90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sz w:val="24"/>
          <w:szCs w:val="24"/>
          <w:highlight w:val="none"/>
        </w:rPr>
        <w:t>（采购人），就如下项目进行采购，邀请合格的供应商提交密封的响应文件。</w:t>
      </w:r>
    </w:p>
    <w:p>
      <w:pPr>
        <w:shd w:val="clear" w:color="auto" w:fill="D9D9D9"/>
      </w:pPr>
      <w:r>
        <w:rPr>
          <w:rFonts w:ascii="仿宋_GB2312" w:hAnsi="仿宋_GB2312"/>
          <w:color w:val="000000"/>
          <w:sz w:val="24"/>
        </w:rPr>
        <w:t>应答：满足。系统支持数字人民币的全面运营管理，具备高效的数据处理能力和安全的交易环境，能够实时监控和分析交易数据，确保合规性和透明度。同时，系统提供灵活的接口，支持与各类金融系统的无缝对接，满足数字人民币的运营需求。</w:t>
      </w:r>
    </w:p>
    <w:p w14:paraId="0C4835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1、项目名称：</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lang w:val="en-US" w:eastAsia="zh-CN"/>
        </w:rPr>
        <w:t>2025年二次放号查询服务采购项目</w:t>
      </w:r>
    </w:p>
    <w:p>
      <w:pPr>
        <w:shd w:val="clear" w:color="auto" w:fill="D9D9D9"/>
      </w:pPr>
      <w:r>
        <w:rPr>
          <w:rFonts w:ascii="仿宋_GB2312" w:hAnsi="仿宋_GB2312"/>
          <w:color w:val="000000"/>
          <w:sz w:val="24"/>
        </w:rPr>
        <w:t>应答：满足。系统支持数字人民币运营管理中心的放号查询需求，具备高效的数据处理能力和实时查询功能，确保用户能够快速获取放号信息。我们将采用先进的数据库技术，确保数据的安全性和准确性，同时提供友好的用户界面，便于操作和管理。</w:t>
      </w:r>
    </w:p>
    <w:p w14:paraId="75CDED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_GB2312" w:hAnsi="仿宋_GB2312" w:eastAsia="仿宋_GB2312" w:cs="仿宋_GB2312"/>
          <w:sz w:val="24"/>
          <w:szCs w:val="24"/>
          <w:highlight w:val="none"/>
          <w:lang w:val="en-US"/>
        </w:rPr>
      </w:pPr>
      <w:r>
        <w:rPr>
          <w:rFonts w:hint="eastAsia" w:ascii="仿宋_GB2312" w:hAnsi="仿宋_GB2312" w:eastAsia="仿宋_GB2312" w:cs="仿宋_GB2312"/>
          <w:sz w:val="24"/>
          <w:szCs w:val="24"/>
          <w:highlight w:val="none"/>
        </w:rPr>
        <w:t>2、采购人名称：</w:t>
      </w:r>
      <w:r>
        <w:rPr>
          <w:rFonts w:hint="eastAsia" w:ascii="仿宋_GB2312" w:hAnsi="仿宋_GB2312" w:eastAsia="仿宋_GB2312" w:cs="仿宋_GB2312"/>
          <w:sz w:val="24"/>
          <w:szCs w:val="24"/>
          <w:highlight w:val="none"/>
          <w:lang w:val="en-US" w:eastAsia="zh-CN"/>
        </w:rPr>
        <w:t>数字人民币运营管理中心有限公司</w:t>
      </w:r>
    </w:p>
    <w:p>
      <w:pPr>
        <w:shd w:val="clear" w:color="auto" w:fill="D9D9D9"/>
      </w:pPr>
      <w:r>
        <w:rPr>
          <w:rFonts w:ascii="仿宋_GB2312" w:hAnsi="仿宋_GB2312"/>
          <w:color w:val="000000"/>
          <w:sz w:val="24"/>
        </w:rPr>
        <w:t>应答：满足。系统支持数字人民币运营管理中心有限公司的各项需求，具备灵活的数据源配置能力，能够实现对传统数据库、文件系统、消息队列、SaaS API及NoSQL等多种数据源的可视化创建与管理。</w:t>
      </w:r>
    </w:p>
    <w:p w14:paraId="187BB5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3、采购人地址：</w:t>
      </w:r>
      <w:r>
        <w:rPr>
          <w:rFonts w:hint="default" w:ascii="仿宋_GB2312" w:hAnsi="仿宋_GB2312" w:eastAsia="仿宋_GB2312" w:cs="仿宋_GB2312"/>
          <w:spacing w:val="0"/>
          <w:sz w:val="24"/>
          <w:szCs w:val="24"/>
          <w:highlight w:val="none"/>
        </w:rPr>
        <w:t>北京市丰台区东管头1号院3号楼2021-88</w:t>
      </w:r>
    </w:p>
    <w:p>
      <w:pPr>
        <w:shd w:val="clear" w:color="auto" w:fill="D9D9D9"/>
      </w:pPr>
      <w:r>
        <w:rPr>
          <w:rFonts w:ascii="仿宋_GB2312" w:hAnsi="仿宋_GB2312"/>
          <w:color w:val="000000"/>
          <w:sz w:val="24"/>
        </w:rPr>
        <w:t>应答：满足。系统支持对采购人地址进行精确管理，能够实现地址信息的录入、修改和查询功能，确保用户能够方便地访问和管理相关地址数据。同时，系统具备地址验证功能，确保录入的地址信息准确无误。</w:t>
      </w:r>
    </w:p>
    <w:p w14:paraId="2B3792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4、采购人联系人及联系方式：</w:t>
      </w:r>
      <w:r>
        <w:rPr>
          <w:rFonts w:hint="eastAsia" w:ascii="仿宋_GB2312" w:hAnsi="仿宋_GB2312" w:eastAsia="仿宋_GB2312" w:cs="仿宋_GB2312"/>
          <w:sz w:val="24"/>
          <w:szCs w:val="24"/>
          <w:highlight w:val="none"/>
          <w:lang w:val="en-US" w:eastAsia="zh-CN"/>
        </w:rPr>
        <w:t>鲍一鸿</w:t>
      </w:r>
      <w:r>
        <w:rPr>
          <w:rFonts w:hint="eastAsia" w:ascii="仿宋_GB2312" w:hAnsi="仿宋_GB2312" w:eastAsia="仿宋_GB2312" w:cs="仿宋_GB2312"/>
          <w:sz w:val="24"/>
          <w:szCs w:val="24"/>
          <w:highlight w:val="none"/>
        </w:rPr>
        <w:t xml:space="preserve"> 15651830106 </w:t>
      </w:r>
      <w:r>
        <w:rPr>
          <w:rFonts w:hint="default" w:ascii="仿宋_GB2312" w:hAnsi="仿宋_GB2312" w:eastAsia="仿宋_GB2312" w:cs="仿宋_GB2312"/>
          <w:sz w:val="24"/>
          <w:szCs w:val="24"/>
          <w:highlight w:val="none"/>
          <w:lang w:val="en-US" w:eastAsia="zh-CN"/>
        </w:rPr>
        <w:t>田野</w:t>
      </w:r>
      <w:r>
        <w:rPr>
          <w:rFonts w:hint="eastAsia" w:ascii="仿宋_GB2312" w:hAnsi="仿宋_GB2312" w:eastAsia="仿宋_GB2312" w:cs="仿宋_GB2312"/>
          <w:sz w:val="24"/>
          <w:szCs w:val="24"/>
          <w:highlight w:val="none"/>
        </w:rPr>
        <w:t>18612147932</w:t>
      </w:r>
      <w:r>
        <w:rPr>
          <w:rFonts w:hint="eastAsia" w:ascii="仿宋_GB2312" w:hAnsi="仿宋_GB2312" w:eastAsia="仿宋_GB2312" w:cs="仿宋_GB2312"/>
          <w:sz w:val="24"/>
          <w:szCs w:val="24"/>
          <w:highlight w:val="none"/>
          <w:lang w:val="en-US" w:eastAsia="zh-CN"/>
        </w:rPr>
        <w:t xml:space="preserve"> </w:t>
      </w:r>
    </w:p>
    <w:p>
      <w:pPr>
        <w:shd w:val="clear" w:color="auto" w:fill="D9D9D9"/>
      </w:pPr>
      <w:r>
        <w:rPr>
          <w:rFonts w:ascii="仿宋_GB2312" w:hAnsi="仿宋_GB2312"/>
          <w:color w:val="000000"/>
          <w:sz w:val="24"/>
        </w:rPr>
        <w:t>应答：满足。系统支持采购人信息的可视化管理，能够方便地记录和展示联系人及其联系方式，包括姓名、电话等信息，确保沟通渠道畅通无阻。同时，系统具备信息更新和维护功能，以便及时调整联系人信息，确保数据的准确性和实时性。</w:t>
      </w:r>
    </w:p>
    <w:p w14:paraId="24E592D9">
      <w:pPr>
        <w:keepNext w:val="0"/>
        <w:keepLines w:val="0"/>
        <w:pageBreakBefore w:val="0"/>
        <w:widowControl w:val="0"/>
        <w:kinsoku/>
        <w:wordWrap/>
        <w:overflowPunct/>
        <w:topLinePunct w:val="0"/>
        <w:autoSpaceDE/>
        <w:autoSpaceDN/>
        <w:bidi w:val="0"/>
        <w:adjustRightInd/>
        <w:snapToGrid/>
        <w:spacing w:line="360" w:lineRule="auto"/>
        <w:ind w:firstLine="3600" w:firstLineChars="15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翟小飞 15801589603</w:t>
      </w:r>
    </w:p>
    <w:p w14:paraId="5DC4A4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5、本次采购内容：</w:t>
      </w:r>
    </w:p>
    <w:tbl>
      <w:tblPr>
        <w:tblStyle w:val="11"/>
        <w:tblpPr w:leftFromText="180" w:rightFromText="180" w:vertAnchor="text" w:horzAnchor="margin" w:tblpXSpec="center" w:tblpY="24"/>
        <w:tblW w:w="70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576"/>
        <w:gridCol w:w="2183"/>
        <w:gridCol w:w="2599"/>
      </w:tblGrid>
      <w:tr w14:paraId="1CF34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3" w:type="dxa"/>
          </w:tcPr>
          <w:p w14:paraId="5923D540">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序号</w:t>
            </w:r>
          </w:p>
        </w:tc>
        <w:tc>
          <w:tcPr>
            <w:tcW w:w="1576" w:type="dxa"/>
          </w:tcPr>
          <w:p w14:paraId="36B945A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采购内容</w:t>
            </w:r>
          </w:p>
        </w:tc>
        <w:tc>
          <w:tcPr>
            <w:tcW w:w="2183" w:type="dxa"/>
          </w:tcPr>
          <w:p w14:paraId="2C4821C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概要描述</w:t>
            </w:r>
          </w:p>
        </w:tc>
        <w:tc>
          <w:tcPr>
            <w:tcW w:w="2599" w:type="dxa"/>
            <w:vAlign w:val="top"/>
          </w:tcPr>
          <w:p w14:paraId="139A7B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备注</w:t>
            </w:r>
          </w:p>
        </w:tc>
      </w:tr>
      <w:tr w14:paraId="66F63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43" w:type="dxa"/>
            <w:vAlign w:val="center"/>
          </w:tcPr>
          <w:p w14:paraId="7E91C7E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w:t>
            </w:r>
          </w:p>
        </w:tc>
        <w:tc>
          <w:tcPr>
            <w:tcW w:w="1576" w:type="dxa"/>
            <w:vAlign w:val="center"/>
          </w:tcPr>
          <w:p w14:paraId="137C4EBC">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183" w:type="dxa"/>
            <w:vAlign w:val="center"/>
          </w:tcPr>
          <w:p w14:paraId="1D6EBBFD">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110万次二次放号查询，服务周期12个月。</w:t>
            </w:r>
          </w:p>
        </w:tc>
        <w:tc>
          <w:tcPr>
            <w:tcW w:w="2599" w:type="dxa"/>
            <w:vAlign w:val="center"/>
          </w:tcPr>
          <w:p w14:paraId="6EC2136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具体要求见 第三章</w:t>
            </w:r>
          </w:p>
        </w:tc>
      </w:tr>
    </w:tbl>
    <w:p w14:paraId="110041A3">
      <w:pPr>
        <w:rPr>
          <w:rFonts w:hint="eastAsia" w:ascii="仿宋_GB2312" w:hAnsi="仿宋_GB2312" w:eastAsia="仿宋_GB2312" w:cs="仿宋_GB2312"/>
          <w:highlight w:val="none"/>
        </w:rPr>
      </w:pPr>
    </w:p>
    <w:p w14:paraId="1AE4ED5D">
      <w:pPr>
        <w:outlineLvl w:val="9"/>
        <w:rPr>
          <w:rFonts w:hint="eastAsia" w:ascii="仿宋_GB2312" w:hAnsi="仿宋_GB2312" w:eastAsia="仿宋_GB2312" w:cs="仿宋_GB2312"/>
          <w:highlight w:val="none"/>
        </w:rPr>
      </w:pPr>
    </w:p>
    <w:p w14:paraId="3E7D012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bookmarkStart w:id="2" w:name="_Toc104912494"/>
      <w:r>
        <w:rPr>
          <w:rFonts w:hint="eastAsia" w:ascii="仿宋_GB2312" w:hAnsi="仿宋_GB2312" w:eastAsia="仿宋_GB2312" w:cs="仿宋_GB2312"/>
          <w:sz w:val="24"/>
          <w:szCs w:val="24"/>
          <w:highlight w:val="none"/>
          <w:lang w:val="en-US" w:eastAsia="zh-CN"/>
        </w:rPr>
        <w:t>6、</w:t>
      </w:r>
      <w:r>
        <w:rPr>
          <w:rFonts w:hint="eastAsia" w:ascii="仿宋_GB2312" w:hAnsi="仿宋_GB2312" w:eastAsia="仿宋_GB2312" w:cs="仿宋_GB2312"/>
          <w:sz w:val="24"/>
          <w:szCs w:val="24"/>
          <w:highlight w:val="none"/>
        </w:rPr>
        <w:t>成交供应商数量：2名；</w:t>
      </w:r>
    </w:p>
    <w:p>
      <w:pPr>
        <w:shd w:val="clear" w:color="auto" w:fill="D9D9D9"/>
      </w:pPr>
      <w:r>
        <w:rPr>
          <w:rFonts w:ascii="仿宋_GB2312" w:hAnsi="仿宋_GB2312"/>
          <w:color w:val="000000"/>
          <w:sz w:val="24"/>
        </w:rPr>
        <w:t>应答：满足。系统支持同时管理多达2名成交供应商，具备供应商信息录入、修改及查询功能，确保供应商数据的准确性和实时性。此外，系统能够实现供应商绩效评估与分析，帮助用户优化供应链管理。</w:t>
      </w:r>
    </w:p>
    <w:p w14:paraId="5DEFA90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7、</w:t>
      </w:r>
      <w:r>
        <w:rPr>
          <w:rFonts w:hint="eastAsia" w:ascii="仿宋_GB2312" w:hAnsi="仿宋_GB2312" w:eastAsia="仿宋_GB2312" w:cs="仿宋_GB2312"/>
          <w:sz w:val="24"/>
          <w:szCs w:val="24"/>
          <w:highlight w:val="none"/>
        </w:rPr>
        <w:t>采购预算：</w:t>
      </w:r>
      <w:r>
        <w:rPr>
          <w:rFonts w:hint="eastAsia" w:ascii="仿宋_GB2312" w:hAnsi="仿宋_GB2312" w:eastAsia="仿宋_GB2312" w:cs="仿宋_GB2312"/>
          <w:sz w:val="24"/>
          <w:szCs w:val="24"/>
          <w:highlight w:val="none"/>
          <w:lang w:val="en-US" w:eastAsia="zh-CN"/>
        </w:rPr>
        <w:t>27.5</w:t>
      </w:r>
      <w:r>
        <w:rPr>
          <w:rFonts w:hint="eastAsia" w:ascii="仿宋_GB2312" w:hAnsi="仿宋_GB2312" w:eastAsia="仿宋_GB2312" w:cs="仿宋_GB2312"/>
          <w:sz w:val="24"/>
          <w:szCs w:val="24"/>
          <w:highlight w:val="none"/>
        </w:rPr>
        <w:t>万元，各供应商最高响应限价：</w:t>
      </w:r>
      <w:r>
        <w:rPr>
          <w:rFonts w:hint="eastAsia" w:ascii="仿宋_GB2312" w:hAnsi="仿宋_GB2312" w:eastAsia="仿宋_GB2312" w:cs="仿宋_GB2312"/>
          <w:sz w:val="24"/>
          <w:szCs w:val="24"/>
          <w:highlight w:val="none"/>
          <w:lang w:val="en-US" w:eastAsia="zh-CN"/>
        </w:rPr>
        <w:t>13.75</w:t>
      </w:r>
      <w:r>
        <w:rPr>
          <w:rFonts w:hint="eastAsia" w:ascii="仿宋_GB2312" w:hAnsi="仿宋_GB2312" w:eastAsia="仿宋_GB2312" w:cs="仿宋_GB2312"/>
          <w:sz w:val="24"/>
          <w:szCs w:val="24"/>
          <w:highlight w:val="none"/>
        </w:rPr>
        <w:t>万元；</w:t>
      </w:r>
    </w:p>
    <w:p>
      <w:pPr>
        <w:shd w:val="clear" w:color="auto" w:fill="D9D9D9"/>
      </w:pPr>
      <w:r>
        <w:rPr>
          <w:rFonts w:ascii="仿宋_GB2312" w:hAnsi="仿宋_GB2312"/>
          <w:color w:val="000000"/>
          <w:sz w:val="24"/>
        </w:rPr>
        <w:t>应答：满足。我方将严格控制项目成本，确保在27.5万元的采购预算内，提供高质量的技术解决方案。我们的报价将不超过13.75万元，确保在满足采购需求的同时，提供最佳性价比的服务。</w:t>
      </w:r>
    </w:p>
    <w:p w14:paraId="2272B568">
      <w:pPr>
        <w:rPr>
          <w:rFonts w:hint="eastAsia" w:ascii="仿宋_GB2312" w:hAnsi="仿宋_GB2312" w:eastAsia="仿宋_GB2312" w:cs="仿宋_GB2312"/>
          <w:b/>
          <w:bCs/>
          <w:sz w:val="44"/>
          <w:szCs w:val="44"/>
          <w:highlight w:val="none"/>
        </w:rPr>
      </w:pPr>
    </w:p>
    <w:p w14:paraId="48E661E0">
      <w:pPr>
        <w:rPr>
          <w:rFonts w:hint="eastAsia" w:ascii="仿宋_GB2312" w:hAnsi="仿宋_GB2312" w:eastAsia="仿宋_GB2312" w:cs="仿宋_GB2312"/>
          <w:b/>
          <w:bCs/>
          <w:sz w:val="44"/>
          <w:szCs w:val="44"/>
          <w:highlight w:val="none"/>
        </w:rPr>
      </w:pPr>
    </w:p>
    <w:p w14:paraId="3305EFAC">
      <w:pPr>
        <w:rPr>
          <w:rFonts w:hint="eastAsia" w:ascii="仿宋_GB2312" w:hAnsi="仿宋_GB2312" w:eastAsia="仿宋_GB2312" w:cs="仿宋_GB2312"/>
          <w:b/>
          <w:bCs/>
          <w:sz w:val="44"/>
          <w:szCs w:val="44"/>
          <w:highlight w:val="none"/>
        </w:rPr>
      </w:pPr>
    </w:p>
    <w:p w14:paraId="5AFC5568">
      <w:pPr>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64EF7B8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第二章 响应资料表</w:t>
      </w:r>
      <w:bookmarkEnd w:id="2"/>
    </w:p>
    <w:tbl>
      <w:tblPr>
        <w:tblStyle w:val="11"/>
        <w:tblW w:w="79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5841"/>
      </w:tblGrid>
      <w:tr w14:paraId="18E1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704" w:type="dxa"/>
            <w:vAlign w:val="center"/>
          </w:tcPr>
          <w:p w14:paraId="3AE0C877">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418" w:type="dxa"/>
            <w:vAlign w:val="center"/>
          </w:tcPr>
          <w:p w14:paraId="66B0A211">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内容</w:t>
            </w:r>
          </w:p>
        </w:tc>
        <w:tc>
          <w:tcPr>
            <w:tcW w:w="5841" w:type="dxa"/>
            <w:vAlign w:val="center"/>
          </w:tcPr>
          <w:p w14:paraId="73EB063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说明与要求</w:t>
            </w:r>
          </w:p>
        </w:tc>
      </w:tr>
      <w:tr w14:paraId="60609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7" w:hRule="atLeast"/>
          <w:jc w:val="center"/>
        </w:trPr>
        <w:tc>
          <w:tcPr>
            <w:tcW w:w="704" w:type="dxa"/>
            <w:vAlign w:val="center"/>
          </w:tcPr>
          <w:p w14:paraId="75700B5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418" w:type="dxa"/>
            <w:vAlign w:val="center"/>
          </w:tcPr>
          <w:p w14:paraId="0737B04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项目概述</w:t>
            </w:r>
          </w:p>
        </w:tc>
        <w:tc>
          <w:tcPr>
            <w:tcW w:w="5841" w:type="dxa"/>
            <w:vAlign w:val="center"/>
          </w:tcPr>
          <w:p w14:paraId="38DB1E18">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采购人名称：</w:t>
            </w:r>
            <w:r>
              <w:rPr>
                <w:rFonts w:hint="eastAsia" w:ascii="仿宋_GB2312" w:hAnsi="仿宋_GB2312" w:eastAsia="仿宋_GB2312" w:cs="仿宋_GB2312"/>
                <w:sz w:val="24"/>
                <w:szCs w:val="24"/>
                <w:highlight w:val="none"/>
                <w:lang w:val="en-US" w:eastAsia="zh-CN"/>
              </w:rPr>
              <w:t>数字人民币运营管理中心有限公司</w:t>
            </w:r>
          </w:p>
          <w:p w14:paraId="667EC3E4">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项目名称：</w:t>
            </w: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highlight w:val="none"/>
                <w:lang w:val="en-US" w:eastAsia="zh-CN"/>
              </w:rPr>
              <w:t>2025年二次放号查询服务采购项目</w:t>
            </w:r>
          </w:p>
          <w:p w14:paraId="508D054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r>
              <w:rPr>
                <w:rFonts w:hint="eastAsia" w:ascii="仿宋_GB2312" w:hAnsi="仿宋_GB2312" w:eastAsia="仿宋_GB2312" w:cs="仿宋_GB2312"/>
                <w:highlight w:val="none"/>
                <w:lang w:val="en-US" w:eastAsia="zh-CN"/>
              </w:rPr>
              <w:t>2个二次放号查询服务供应商，每个供应商55万次二次放号查询，服务周期12个月。</w:t>
            </w:r>
          </w:p>
        </w:tc>
      </w:tr>
      <w:tr w14:paraId="34B5F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704" w:type="dxa"/>
            <w:vAlign w:val="center"/>
          </w:tcPr>
          <w:p w14:paraId="22C9F5C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2</w:t>
            </w:r>
          </w:p>
        </w:tc>
        <w:tc>
          <w:tcPr>
            <w:tcW w:w="1418" w:type="dxa"/>
            <w:vAlign w:val="center"/>
          </w:tcPr>
          <w:p w14:paraId="13DABC6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应答文件要求</w:t>
            </w:r>
          </w:p>
        </w:tc>
        <w:tc>
          <w:tcPr>
            <w:tcW w:w="5841" w:type="dxa"/>
            <w:vAlign w:val="center"/>
          </w:tcPr>
          <w:p w14:paraId="77FE101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（1）★加盖公章的报价单；</w:t>
            </w:r>
          </w:p>
          <w:p w14:paraId="5A3F5BEF">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（2）★加盖公章的法人身份证明书</w:t>
            </w:r>
            <w:r>
              <w:rPr>
                <w:rFonts w:hint="eastAsia" w:ascii="仿宋_GB2312" w:hAnsi="仿宋_GB2312" w:eastAsia="仿宋_GB2312" w:cs="仿宋_GB2312"/>
                <w:highlight w:val="none"/>
                <w:lang w:eastAsia="zh-CN"/>
              </w:rPr>
              <w:t>；</w:t>
            </w:r>
          </w:p>
          <w:p w14:paraId="57B6723B">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（3）★加盖公章的法定代表人授权书</w:t>
            </w:r>
            <w:r>
              <w:rPr>
                <w:rFonts w:hint="eastAsia" w:ascii="仿宋_GB2312" w:hAnsi="仿宋_GB2312" w:eastAsia="仿宋_GB2312" w:cs="仿宋_GB2312"/>
                <w:highlight w:val="none"/>
                <w:lang w:eastAsia="zh-CN"/>
              </w:rPr>
              <w:t>；</w:t>
            </w:r>
          </w:p>
          <w:p w14:paraId="44EC997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（4）★加盖公章的被授权人身份证</w:t>
            </w:r>
            <w:r>
              <w:rPr>
                <w:rFonts w:hint="eastAsia" w:ascii="仿宋_GB2312" w:hAnsi="仿宋_GB2312" w:eastAsia="仿宋_GB2312" w:cs="仿宋_GB2312"/>
                <w:highlight w:val="none"/>
                <w:lang w:eastAsia="zh-CN"/>
              </w:rPr>
              <w:t>；</w:t>
            </w:r>
          </w:p>
          <w:p w14:paraId="06C2290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（5）★加盖公章的承诺函，包括但不限于：</w:t>
            </w:r>
          </w:p>
          <w:p w14:paraId="010A3254">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具有独立承担民事责任的能力</w:t>
            </w:r>
            <w:r>
              <w:rPr>
                <w:rFonts w:hint="eastAsia" w:hAnsi="宋体"/>
                <w:szCs w:val="24"/>
              </w:rPr>
              <w:t>（分支机构投标的，须提供总公司出具给分支机构的授权书，并承诺民事责任由总公司承担）</w:t>
            </w:r>
            <w:r>
              <w:rPr>
                <w:rFonts w:hint="eastAsia" w:ascii="仿宋_GB2312" w:hAnsi="仿宋_GB2312" w:eastAsia="仿宋_GB2312" w:cs="仿宋_GB2312"/>
                <w:highlight w:val="none"/>
              </w:rPr>
              <w:t>；</w:t>
            </w:r>
          </w:p>
          <w:p w14:paraId="659F2CE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具有在中国境内开展相关业务的营业资格；</w:t>
            </w:r>
          </w:p>
          <w:p w14:paraId="3F9927EF">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遵守国家政策、法律、法规具有良好的商业信誉和诚实的商业道德，无不良记录；</w:t>
            </w:r>
          </w:p>
          <w:p w14:paraId="76AFAF77">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提交的资料（包括复印件）真实有效；</w:t>
            </w:r>
          </w:p>
          <w:p w14:paraId="48DB915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承诺不向任何第三方提供相关信息，并遵守双方约定的相关保密要求</w:t>
            </w:r>
            <w:r>
              <w:rPr>
                <w:rFonts w:hint="eastAsia" w:ascii="仿宋_GB2312" w:hAnsi="仿宋_GB2312" w:eastAsia="仿宋_GB2312" w:cs="仿宋_GB2312"/>
                <w:highlight w:val="none"/>
                <w:lang w:eastAsia="zh-CN"/>
              </w:rPr>
              <w:t>；</w:t>
            </w:r>
          </w:p>
          <w:p w14:paraId="312ED7ED">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响应人参加此采购活动三年内（20</w:t>
            </w:r>
            <w:r>
              <w:rPr>
                <w:rFonts w:hint="eastAsia" w:ascii="仿宋_GB2312" w:hAnsi="仿宋_GB2312" w:eastAsia="仿宋_GB2312" w:cs="仿宋_GB2312"/>
                <w:sz w:val="24"/>
                <w:szCs w:val="22"/>
                <w:highlight w:val="none"/>
                <w:lang w:val="en-US" w:eastAsia="zh-CN"/>
              </w:rPr>
              <w:t>22</w:t>
            </w:r>
            <w:r>
              <w:rPr>
                <w:rFonts w:hint="eastAsia" w:ascii="仿宋_GB2312" w:hAnsi="仿宋_GB2312" w:eastAsia="仿宋_GB2312" w:cs="仿宋_GB2312"/>
                <w:sz w:val="24"/>
                <w:szCs w:val="22"/>
                <w:highlight w:val="none"/>
              </w:rPr>
              <w:t>年1月至今），在经营活动中没有重大违法记录的书面声明（格式自拟，加盖公章）；</w:t>
            </w:r>
          </w:p>
          <w:p w14:paraId="606AFDF3">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响应人未被列入失信被执行人的证明材料；</w:t>
            </w:r>
          </w:p>
          <w:p w14:paraId="7FDF5C3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（6）★营业执照复印件加盖公章、法人身份证复印件及授权委托书（授权代表为非法定代表人时提供，同时须提供法人身份证正反面复印件、被授权人身份证正反面复印件，均需加盖响应人公章）</w:t>
            </w:r>
            <w:r>
              <w:rPr>
                <w:rFonts w:hint="eastAsia" w:ascii="仿宋_GB2312" w:hAnsi="仿宋_GB2312" w:eastAsia="仿宋_GB2312" w:cs="仿宋_GB2312"/>
                <w:highlight w:val="none"/>
                <w:lang w:eastAsia="zh-CN"/>
              </w:rPr>
              <w:t>；</w:t>
            </w:r>
          </w:p>
          <w:p w14:paraId="5EEBF737">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7</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有效的《中华人民共和国基础电信业务经营许可证》；</w:t>
            </w:r>
          </w:p>
          <w:p w14:paraId="06BD32EF">
            <w:pPr>
              <w:rPr>
                <w:rFonts w:hint="eastAsia" w:ascii="仿宋_GB2312" w:hAnsi="仿宋_GB2312" w:eastAsia="仿宋_GB2312" w:cs="仿宋_GB2312"/>
                <w:highlight w:val="none"/>
                <w:lang w:eastAsia="zh-CN"/>
              </w:rPr>
            </w:pP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8</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1个</w:t>
            </w:r>
            <w:r>
              <w:rPr>
                <w:rFonts w:hint="eastAsia" w:ascii="仿宋_GB2312" w:hAnsi="仿宋_GB2312" w:eastAsia="仿宋_GB2312" w:cs="仿宋_GB2312"/>
                <w:sz w:val="24"/>
                <w:szCs w:val="24"/>
                <w:highlight w:val="none"/>
                <w:lang w:eastAsia="zh-CN"/>
              </w:rPr>
              <w:t>本采购项目</w:t>
            </w:r>
            <w:r>
              <w:rPr>
                <w:rFonts w:hint="eastAsia" w:ascii="仿宋_GB2312" w:hAnsi="仿宋_GB2312" w:eastAsia="仿宋_GB2312" w:cs="仿宋_GB2312"/>
                <w:sz w:val="24"/>
                <w:szCs w:val="24"/>
                <w:highlight w:val="none"/>
                <w:lang w:val="en-US" w:eastAsia="zh-CN"/>
              </w:rPr>
              <w:t>同类型的</w:t>
            </w:r>
            <w:r>
              <w:rPr>
                <w:rFonts w:hint="eastAsia" w:ascii="仿宋_GB2312" w:hAnsi="仿宋_GB2312" w:eastAsia="仿宋_GB2312" w:cs="仿宋_GB2312"/>
                <w:sz w:val="24"/>
                <w:szCs w:val="24"/>
                <w:highlight w:val="none"/>
              </w:rPr>
              <w:t>成功</w:t>
            </w:r>
            <w:r>
              <w:rPr>
                <w:rFonts w:hint="eastAsia" w:ascii="仿宋_GB2312" w:hAnsi="仿宋_GB2312" w:eastAsia="仿宋_GB2312" w:cs="仿宋_GB2312"/>
                <w:highlight w:val="none"/>
              </w:rPr>
              <w:t>案例及说明等</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lang w:val="en-US" w:eastAsia="zh-CN"/>
              </w:rPr>
              <w:t>可使用</w:t>
            </w:r>
            <w:r>
              <w:rPr>
                <w:rFonts w:hint="eastAsia" w:ascii="仿宋_GB2312" w:hAnsi="仿宋_GB2312" w:eastAsia="仿宋_GB2312" w:cs="仿宋_GB2312"/>
                <w:sz w:val="24"/>
                <w:szCs w:val="24"/>
                <w:highlight w:val="none"/>
                <w:lang w:val="en-US" w:eastAsia="zh-CN"/>
              </w:rPr>
              <w:t>供应商全资子公司或分公司的案例</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rPr>
              <w:t>，需要提供合同复印件（至少需要首页、关键页、签字盖章页等，案例材料需加盖响应人公章）</w:t>
            </w:r>
            <w:r>
              <w:rPr>
                <w:rFonts w:hint="eastAsia" w:ascii="仿宋_GB2312" w:hAnsi="仿宋_GB2312" w:eastAsia="仿宋_GB2312" w:cs="仿宋_GB2312"/>
                <w:highlight w:val="none"/>
                <w:lang w:eastAsia="zh-CN"/>
              </w:rPr>
              <w:t>；</w:t>
            </w:r>
          </w:p>
          <w:p w14:paraId="10DF6C9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）★技术、服务需求偏离表</w:t>
            </w:r>
            <w:r>
              <w:rPr>
                <w:rFonts w:hint="eastAsia" w:ascii="仿宋_GB2312" w:hAnsi="仿宋_GB2312" w:eastAsia="仿宋_GB2312" w:cs="仿宋_GB2312"/>
                <w:highlight w:val="none"/>
                <w:lang w:eastAsia="zh-CN"/>
              </w:rPr>
              <w:t>；</w:t>
            </w:r>
          </w:p>
          <w:p w14:paraId="53EF850A">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（1</w:t>
            </w:r>
            <w:r>
              <w:rPr>
                <w:rFonts w:hint="eastAsia" w:ascii="仿宋_GB2312" w:hAnsi="仿宋_GB2312" w:eastAsia="仿宋_GB2312" w:cs="仿宋_GB2312"/>
                <w:highlight w:val="none"/>
                <w:lang w:val="en-US" w:eastAsia="zh-CN"/>
              </w:rPr>
              <w:t>0</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采购需求提及或响应人认为需要提供的其他证明材料。</w:t>
            </w:r>
          </w:p>
          <w:p w14:paraId="58599CCF">
            <w:pPr>
              <w:pStyle w:val="2"/>
              <w:spacing w:line="240" w:lineRule="auto"/>
              <w:rPr>
                <w:rFonts w:hint="eastAsia"/>
              </w:rPr>
            </w:pPr>
            <w:r>
              <w:rPr>
                <w:rFonts w:hint="eastAsia" w:ascii="仿宋_GB2312" w:hAnsi="仿宋_GB2312" w:eastAsia="仿宋_GB2312" w:cs="仿宋_GB2312"/>
                <w:b w:val="0"/>
                <w:bCs w:val="0"/>
                <w:sz w:val="24"/>
                <w:szCs w:val="22"/>
                <w:highlight w:val="none"/>
                <w:lang w:val="en-US" w:eastAsia="zh-CN"/>
              </w:rPr>
              <w:t>注：【投标人为无法定代表人的其他团体组织等时，法定代表人则系指其负责人。法定代表人（或负责人）签字、盖手签章或盖姓名章均为有效法定代表人签署。】</w:t>
            </w:r>
          </w:p>
        </w:tc>
      </w:tr>
      <w:tr w14:paraId="7E221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jc w:val="center"/>
        </w:trPr>
        <w:tc>
          <w:tcPr>
            <w:tcW w:w="704" w:type="dxa"/>
            <w:vAlign w:val="center"/>
          </w:tcPr>
          <w:p w14:paraId="7E5F57E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3</w:t>
            </w:r>
          </w:p>
        </w:tc>
        <w:tc>
          <w:tcPr>
            <w:tcW w:w="1418" w:type="dxa"/>
            <w:vAlign w:val="center"/>
          </w:tcPr>
          <w:p w14:paraId="07DC91A9">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响应文件份数及要求</w:t>
            </w:r>
          </w:p>
        </w:tc>
        <w:tc>
          <w:tcPr>
            <w:tcW w:w="5841" w:type="dxa"/>
            <w:vAlign w:val="center"/>
          </w:tcPr>
          <w:p w14:paraId="440D557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正本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份,副本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p>
          <w:p w14:paraId="38C01EEA">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电子文档</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bookmarkStart w:id="42" w:name="_GoBack"/>
          </w:p>
          <w:bookmarkEnd w:id="42"/>
          <w:p w14:paraId="20030D83">
            <w:pPr>
              <w:rPr>
                <w:rFonts w:hint="eastAsia" w:ascii="仿宋_GB2312" w:hAnsi="仿宋_GB2312" w:eastAsia="仿宋_GB2312" w:cs="仿宋_GB2312"/>
                <w:highlight w:val="none"/>
              </w:rPr>
            </w:pPr>
            <w:r>
              <w:rPr>
                <w:rFonts w:hint="eastAsia" w:ascii="仿宋_GB2312" w:hAnsi="仿宋_GB2312" w:eastAsia="仿宋_GB2312" w:cs="仿宋_GB2312"/>
                <w:sz w:val="24"/>
                <w:szCs w:val="24"/>
                <w:highlight w:val="none"/>
              </w:rPr>
              <w:t>响应人需将响应文件逐页标号并提供目录，供采购评审和采购人存档使用。</w:t>
            </w:r>
          </w:p>
        </w:tc>
      </w:tr>
      <w:tr w14:paraId="74D26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704" w:type="dxa"/>
            <w:vAlign w:val="center"/>
          </w:tcPr>
          <w:p w14:paraId="29BB192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4</w:t>
            </w:r>
          </w:p>
        </w:tc>
        <w:tc>
          <w:tcPr>
            <w:tcW w:w="1418" w:type="dxa"/>
            <w:vAlign w:val="center"/>
          </w:tcPr>
          <w:p w14:paraId="437B9C4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w:t>
            </w:r>
          </w:p>
        </w:tc>
        <w:tc>
          <w:tcPr>
            <w:tcW w:w="5841" w:type="dxa"/>
            <w:vAlign w:val="center"/>
          </w:tcPr>
          <w:p w14:paraId="346A556E">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报价方式：人民币完税价。</w:t>
            </w:r>
          </w:p>
        </w:tc>
      </w:tr>
      <w:tr w14:paraId="23D4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jc w:val="center"/>
        </w:trPr>
        <w:tc>
          <w:tcPr>
            <w:tcW w:w="704" w:type="dxa"/>
            <w:vAlign w:val="center"/>
          </w:tcPr>
          <w:p w14:paraId="4223C91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5</w:t>
            </w:r>
          </w:p>
        </w:tc>
        <w:tc>
          <w:tcPr>
            <w:tcW w:w="1418" w:type="dxa"/>
            <w:vAlign w:val="center"/>
          </w:tcPr>
          <w:p w14:paraId="54F651F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首次响应文件递交截止时间及地点</w:t>
            </w:r>
          </w:p>
        </w:tc>
        <w:tc>
          <w:tcPr>
            <w:tcW w:w="5841" w:type="dxa"/>
            <w:vAlign w:val="center"/>
          </w:tcPr>
          <w:p w14:paraId="4524314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截止时间：202</w:t>
            </w:r>
            <w:r>
              <w:rPr>
                <w:rFonts w:hint="eastAsia" w:ascii="仿宋_GB2312" w:hAnsi="仿宋_GB2312" w:eastAsia="仿宋_GB2312" w:cs="仿宋_GB2312"/>
                <w:highlight w:val="none"/>
                <w:lang w:val="en-US" w:eastAsia="zh-CN"/>
              </w:rPr>
              <w:t>5</w:t>
            </w:r>
            <w:r>
              <w:rPr>
                <w:rFonts w:hint="eastAsia" w:ascii="仿宋_GB2312" w:hAnsi="仿宋_GB2312" w:eastAsia="仿宋_GB2312" w:cs="仿宋_GB2312"/>
                <w:highlight w:val="none"/>
              </w:rPr>
              <w:t>年</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月</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日1</w:t>
            </w:r>
            <w:r>
              <w:rPr>
                <w:rFonts w:hint="eastAsia" w:ascii="仿宋_GB2312" w:hAnsi="仿宋_GB2312" w:eastAsia="仿宋_GB2312" w:cs="仿宋_GB2312"/>
                <w:highlight w:val="none"/>
                <w:lang w:val="en-US" w:eastAsia="zh-CN"/>
              </w:rPr>
              <w:t>8</w:t>
            </w:r>
            <w:r>
              <w:rPr>
                <w:rFonts w:hint="eastAsia" w:ascii="仿宋_GB2312" w:hAnsi="仿宋_GB2312" w:eastAsia="仿宋_GB2312" w:cs="仿宋_GB2312"/>
                <w:highlight w:val="none"/>
              </w:rPr>
              <w:t>点</w:t>
            </w:r>
          </w:p>
          <w:p w14:paraId="387C2DA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地点：北京市丰台区金唐</w:t>
            </w:r>
            <w:r>
              <w:rPr>
                <w:rFonts w:hint="eastAsia" w:ascii="仿宋_GB2312" w:hAnsi="仿宋_GB2312" w:eastAsia="仿宋_GB2312" w:cs="仿宋_GB2312"/>
                <w:highlight w:val="none"/>
                <w:lang w:val="en-US" w:eastAsia="zh-CN"/>
              </w:rPr>
              <w:t>西联大厦A座12层</w:t>
            </w:r>
          </w:p>
        </w:tc>
      </w:tr>
      <w:tr w14:paraId="437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704" w:type="dxa"/>
            <w:vAlign w:val="center"/>
          </w:tcPr>
          <w:p w14:paraId="640D58B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6</w:t>
            </w:r>
          </w:p>
        </w:tc>
        <w:tc>
          <w:tcPr>
            <w:tcW w:w="1418" w:type="dxa"/>
            <w:vAlign w:val="center"/>
          </w:tcPr>
          <w:p w14:paraId="2837847F">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评审办法</w:t>
            </w:r>
          </w:p>
        </w:tc>
        <w:tc>
          <w:tcPr>
            <w:tcW w:w="5841" w:type="dxa"/>
            <w:vAlign w:val="center"/>
          </w:tcPr>
          <w:p w14:paraId="7D95412B">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b w:val="0"/>
                <w:sz w:val="24"/>
                <w:szCs w:val="22"/>
                <w:highlight w:val="none"/>
                <w:lang w:eastAsia="zh-CN"/>
              </w:rPr>
              <w:t>综合比选</w:t>
            </w:r>
          </w:p>
        </w:tc>
      </w:tr>
      <w:tr w14:paraId="02C29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jc w:val="center"/>
        </w:trPr>
        <w:tc>
          <w:tcPr>
            <w:tcW w:w="704" w:type="dxa"/>
            <w:vAlign w:val="center"/>
          </w:tcPr>
          <w:p w14:paraId="28491091">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7</w:t>
            </w:r>
          </w:p>
        </w:tc>
        <w:tc>
          <w:tcPr>
            <w:tcW w:w="1418" w:type="dxa"/>
            <w:vAlign w:val="center"/>
          </w:tcPr>
          <w:p w14:paraId="770E1C1B">
            <w:pPr>
              <w:rPr>
                <w:rFonts w:hint="eastAsia" w:ascii="仿宋_GB2312" w:hAnsi="仿宋_GB2312" w:eastAsia="仿宋_GB2312" w:cs="仿宋_GB2312"/>
                <w:highlight w:val="none"/>
              </w:rPr>
            </w:pPr>
            <w:r>
              <w:rPr>
                <w:rFonts w:hint="eastAsia" w:ascii="仿宋" w:hAnsi="仿宋" w:eastAsia="仿宋" w:cs="仿宋_GB2312"/>
                <w:kern w:val="0"/>
                <w:sz w:val="24"/>
              </w:rPr>
              <w:t>推荐成交候选供应商的数量</w:t>
            </w:r>
          </w:p>
        </w:tc>
        <w:tc>
          <w:tcPr>
            <w:tcW w:w="5841" w:type="dxa"/>
            <w:vAlign w:val="center"/>
          </w:tcPr>
          <w:p w14:paraId="080CB4DD">
            <w:pPr>
              <w:pStyle w:val="34"/>
              <w:adjustRightInd w:val="0"/>
              <w:snapToGrid w:val="0"/>
              <w:spacing w:line="360" w:lineRule="auto"/>
              <w:jc w:val="left"/>
              <w:outlineLvl w:val="9"/>
              <w:rPr>
                <w:rFonts w:hint="default" w:ascii="仿宋_GB2312" w:hAnsi="仿宋_GB2312" w:eastAsia="仿宋_GB2312" w:cs="仿宋_GB2312"/>
                <w:b w:val="0"/>
                <w:sz w:val="24"/>
                <w:szCs w:val="22"/>
                <w:highlight w:val="none"/>
                <w:lang w:val="en-US" w:eastAsia="zh-CN"/>
              </w:rPr>
            </w:pPr>
            <w:r>
              <w:rPr>
                <w:rFonts w:hint="default" w:ascii="仿宋_GB2312" w:hAnsi="仿宋_GB2312" w:eastAsia="仿宋_GB2312" w:cs="仿宋_GB2312"/>
                <w:b w:val="0"/>
                <w:sz w:val="24"/>
                <w:szCs w:val="22"/>
                <w:highlight w:val="none"/>
                <w:lang w:val="en-US" w:eastAsia="zh-CN"/>
              </w:rPr>
              <w:t>从质量和服务均能满足采购文件实质性响应要求的供应商中，按照最后报价由低到高的顺序推荐成交候选人。推荐成交候选供应商的数量为2家</w:t>
            </w:r>
            <w:r>
              <w:rPr>
                <w:rFonts w:hint="eastAsia" w:ascii="仿宋_GB2312" w:hAnsi="仿宋_GB2312" w:eastAsia="仿宋_GB2312" w:cs="仿宋_GB2312"/>
                <w:b w:val="0"/>
                <w:sz w:val="24"/>
                <w:szCs w:val="22"/>
                <w:highlight w:val="none"/>
                <w:lang w:val="en-US" w:eastAsia="zh-CN"/>
              </w:rPr>
              <w:t>。</w:t>
            </w:r>
          </w:p>
        </w:tc>
      </w:tr>
      <w:tr w14:paraId="6D561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7" w:hRule="atLeast"/>
          <w:jc w:val="center"/>
        </w:trPr>
        <w:tc>
          <w:tcPr>
            <w:tcW w:w="704" w:type="dxa"/>
            <w:vAlign w:val="center"/>
          </w:tcPr>
          <w:p w14:paraId="74FC824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lang w:val="en-US" w:eastAsia="zh-CN"/>
              </w:rPr>
              <w:t>8</w:t>
            </w:r>
          </w:p>
        </w:tc>
        <w:tc>
          <w:tcPr>
            <w:tcW w:w="1418" w:type="dxa"/>
            <w:vAlign w:val="center"/>
          </w:tcPr>
          <w:p w14:paraId="4AE7B42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知识产权</w:t>
            </w:r>
          </w:p>
        </w:tc>
        <w:tc>
          <w:tcPr>
            <w:tcW w:w="5841" w:type="dxa"/>
            <w:vAlign w:val="center"/>
          </w:tcPr>
          <w:p w14:paraId="5CD214D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供应商应保证所提供的任何货物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或其任何部分或该货物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与其他货物一起使用后，不侵犯任何第三方的知识产权、专有技术权、商业秘密权或其他任何权利。如供应商响应内容涉及上述权利，其相关费用应已含在总报价中。如有，需在响应文件中予以说明。</w:t>
            </w:r>
          </w:p>
        </w:tc>
      </w:tr>
      <w:bookmarkEnd w:id="0"/>
    </w:tbl>
    <w:p w14:paraId="44001F00">
      <w:pPr>
        <w:rPr>
          <w:rFonts w:hint="eastAsia" w:ascii="仿宋_GB2312" w:hAnsi="仿宋_GB2312" w:eastAsia="仿宋_GB2312" w:cs="仿宋_GB2312"/>
          <w:bCs/>
          <w:highlight w:val="none"/>
        </w:rPr>
      </w:pPr>
    </w:p>
    <w:p w14:paraId="31B262D9">
      <w:pPr>
        <w:widowControl/>
        <w:jc w:val="left"/>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578B12E0">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第三章 采购需求</w:t>
      </w:r>
    </w:p>
    <w:p w14:paraId="1F4A634E">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项目背景</w:t>
      </w:r>
    </w:p>
    <w:p w14:paraId="7C9ADEC3">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为满足</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rPr>
        <w:t>相关项目需求，需要采购</w:t>
      </w:r>
      <w:r>
        <w:rPr>
          <w:rFonts w:hint="eastAsia" w:ascii="仿宋_GB2312" w:hAnsi="仿宋_GB2312" w:eastAsia="仿宋_GB2312" w:cs="仿宋_GB2312"/>
          <w:sz w:val="24"/>
          <w:szCs w:val="24"/>
          <w:highlight w:val="none"/>
          <w:lang w:val="en-US" w:eastAsia="zh-CN"/>
        </w:rPr>
        <w:t>二次放号查询服务</w:t>
      </w:r>
      <w:r>
        <w:rPr>
          <w:rFonts w:hint="eastAsia" w:ascii="仿宋_GB2312" w:hAnsi="仿宋_GB2312" w:eastAsia="仿宋_GB2312" w:cs="仿宋_GB2312"/>
          <w:sz w:val="24"/>
          <w:szCs w:val="24"/>
          <w:highlight w:val="none"/>
        </w:rPr>
        <w:t>，用于</w:t>
      </w:r>
      <w:r>
        <w:rPr>
          <w:rFonts w:hint="eastAsia" w:ascii="仿宋_GB2312" w:hAnsi="仿宋_GB2312" w:eastAsia="仿宋_GB2312" w:cs="仿宋_GB2312"/>
          <w:sz w:val="24"/>
          <w:szCs w:val="24"/>
          <w:highlight w:val="none"/>
          <w:lang w:val="en-US" w:eastAsia="zh-CN"/>
        </w:rPr>
        <w:t>满足二次放号查询的业务需求</w:t>
      </w:r>
      <w:r>
        <w:rPr>
          <w:rFonts w:hint="eastAsia" w:ascii="仿宋_GB2312" w:hAnsi="仿宋_GB2312" w:eastAsia="仿宋_GB2312" w:cs="仿宋_GB2312"/>
          <w:sz w:val="24"/>
          <w:szCs w:val="24"/>
          <w:highlight w:val="none"/>
        </w:rPr>
        <w:t>。</w:t>
      </w:r>
    </w:p>
    <w:p>
      <w:pPr>
        <w:shd w:val="clear" w:color="auto" w:fill="D9D9D9"/>
      </w:pPr>
      <w:r>
        <w:rPr>
          <w:rFonts w:ascii="仿宋_GB2312" w:hAnsi="仿宋_GB2312"/>
          <w:color w:val="000000"/>
          <w:sz w:val="24"/>
        </w:rPr>
        <w:t>应答：满足。系统支持二次放号查询服务，具备高效的数据检索和处理能力，能够实时响应用户的查询请求。通过优化的数据库架构，确保查询结果的准确性和及时性，同时支持多种查询条件的灵活组合，以满足不同业务场景的需求。</w:t>
      </w:r>
    </w:p>
    <w:p w14:paraId="4E69B9A5">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采购要求</w:t>
      </w:r>
    </w:p>
    <w:p w14:paraId="3BA9036C">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采购说明</w:t>
      </w:r>
    </w:p>
    <w:p w14:paraId="567D0E69">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2.1.1本采购要求中的技术要求，是根据相关项目要求制定的。</w:t>
      </w:r>
    </w:p>
    <w:p>
      <w:pPr>
        <w:shd w:val="clear" w:color="auto" w:fill="D9D9D9"/>
      </w:pPr>
      <w:r>
        <w:rPr>
          <w:rFonts w:ascii="仿宋_GB2312" w:hAnsi="仿宋_GB2312"/>
          <w:color w:val="000000"/>
        </w:rPr>
        <w:t>应答：满足。系统支持根据相关项目要求制定的技术标准，确保所有功能模块符合行业规范，能够灵活适应不同项目需求，提供高效的技术支持和服务。</w:t>
      </w:r>
    </w:p>
    <w:p w14:paraId="3E61DC2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2.1.2本采购需求中所指的用户包括所采购</w:t>
      </w:r>
      <w:r>
        <w:rPr>
          <w:rFonts w:hint="eastAsia" w:ascii="仿宋_GB2312" w:hAnsi="仿宋_GB2312" w:eastAsia="仿宋_GB2312" w:cs="仿宋_GB2312"/>
          <w:szCs w:val="24"/>
          <w:highlight w:val="none"/>
          <w:lang w:val="en-US" w:eastAsia="zh-CN"/>
        </w:rPr>
        <w:t>内容</w:t>
      </w:r>
      <w:r>
        <w:rPr>
          <w:rFonts w:hint="eastAsia" w:ascii="仿宋_GB2312" w:hAnsi="仿宋_GB2312" w:eastAsia="仿宋_GB2312" w:cs="仿宋_GB2312"/>
          <w:szCs w:val="24"/>
          <w:highlight w:val="none"/>
        </w:rPr>
        <w:t>的使用方、集成方、运行方、管理者。</w:t>
      </w:r>
    </w:p>
    <w:p>
      <w:pPr>
        <w:shd w:val="clear" w:color="auto" w:fill="D9D9D9"/>
      </w:pPr>
      <w:r>
        <w:rPr>
          <w:rFonts w:ascii="仿宋_GB2312" w:hAnsi="仿宋_GB2312"/>
          <w:color w:val="000000"/>
        </w:rPr>
        <w:t>应答：满足。系统支持多角色用户管理，涵盖使用方、集成方、运行方及管理者等不同用户类型。每个角色可根据其权限访问相应功能模块，确保信息安全与操作灵活性。同时，系统提供角色定制化配置，满足不同用户的特定需求。</w:t>
      </w:r>
    </w:p>
    <w:p w14:paraId="433FBD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2.1.3供应商应诚实守信,保证响应文件真实有效,不得存在提供虚假证明材料、恶意低价等恶意竞标行为，否则将导致响应被拒绝。</w:t>
      </w:r>
    </w:p>
    <w:p>
      <w:pPr>
        <w:shd w:val="clear" w:color="auto" w:fill="D9D9D9"/>
      </w:pPr>
      <w:r>
        <w:rPr>
          <w:rFonts w:ascii="仿宋_GB2312" w:hAnsi="仿宋_GB2312"/>
          <w:color w:val="000000"/>
        </w:rPr>
        <w:t>应答：满足。我们承诺在响应文件中提供真实有效的信息，严格遵循诚实守信的原则，确保所有提交的证明材料均为真实且准确。我们将避免任何恶意低价或不当竞标行为，确保响应过程的公平性与透明度，以维护良好的市场秩序和竞争环境。</w:t>
      </w:r>
    </w:p>
    <w:p w14:paraId="154B689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2.1.4供应商提供的</w:t>
      </w:r>
      <w:r>
        <w:rPr>
          <w:rFonts w:hint="eastAsia" w:ascii="仿宋_GB2312" w:hAnsi="仿宋_GB2312" w:eastAsia="仿宋_GB2312" w:cs="仿宋_GB2312"/>
          <w:szCs w:val="24"/>
          <w:highlight w:val="none"/>
          <w:lang w:val="en-US" w:eastAsia="zh-CN"/>
        </w:rPr>
        <w:t>技术服务</w:t>
      </w:r>
      <w:r>
        <w:rPr>
          <w:rFonts w:hint="eastAsia" w:ascii="仿宋_GB2312" w:hAnsi="仿宋_GB2312" w:eastAsia="仿宋_GB2312" w:cs="仿宋_GB2312"/>
          <w:szCs w:val="24"/>
          <w:highlight w:val="none"/>
        </w:rPr>
        <w:t>必须符合中华人民共和国相关法律法规销售许可。</w:t>
      </w:r>
    </w:p>
    <w:p>
      <w:pPr>
        <w:shd w:val="clear" w:color="auto" w:fill="D9D9D9"/>
      </w:pPr>
      <w:r>
        <w:rPr>
          <w:rFonts w:ascii="仿宋_GB2312" w:hAnsi="仿宋_GB2312"/>
          <w:color w:val="000000"/>
        </w:rPr>
        <w:t>应答：满足。系统提供的技术服务严格遵循中华人民共和国相关法律法规，确保所有销售许可均符合国家标准。我们将定期进行合规性审查，确保服务持续符合最新的法律要求，并为客户提供合法合规的技术支持。</w:t>
      </w:r>
    </w:p>
    <w:p w14:paraId="116BD9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2.1.5供应商所提供的技术服务，如若发生侵犯任何第三方知识产权的行为时，其侵权责任与买方无关，应由供应商承担相应的责任，并不得损害买方的利益。</w:t>
      </w:r>
    </w:p>
    <w:p>
      <w:pPr>
        <w:shd w:val="clear" w:color="auto" w:fill="D9D9D9"/>
      </w:pPr>
      <w:r>
        <w:rPr>
          <w:rFonts w:ascii="仿宋_GB2312" w:hAnsi="仿宋_GB2312"/>
          <w:color w:val="000000"/>
        </w:rPr>
        <w:t>应答：满足。我方承诺提供的技术服务将严格遵循知识产权相关法律法规，确保不侵犯任何第三方的知识产权。如发生侵权行为，供应商将承担相应的法律责任，并确保不对买方的利益造成任何损害。我们将建立完善的知识产权风险评估机制，确保服务的合规性和安全性。</w:t>
      </w:r>
    </w:p>
    <w:p w14:paraId="3879A433">
      <w:pPr>
        <w:keepNext w:val="0"/>
        <w:keepLines w:val="0"/>
        <w:pageBreakBefore w:val="0"/>
        <w:widowControl w:val="0"/>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2.1.6本次采购产品为非进口产品。</w:t>
      </w:r>
    </w:p>
    <w:p>
      <w:pPr>
        <w:shd w:val="clear" w:color="auto" w:fill="D9D9D9"/>
      </w:pPr>
      <w:r>
        <w:rPr>
          <w:rFonts w:ascii="仿宋_GB2312" w:hAnsi="仿宋_GB2312"/>
          <w:color w:val="000000"/>
        </w:rPr>
        <w:t>应答：满足。我方所提供的产品均为非进口产品，符合国家相关政策要求，确保在质量、性能及售后服务上达到国内市场的高标准。所有产品均在国内生产，具备完善的供应链管理和技术支持体系，确保及时响应客户需求。</w:t>
      </w:r>
    </w:p>
    <w:p w14:paraId="4DE4030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szCs w:val="24"/>
          <w:highlight w:val="none"/>
        </w:rPr>
        <w:t>本采购需求是根据信息化建设要求制定的。</w:t>
      </w:r>
    </w:p>
    <w:p>
      <w:pPr>
        <w:shd w:val="clear" w:color="auto" w:fill="D9D9D9"/>
      </w:pPr>
      <w:r>
        <w:rPr>
          <w:rFonts w:ascii="仿宋_GB2312" w:hAnsi="仿宋_GB2312"/>
          <w:color w:val="000000"/>
        </w:rPr>
        <w:t>应答：满足。系统支持信息化建设的各项要求，具备灵活的架构设计和模块化功能，能够根据实际需求进行定制化开发，确保信息化建设的高效实施与管理。</w:t>
      </w:r>
    </w:p>
    <w:p w14:paraId="5E7EBF8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 w:val="24"/>
          <w:szCs w:val="24"/>
          <w:highlight w:val="none"/>
        </w:rPr>
        <w:t>本采购需求中所指的用户包括项目的使用方、集成方、运行方、管理者。</w:t>
      </w:r>
    </w:p>
    <w:p>
      <w:pPr>
        <w:shd w:val="clear" w:color="auto" w:fill="D9D9D9"/>
      </w:pPr>
      <w:r>
        <w:rPr>
          <w:rFonts w:ascii="仿宋_GB2312" w:hAnsi="仿宋_GB2312"/>
          <w:color w:val="000000"/>
        </w:rPr>
        <w:t>应答：满足。系统支持多角色用户管理，涵盖项目的使用方、集成方、运行方及管理者。各角色可根据权限进行个性化设置，确保信息安全与操作便捷。系统提供角色分配、权限控制及操作日志功能，确保各类用户在其权限范围内高效协作。</w:t>
      </w:r>
    </w:p>
    <w:p w14:paraId="57A15984">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 w:val="24"/>
          <w:szCs w:val="24"/>
          <w:highlight w:val="none"/>
        </w:rPr>
        <w:t>本采购项目不接受联合</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，未经采购人书面同意不得将项目转包、分包。</w:t>
      </w:r>
    </w:p>
    <w:p>
      <w:pPr>
        <w:shd w:val="clear" w:color="auto" w:fill="D9D9D9"/>
      </w:pPr>
      <w:r>
        <w:rPr>
          <w:rFonts w:ascii="仿宋_GB2312" w:hAnsi="仿宋_GB2312"/>
          <w:color w:val="000000"/>
        </w:rPr>
        <w:t>应答：满足。系统严格遵循采购项目的相关规定，不接受联合响应，确保所有服务由我方独立提供，未经采购人书面同意，不会进行项目的转包或分包，确保项目的完整性和服务质量。</w:t>
      </w:r>
    </w:p>
    <w:p w14:paraId="27AAACF6">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应诚实守信,保证响应文件真实有效,不得存在提供虚假证明材料、恶意低价等恶意竞标行为，否则将导致</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被拒绝。</w:t>
      </w:r>
    </w:p>
    <w:p>
      <w:pPr>
        <w:shd w:val="clear" w:color="auto" w:fill="D9D9D9"/>
      </w:pPr>
      <w:r>
        <w:rPr>
          <w:rFonts w:ascii="仿宋_GB2312" w:hAnsi="仿宋_GB2312"/>
          <w:color w:val="000000"/>
        </w:rPr>
        <w:t>应答：满足。我们承诺在响应文件中提供真实有效的信息，严格遵守诚实守信的原则，确保所有证明材料的真实性。我们将避免任何恶意低价或不当竞争行为，以维护公平竞争的市场环境，确保响应的合法性和有效性。</w:t>
      </w:r>
    </w:p>
    <w:p w14:paraId="71F4DF6C">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提供的技术服务必须符合中华人民共和国相关法律法规。</w:t>
      </w:r>
    </w:p>
    <w:p>
      <w:pPr>
        <w:shd w:val="clear" w:color="auto" w:fill="D9D9D9"/>
      </w:pPr>
      <w:r>
        <w:rPr>
          <w:rFonts w:ascii="仿宋_GB2312" w:hAnsi="仿宋_GB2312"/>
          <w:color w:val="000000"/>
        </w:rPr>
        <w:t>应答：满足。系统提供的技术服务严格遵循中华人民共和国相关法律法规，确保所有服务流程、数据处理和信息安全措施均符合国家标准。同时，我方将定期进行法律合规性审查，确保持续符合最新法规要求。</w:t>
      </w:r>
    </w:p>
    <w:p w14:paraId="5158E2D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5</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所提供的服务，如若发生侵犯任何第三方知识产权（包括但不限于著作权、商标、专利、商业秘密等）的行为时，其侵权责任与买方无关，应由</w:t>
      </w:r>
      <w:r>
        <w:rPr>
          <w:rFonts w:hint="eastAsia" w:ascii="仿宋_GB2312" w:hAnsi="仿宋_GB2312" w:eastAsia="仿宋_GB2312" w:cs="仿宋_GB2312"/>
          <w:sz w:val="24"/>
          <w:szCs w:val="24"/>
          <w:highlight w:val="none"/>
          <w:lang w:val="en-US" w:eastAsia="zh-CN"/>
        </w:rPr>
        <w:t>供应商</w:t>
      </w:r>
      <w:r>
        <w:rPr>
          <w:rFonts w:hint="eastAsia" w:ascii="仿宋_GB2312" w:hAnsi="仿宋_GB2312" w:eastAsia="仿宋_GB2312" w:cs="仿宋_GB2312"/>
          <w:sz w:val="24"/>
          <w:szCs w:val="24"/>
          <w:highlight w:val="none"/>
        </w:rPr>
        <w:t>承担相应的责任，并不得损害买方的利益。</w:t>
      </w:r>
    </w:p>
    <w:p>
      <w:pPr>
        <w:shd w:val="clear" w:color="auto" w:fill="D9D9D9"/>
      </w:pPr>
      <w:r>
        <w:rPr>
          <w:rFonts w:ascii="仿宋_GB2312" w:hAnsi="仿宋_GB2312"/>
          <w:color w:val="000000"/>
        </w:rPr>
        <w:t>应答：满足。我方承诺在提供服务过程中，严格遵循知识产权相关法律法规，确保不侵犯任何第三方的著作权、商标、专利及商业秘密等权利。如发生侵权行为，我方将承担全部责任，并保证不对买方的利益造成任何损害。</w:t>
      </w:r>
    </w:p>
    <w:p w14:paraId="5F8A9162">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6</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如被采购评审委员会裁定存在恶意竞标行为，采购人有权取消供应商参与此次采购活动资格。</w:t>
      </w:r>
    </w:p>
    <w:p>
      <w:pPr>
        <w:shd w:val="clear" w:color="auto" w:fill="D9D9D9"/>
      </w:pPr>
      <w:r>
        <w:rPr>
          <w:rFonts w:ascii="仿宋_GB2312" w:hAnsi="仿宋_GB2312"/>
          <w:color w:val="000000"/>
        </w:rPr>
        <w:t>应答：满足。系统将严格遵循采购评审委员会的裁定，确保在发现恶意竞标行为时，及时取消相关供应商的参与资格。同时，系统具备透明的审查流程，确保所有评审结果的公正性和合规性，以维护采购活动的公平性和诚信度。</w:t>
      </w:r>
    </w:p>
    <w:p w14:paraId="7395A74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7</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lang w:val="zh-TW"/>
        </w:rPr>
        <w:t>须能开具</w:t>
      </w:r>
      <w:r>
        <w:rPr>
          <w:rFonts w:hint="eastAsia" w:ascii="仿宋_GB2312" w:hAnsi="仿宋_GB2312" w:eastAsia="仿宋_GB2312" w:cs="仿宋_GB2312"/>
          <w:sz w:val="24"/>
          <w:szCs w:val="24"/>
          <w:highlight w:val="none"/>
        </w:rPr>
        <w:t>增值税专用发票</w:t>
      </w:r>
      <w:r>
        <w:rPr>
          <w:rFonts w:hint="eastAsia" w:ascii="仿宋_GB2312" w:hAnsi="仿宋_GB2312" w:eastAsia="仿宋_GB2312" w:cs="仿宋_GB2312"/>
          <w:sz w:val="24"/>
          <w:szCs w:val="24"/>
          <w:highlight w:val="none"/>
          <w:lang w:val="zh-TW"/>
        </w:rPr>
        <w:t>。</w:t>
      </w:r>
    </w:p>
    <w:p>
      <w:pPr>
        <w:shd w:val="clear" w:color="auto" w:fill="D9D9D9"/>
      </w:pPr>
      <w:r>
        <w:rPr>
          <w:rFonts w:ascii="仿宋_GB2312" w:hAnsi="仿宋_GB2312"/>
          <w:color w:val="000000"/>
        </w:rPr>
        <w:t>应答：满足。我方具备开具增值税专用发票的资质，能够按照国家税务规定，及时、准确地为客户提供增值税专用发票，确保满足采购方的财务需求。我们的财务系统经过专业认证，能够高效处理发票开具流程，确保合规性和准确性。</w:t>
      </w:r>
    </w:p>
    <w:p w14:paraId="47AED3D0">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供应商资格要求</w:t>
      </w:r>
    </w:p>
    <w:p w14:paraId="4946B412">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供应商应满足以下条件：</w:t>
      </w:r>
    </w:p>
    <w:p>
      <w:pPr>
        <w:shd w:val="clear" w:color="auto" w:fill="D9D9D9"/>
      </w:pPr>
      <w:r>
        <w:rPr>
          <w:rFonts w:ascii="仿宋_GB2312" w:hAnsi="仿宋_GB2312"/>
          <w:color w:val="000000"/>
        </w:rPr>
        <w:t>应答：满足。系统支持供应商资质的全面审核与管理，能够对供应商的注册信息、资质证书、财务状况等进行系统化记录和跟踪，确保符合相关行业标准与法规要求。同时，系统具备自动化审核流程，支持对供应商的合规性进行实时监控与评估。</w:t>
      </w:r>
    </w:p>
    <w:p w14:paraId="4F08A12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highlight w:val="none"/>
        </w:rPr>
        <w:t>供应商必须具有</w:t>
      </w:r>
      <w:r>
        <w:rPr>
          <w:rFonts w:hint="eastAsia" w:ascii="仿宋_GB2312" w:hAnsi="仿宋_GB2312" w:eastAsia="仿宋_GB2312" w:cs="仿宋_GB2312"/>
          <w:sz w:val="24"/>
          <w:highlight w:val="none"/>
          <w:lang w:val="en-US" w:eastAsia="zh-CN"/>
        </w:rPr>
        <w:t>或被授权使用</w:t>
      </w:r>
      <w:r>
        <w:rPr>
          <w:rFonts w:hint="eastAsia" w:ascii="仿宋_GB2312" w:hAnsi="仿宋_GB2312" w:eastAsia="仿宋_GB2312" w:cs="仿宋_GB2312"/>
          <w:sz w:val="24"/>
          <w:highlight w:val="none"/>
        </w:rPr>
        <w:t>有效的《中华人民共和国基础电信业务经营许可证》。</w:t>
      </w:r>
    </w:p>
    <w:p>
      <w:pPr>
        <w:shd w:val="clear" w:color="auto" w:fill="D9D9D9"/>
      </w:pPr>
      <w:r>
        <w:rPr>
          <w:rFonts w:ascii="仿宋_GB2312" w:hAnsi="仿宋_GB2312"/>
          <w:color w:val="000000"/>
        </w:rPr>
        <w:t>应答：满足。我方具备有效的《中华人民共和国基础电信业务经营许可证》，并已通过相关监管部门的审核，确保在基础电信业务领域的合法合规运营。我们承诺严格遵循国家法律法规，提供高质量的电信服务。</w:t>
      </w:r>
    </w:p>
    <w:p w14:paraId="7B8A5D90">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供应商至少提供</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Cs w:val="24"/>
          <w:highlight w:val="none"/>
        </w:rPr>
        <w:t>个所投产品20</w:t>
      </w:r>
      <w:r>
        <w:rPr>
          <w:rFonts w:hint="eastAsia" w:ascii="仿宋_GB2312" w:hAnsi="仿宋_GB2312" w:eastAsia="仿宋_GB2312" w:cs="仿宋_GB2312"/>
          <w:szCs w:val="24"/>
          <w:highlight w:val="none"/>
          <w:lang w:val="en-US" w:eastAsia="zh-CN"/>
        </w:rPr>
        <w:t>22</w:t>
      </w:r>
      <w:r>
        <w:rPr>
          <w:rFonts w:hint="eastAsia" w:ascii="仿宋_GB2312" w:hAnsi="仿宋_GB2312" w:eastAsia="仿宋_GB2312" w:cs="仿宋_GB2312"/>
          <w:szCs w:val="24"/>
          <w:highlight w:val="none"/>
        </w:rPr>
        <w:t>年以来同类项目成功案例（可使用供应商全资子公司或分公司的案例），案例需提供合同复印件</w:t>
      </w:r>
      <w:r>
        <w:rPr>
          <w:rFonts w:hint="eastAsia" w:ascii="仿宋_GB2312" w:hAnsi="仿宋_GB2312" w:eastAsia="仿宋_GB2312" w:cs="仿宋_GB2312"/>
          <w:sz w:val="24"/>
          <w:szCs w:val="24"/>
          <w:highlight w:val="none"/>
        </w:rPr>
        <w:t>（至少需要首页、关键页、签字盖章页等盖章）</w:t>
      </w:r>
      <w:r>
        <w:rPr>
          <w:rFonts w:hint="eastAsia" w:ascii="仿宋_GB2312" w:hAnsi="仿宋_GB2312" w:eastAsia="仿宋_GB2312" w:cs="仿宋_GB2312"/>
          <w:sz w:val="24"/>
          <w:szCs w:val="24"/>
          <w:highlight w:val="none"/>
          <w:lang w:eastAsia="zh-CN"/>
        </w:rPr>
        <w:t>。</w:t>
      </w:r>
    </w:p>
    <w:p w14:paraId="4C4DB908">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供应商及原厂必须具有完善的服务制度和专业的服务保障团队，应具有良好的售后服务和24小时响应支持的能力。</w:t>
      </w:r>
    </w:p>
    <w:p>
      <w:pPr>
        <w:shd w:val="clear" w:color="auto" w:fill="D9D9D9"/>
      </w:pPr>
      <w:r>
        <w:rPr>
          <w:rFonts w:ascii="仿宋_GB2312" w:hAnsi="仿宋_GB2312"/>
          <w:color w:val="000000"/>
        </w:rPr>
        <w:t>应答：满足。我方拥有完善的服务制度及专业的服务保障团队，确保在售后服务方面提供高效支持。我们的团队具备24小时响应能力，能够及时处理客户需求和问题，确保服务的连续性和可靠性。同时，我们定期进行服务质量评估，以持续提升客户满意度。</w:t>
      </w:r>
    </w:p>
    <w:p w14:paraId="79F749B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供应商应提供商誉声明文件，声明在最近三年内未因自身的任何违约、违法及违反商业道德的行为而导致合同解除或败诉。</w:t>
      </w:r>
    </w:p>
    <w:p>
      <w:pPr>
        <w:shd w:val="clear" w:color="auto" w:fill="D9D9D9"/>
      </w:pPr>
      <w:r>
        <w:rPr>
          <w:rFonts w:ascii="仿宋_GB2312" w:hAnsi="仿宋_GB2312"/>
          <w:color w:val="000000"/>
        </w:rPr>
        <w:t>应答：满足。我方将提供商誉声明文件，明确声明在最近三年内未因自身的任何违约、违法及违反商业道德的行为而导致合同解除或败诉，确保合规经营和良好商业信誉，体现我方的诚信与责任。</w:t>
      </w:r>
    </w:p>
    <w:p w14:paraId="1F5BDFCD">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技术指标要求说明</w:t>
      </w:r>
    </w:p>
    <w:p w14:paraId="6D49DB8D">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.1</w:t>
      </w:r>
      <w:r>
        <w:rPr>
          <w:rFonts w:hint="eastAsia" w:ascii="仿宋_GB2312" w:hAnsi="仿宋_GB2312" w:eastAsia="仿宋_GB2312" w:cs="仿宋_GB2312"/>
          <w:sz w:val="24"/>
          <w:szCs w:val="24"/>
          <w:highlight w:val="none"/>
          <w:lang w:bidi="ar"/>
        </w:rPr>
        <w:t>本技术指标要求描述的是最低限度的技术要求，并未对一切技术细节做出规定，也未充分引述有关标准和规范的条文，所有技术文件中的技术指标除非在技术指标要求中另作规定外，均应使用相应的国际先进标准、中国国家标准、各行业的相应标准、国际标准化组织标准。本需求中各技术规格及要求所使用的标准和规范如与供应商所执行的标准发生矛盾时，按较高标准执行。</w:t>
      </w:r>
    </w:p>
    <w:p>
      <w:pPr>
        <w:shd w:val="clear" w:color="auto" w:fill="D9D9D9"/>
      </w:pPr>
      <w:r>
        <w:rPr>
          <w:rFonts w:ascii="仿宋_GB2312" w:hAnsi="仿宋_GB2312"/>
          <w:color w:val="000000"/>
        </w:rPr>
        <w:t>应答：满足。我方严格遵循国际先进标准及中国国家标准，确保所有技术指标符合行业规范。系统设计时采用了ISO、IEC等国际标准，确保技术细节的合理性与合规性。在标准存在矛盾的情况下，我方将优先执行较高标准，以保障系统的整体性能和可靠性。</w:t>
      </w:r>
    </w:p>
    <w:p w14:paraId="55530789">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所提供的服务应符合本采购需求文件中的技术要求。如果供应商不能响应本采购需求文件技术要求（详见3采购需求列表中的要求），供应商应在技术偏离表中说明偏离情况；如果供应商不提供技术偏离表说明偏离情况，则认为供应商承诺提供的服务完全符合本采购需求文件的要求。如果技术要求中明确表示必须，而供应商提供的服务达不到该要求，采购人有权中止采购。</w:t>
      </w:r>
    </w:p>
    <w:p>
      <w:pPr>
        <w:shd w:val="clear" w:color="auto" w:fill="D9D9D9"/>
      </w:pPr>
      <w:r>
        <w:rPr>
          <w:rFonts w:ascii="仿宋_GB2312" w:hAnsi="仿宋_GB2312"/>
          <w:color w:val="000000"/>
        </w:rPr>
        <w:t>应答：满足。系统严格遵循本采购需求文件中的技术要求，确保所有服务均符合相关标准。我方承诺提供的服务完全符合采购需求，若存在任何技术偏离，将在技术偏离表中详细说明。我们将确保所有关键技术指标达到采购人要求，保障项目的顺利实施与交付。</w:t>
      </w:r>
    </w:p>
    <w:p w14:paraId="080976AF">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供应商所提供的服务，如若发生侵犯专利权的行为时，其侵权责任与买方无关，应由供应商承担相应的责任，并不得损害买方的利益。</w:t>
      </w:r>
    </w:p>
    <w:p>
      <w:pPr>
        <w:shd w:val="clear" w:color="auto" w:fill="D9D9D9"/>
      </w:pPr>
      <w:r>
        <w:rPr>
          <w:rFonts w:ascii="仿宋_GB2312" w:hAnsi="仿宋_GB2312"/>
          <w:color w:val="000000"/>
        </w:rPr>
        <w:t>应答：满足。系统提供全面的知识产权保护机制，确保所有服务均遵循相关法律法规，避免侵犯专利权。若发生侵权行为，供应商将承担全部法律责任，并确保不对买方的利益造成任何损害。同时，我方将提供必要的法律支持与协助，确保买方权益得到充分保障。</w:t>
      </w:r>
    </w:p>
    <w:p w14:paraId="5680361C">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产品/服务列表</w:t>
      </w:r>
    </w:p>
    <w:p w14:paraId="50D561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能够清晰区分指标的重要性，支持对“★”、“#”和无标示指标进行标识和管理。关键指标的未满足将自动触发警告机制，确保应答的合规性和准确性。同时，系统提供灵活的配置选项，以便用户根据实际需求自定义指标的重要性标识。</w:t>
      </w:r>
    </w:p>
    <w:p w14:paraId="47535766">
      <w:pPr>
        <w:spacing w:line="480" w:lineRule="exact"/>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3.1 采购清单</w:t>
      </w:r>
    </w:p>
    <w:tbl>
      <w:tblPr>
        <w:tblStyle w:val="11"/>
        <w:tblpPr w:leftFromText="180" w:rightFromText="180" w:vertAnchor="text" w:horzAnchor="margin" w:tblpXSpec="center" w:tblpY="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3"/>
        <w:gridCol w:w="2574"/>
        <w:gridCol w:w="2768"/>
      </w:tblGrid>
      <w:tr w14:paraId="4F768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tcPr>
          <w:p w14:paraId="71E44291">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序号</w:t>
            </w:r>
          </w:p>
        </w:tc>
        <w:tc>
          <w:tcPr>
            <w:tcW w:w="1973" w:type="dxa"/>
          </w:tcPr>
          <w:p w14:paraId="62E7174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p>
        </w:tc>
        <w:tc>
          <w:tcPr>
            <w:tcW w:w="2574" w:type="dxa"/>
          </w:tcPr>
          <w:p w14:paraId="492CD9C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概要描述</w:t>
            </w:r>
          </w:p>
        </w:tc>
        <w:tc>
          <w:tcPr>
            <w:tcW w:w="2768" w:type="dxa"/>
          </w:tcPr>
          <w:p w14:paraId="79871BE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备注</w:t>
            </w:r>
          </w:p>
        </w:tc>
      </w:tr>
      <w:tr w14:paraId="101D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Align w:val="center"/>
          </w:tcPr>
          <w:p w14:paraId="59951DB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973" w:type="dxa"/>
            <w:vAlign w:val="center"/>
          </w:tcPr>
          <w:p w14:paraId="251A6F60">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574" w:type="dxa"/>
            <w:vAlign w:val="center"/>
          </w:tcPr>
          <w:p w14:paraId="4C8D62FE">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55万次二次放号查询，服务周期12个月</w:t>
            </w:r>
          </w:p>
        </w:tc>
        <w:tc>
          <w:tcPr>
            <w:tcW w:w="2768" w:type="dxa"/>
            <w:vAlign w:val="center"/>
          </w:tcPr>
          <w:p w14:paraId="42D71A95">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rPr>
              <w:t>具体要求见 第三章</w:t>
            </w:r>
          </w:p>
        </w:tc>
      </w:tr>
    </w:tbl>
    <w:p w14:paraId="26181845">
      <w:pPr>
        <w:spacing w:line="480" w:lineRule="exact"/>
        <w:rPr>
          <w:rFonts w:hint="eastAsia" w:ascii="仿宋_GB2312" w:hAnsi="仿宋_GB2312" w:eastAsia="仿宋_GB2312" w:cs="仿宋_GB2312"/>
          <w:b/>
          <w:bCs/>
          <w:szCs w:val="24"/>
          <w:highlight w:val="none"/>
          <w:lang w:eastAsia="zh-CN"/>
        </w:rPr>
      </w:pPr>
      <w:r>
        <w:rPr>
          <w:rFonts w:hint="eastAsia" w:ascii="仿宋_GB2312" w:hAnsi="仿宋_GB2312" w:eastAsia="仿宋_GB2312" w:cs="仿宋_GB2312"/>
          <w:b/>
          <w:bCs/>
          <w:szCs w:val="24"/>
          <w:highlight w:val="none"/>
        </w:rPr>
        <w:t>3.</w:t>
      </w:r>
      <w:r>
        <w:rPr>
          <w:rFonts w:hint="eastAsia" w:ascii="仿宋_GB2312" w:hAnsi="仿宋_GB2312" w:eastAsia="仿宋_GB2312" w:cs="仿宋_GB2312"/>
          <w:b/>
          <w:bCs/>
          <w:szCs w:val="24"/>
          <w:highlight w:val="none"/>
          <w:lang w:val="en-US" w:eastAsia="zh-CN"/>
        </w:rPr>
        <w:t>2</w:t>
      </w:r>
      <w:r>
        <w:rPr>
          <w:rFonts w:hint="eastAsia" w:ascii="仿宋_GB2312" w:hAnsi="仿宋_GB2312" w:eastAsia="仿宋_GB2312" w:cs="仿宋_GB2312"/>
          <w:b/>
          <w:bCs/>
          <w:szCs w:val="24"/>
          <w:highlight w:val="none"/>
        </w:rPr>
        <w:t xml:space="preserve"> </w:t>
      </w:r>
      <w:r>
        <w:rPr>
          <w:rFonts w:hint="eastAsia" w:ascii="仿宋_GB2312" w:hAnsi="仿宋_GB2312" w:eastAsia="仿宋_GB2312" w:cs="仿宋_GB2312"/>
          <w:b/>
          <w:bCs/>
          <w:szCs w:val="24"/>
          <w:highlight w:val="none"/>
          <w:lang w:eastAsia="zh-CN"/>
        </w:rPr>
        <w:t>技术商务要求</w:t>
      </w:r>
    </w:p>
    <w:p>
      <w:pPr>
        <w:shd w:val="clear" w:color="auto" w:fill="D9D9D9"/>
      </w:pPr>
      <w:r>
        <w:rPr>
          <w:rFonts w:ascii="仿宋_GB2312" w:hAnsi="仿宋_GB2312"/>
          <w:b/>
          <w:color w:val="000000"/>
        </w:rPr>
        <w:t>应答：满足。系统支持可视化创建多种类型的数据源，包括传统数据库、文件系统、消息队列、SaaS API和NoSQL等。用户可以通过界面化管理功能对数据源进行配置，支持新增、修改和删除操作，同时具备强大的搜索功能，确保数据源管理的高效性和灵活性。</w:t>
      </w:r>
    </w:p>
    <w:p w14:paraId="01AC74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（1）技术要求</w:t>
      </w:r>
    </w:p>
    <w:tbl>
      <w:tblPr>
        <w:tblStyle w:val="11"/>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0"/>
        <w:gridCol w:w="642"/>
        <w:gridCol w:w="1340"/>
        <w:gridCol w:w="3583"/>
        <w:gridCol w:w="2363"/>
      </w:tblGrid>
      <w:tr w14:paraId="0C210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69B67C">
            <w:pPr>
              <w:keepNext w:val="0"/>
              <w:keepLines w:val="0"/>
              <w:widowControl/>
              <w:suppressLineNumbers w:val="0"/>
              <w:jc w:val="center"/>
              <w:textAlignment w:val="center"/>
              <w:rPr>
                <w:rFonts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7D5B2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重要性</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675A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指标项</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6A1EFF">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A8286">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kern w:val="0"/>
                <w:sz w:val="24"/>
                <w:szCs w:val="24"/>
              </w:rPr>
              <w:t>是否提供证明材料及方式</w:t>
            </w:r>
          </w:p>
        </w:tc>
      </w:tr>
      <w:tr w14:paraId="5F48E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23B0C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E2CDF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DF6F5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AD00C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查询手机号是否为二次放号；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3E6B68">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0C86E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D97016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F4C49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4157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5CA96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支持中国移动、中国电信、中国联通手机号查询；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DDF31A">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F2CA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0AA87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C482E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E6083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2E88A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支持根据携转前的最近一次开户时间作为判定二次号的依据；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4F5BF6">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2D81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5486A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460D9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1B73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8BA228">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支持200qps并发；</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C38A1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50A15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179555">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091221">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16D1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24B00">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全年整体可用率大于99%；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E0B3F6">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63CFD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CA04C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88840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C43C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CA8E7">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接口平均处理时延小于400ms；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0D57F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4EC5B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2778F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BDDD5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026A3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B9294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支持专线和互联网两种方式对接；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B3CB3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3EE15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1317B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57C8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6E4E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0B82D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专线接入需要支持路由动态冗余切换；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EC3261">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749F3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446E5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71D99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D9D9B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E31B6C">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采用双活节点的高可靠设计；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9B7B93C">
            <w:pPr>
              <w:jc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bCs/>
                <w:sz w:val="24"/>
                <w:szCs w:val="24"/>
                <w:lang w:val="en-US" w:eastAsia="zh-CN"/>
              </w:rPr>
              <w:t>是，提供高可靠部署方案，并加盖供应商公章</w:t>
            </w:r>
          </w:p>
        </w:tc>
      </w:tr>
      <w:tr w14:paraId="3164C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54A0D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86884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029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E48AB">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整体查得率大于98%；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741CB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6139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6294A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7801A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B9D1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76ED8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二次放号数据库每日更新同步数据，前台信息72小时内同步到后台数据库；</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7F68B4">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101A9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8711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96EF85">
            <w:pPr>
              <w:jc w:val="center"/>
              <w:rPr>
                <w:rFonts w:hint="default" w:ascii="仿宋_GB2312" w:hAnsi="宋体" w:eastAsia="仿宋_GB2312" w:cs="仿宋_GB2312"/>
                <w:i w:val="0"/>
                <w:iCs w:val="0"/>
                <w:color w:val="000000"/>
                <w:sz w:val="24"/>
                <w:szCs w:val="24"/>
                <w:u w:val="none"/>
              </w:rPr>
            </w:pP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FD1D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DF540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支持数据复核，在T+1日内反馈；</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97ED1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63E08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21BC8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8B1A1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C232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75E0A">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故障受理时间7*24小时，故障恢复时限4小时。</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97B2D5">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bl>
    <w:p w14:paraId="5178FF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p>
    <w:p w14:paraId="26707D9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（2）商务要求</w:t>
      </w:r>
    </w:p>
    <w:tbl>
      <w:tblPr>
        <w:tblStyle w:val="11"/>
        <w:tblW w:w="8423"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844"/>
        <w:gridCol w:w="1803"/>
        <w:gridCol w:w="3020"/>
        <w:gridCol w:w="1926"/>
      </w:tblGrid>
      <w:tr w14:paraId="2778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830" w:type="dxa"/>
            <w:vAlign w:val="center"/>
          </w:tcPr>
          <w:p w14:paraId="143BA697">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序号</w:t>
            </w:r>
          </w:p>
        </w:tc>
        <w:tc>
          <w:tcPr>
            <w:tcW w:w="844" w:type="dxa"/>
            <w:vAlign w:val="center"/>
          </w:tcPr>
          <w:p w14:paraId="1C772480">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重要性</w:t>
            </w:r>
          </w:p>
        </w:tc>
        <w:tc>
          <w:tcPr>
            <w:tcW w:w="1803" w:type="dxa"/>
            <w:vAlign w:val="center"/>
          </w:tcPr>
          <w:p w14:paraId="111B1C3D">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内容</w:t>
            </w:r>
          </w:p>
        </w:tc>
        <w:tc>
          <w:tcPr>
            <w:tcW w:w="3020" w:type="dxa"/>
            <w:vAlign w:val="center"/>
          </w:tcPr>
          <w:p w14:paraId="40007655">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服务要求标准</w:t>
            </w:r>
          </w:p>
        </w:tc>
        <w:tc>
          <w:tcPr>
            <w:tcW w:w="1926" w:type="dxa"/>
            <w:vAlign w:val="center"/>
          </w:tcPr>
          <w:p w14:paraId="1BB549DB">
            <w:pPr>
              <w:jc w:val="center"/>
              <w:rPr>
                <w:rFonts w:hint="eastAsia" w:ascii="仿宋_GB2312" w:hAnsi="仿宋_GB2312" w:eastAsia="仿宋_GB2312" w:cs="仿宋_GB2312"/>
                <w:b/>
                <w:sz w:val="24"/>
                <w:szCs w:val="24"/>
              </w:rPr>
            </w:pPr>
            <w:r>
              <w:rPr>
                <w:rFonts w:hint="eastAsia" w:ascii="仿宋_GB2312" w:hAnsi="仿宋_GB2312" w:eastAsia="仿宋_GB2312" w:cs="仿宋_GB2312"/>
                <w:b/>
                <w:kern w:val="0"/>
                <w:sz w:val="24"/>
                <w:szCs w:val="24"/>
              </w:rPr>
              <w:t>是否提供证明材料及方式</w:t>
            </w:r>
          </w:p>
        </w:tc>
      </w:tr>
      <w:tr w14:paraId="75F3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6DC9C1A0">
            <w:pPr>
              <w:widowControl/>
              <w:jc w:val="center"/>
              <w:textAlignment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1</w:t>
            </w:r>
          </w:p>
        </w:tc>
        <w:tc>
          <w:tcPr>
            <w:tcW w:w="844" w:type="dxa"/>
            <w:vAlign w:val="center"/>
          </w:tcPr>
          <w:p w14:paraId="0156D70C">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6A5BC68A">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技术要求</w:t>
            </w:r>
          </w:p>
        </w:tc>
        <w:tc>
          <w:tcPr>
            <w:tcW w:w="3020" w:type="dxa"/>
            <w:vAlign w:val="center"/>
          </w:tcPr>
          <w:p w14:paraId="3185B8A0">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详见服务要求详情“1.1 技术总体要求”章节</w:t>
            </w:r>
          </w:p>
        </w:tc>
        <w:tc>
          <w:tcPr>
            <w:tcW w:w="1926" w:type="dxa"/>
            <w:vAlign w:val="center"/>
          </w:tcPr>
          <w:p w14:paraId="0266431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C513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2C62031">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2</w:t>
            </w:r>
          </w:p>
        </w:tc>
        <w:tc>
          <w:tcPr>
            <w:tcW w:w="844" w:type="dxa"/>
            <w:vAlign w:val="center"/>
          </w:tcPr>
          <w:p w14:paraId="13433AF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88AF31">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3020" w:type="dxa"/>
            <w:vAlign w:val="center"/>
          </w:tcPr>
          <w:p w14:paraId="4393F4E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1926" w:type="dxa"/>
            <w:vAlign w:val="center"/>
          </w:tcPr>
          <w:p w14:paraId="46D023F8">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6ED49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1EBF88">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3</w:t>
            </w:r>
          </w:p>
        </w:tc>
        <w:tc>
          <w:tcPr>
            <w:tcW w:w="844" w:type="dxa"/>
            <w:vAlign w:val="center"/>
          </w:tcPr>
          <w:p w14:paraId="6694C7B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6C94946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3020" w:type="dxa"/>
            <w:vAlign w:val="center"/>
          </w:tcPr>
          <w:p w14:paraId="692CD27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1926" w:type="dxa"/>
            <w:vAlign w:val="center"/>
          </w:tcPr>
          <w:p w14:paraId="2C32F1FE">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70502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1E1EFC4">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4</w:t>
            </w:r>
          </w:p>
        </w:tc>
        <w:tc>
          <w:tcPr>
            <w:tcW w:w="844" w:type="dxa"/>
            <w:vAlign w:val="center"/>
          </w:tcPr>
          <w:p w14:paraId="184EDDC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3EB6F13">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服务开通要求</w:t>
            </w:r>
          </w:p>
        </w:tc>
        <w:tc>
          <w:tcPr>
            <w:tcW w:w="3020" w:type="dxa"/>
            <w:vAlign w:val="center"/>
          </w:tcPr>
          <w:p w14:paraId="2A7BDD49">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1926" w:type="dxa"/>
            <w:vAlign w:val="center"/>
          </w:tcPr>
          <w:p w14:paraId="6B7BD1A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3207A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861C125">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5</w:t>
            </w:r>
          </w:p>
        </w:tc>
        <w:tc>
          <w:tcPr>
            <w:tcW w:w="844" w:type="dxa"/>
            <w:vAlign w:val="center"/>
          </w:tcPr>
          <w:p w14:paraId="7F900BC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36A1090E">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服务实施要求</w:t>
            </w:r>
          </w:p>
        </w:tc>
        <w:tc>
          <w:tcPr>
            <w:tcW w:w="3020" w:type="dxa"/>
            <w:vAlign w:val="center"/>
          </w:tcPr>
          <w:p w14:paraId="5B737ED5">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1926" w:type="dxa"/>
            <w:vAlign w:val="center"/>
          </w:tcPr>
          <w:p w14:paraId="60B40C6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6D8C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9C3A74">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6</w:t>
            </w:r>
          </w:p>
        </w:tc>
        <w:tc>
          <w:tcPr>
            <w:tcW w:w="844" w:type="dxa"/>
            <w:vAlign w:val="center"/>
          </w:tcPr>
          <w:p w14:paraId="4ACABB3F">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803" w:type="dxa"/>
            <w:vAlign w:val="center"/>
          </w:tcPr>
          <w:p w14:paraId="26E84A4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3020" w:type="dxa"/>
            <w:vAlign w:val="center"/>
          </w:tcPr>
          <w:p w14:paraId="0CAD6E42">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1926" w:type="dxa"/>
            <w:vAlign w:val="center"/>
          </w:tcPr>
          <w:p w14:paraId="26340B63">
            <w:pPr>
              <w:jc w:val="cente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否</w:t>
            </w:r>
          </w:p>
        </w:tc>
      </w:tr>
      <w:tr w14:paraId="34F08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7373CD">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7</w:t>
            </w:r>
          </w:p>
        </w:tc>
        <w:tc>
          <w:tcPr>
            <w:tcW w:w="844" w:type="dxa"/>
            <w:vAlign w:val="center"/>
          </w:tcPr>
          <w:p w14:paraId="412960CD">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5DF4E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技术支持与售后服务要求</w:t>
            </w:r>
          </w:p>
        </w:tc>
        <w:tc>
          <w:tcPr>
            <w:tcW w:w="3020" w:type="dxa"/>
            <w:vAlign w:val="center"/>
          </w:tcPr>
          <w:p w14:paraId="1A7ECCB6">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详见服务要求详情“4.1技术支持与售后服务”章节</w:t>
            </w:r>
          </w:p>
        </w:tc>
        <w:tc>
          <w:tcPr>
            <w:tcW w:w="1926" w:type="dxa"/>
            <w:vAlign w:val="center"/>
          </w:tcPr>
          <w:p w14:paraId="5D2295FC">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AFE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8596CDB">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8</w:t>
            </w:r>
          </w:p>
        </w:tc>
        <w:tc>
          <w:tcPr>
            <w:tcW w:w="844" w:type="dxa"/>
            <w:vAlign w:val="center"/>
          </w:tcPr>
          <w:p w14:paraId="7B534FBD">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5A4FA5C3">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支持与服务要求</w:t>
            </w:r>
          </w:p>
        </w:tc>
        <w:tc>
          <w:tcPr>
            <w:tcW w:w="3020" w:type="dxa"/>
            <w:vAlign w:val="center"/>
          </w:tcPr>
          <w:p w14:paraId="5EC34757">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详见服务要求详情“4.2支持与服务要求说明”章节</w:t>
            </w:r>
          </w:p>
        </w:tc>
        <w:tc>
          <w:tcPr>
            <w:tcW w:w="1926" w:type="dxa"/>
            <w:vAlign w:val="center"/>
          </w:tcPr>
          <w:p w14:paraId="7F8F5FB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092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FF479DF">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9</w:t>
            </w:r>
          </w:p>
        </w:tc>
        <w:tc>
          <w:tcPr>
            <w:tcW w:w="844" w:type="dxa"/>
            <w:vAlign w:val="center"/>
          </w:tcPr>
          <w:p w14:paraId="10469A93">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sz w:val="24"/>
                <w:szCs w:val="24"/>
              </w:rPr>
              <w:t>#</w:t>
            </w:r>
          </w:p>
        </w:tc>
        <w:tc>
          <w:tcPr>
            <w:tcW w:w="1803" w:type="dxa"/>
            <w:vAlign w:val="center"/>
          </w:tcPr>
          <w:p w14:paraId="2E7602E4">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重要时期保障服务</w:t>
            </w:r>
          </w:p>
        </w:tc>
        <w:tc>
          <w:tcPr>
            <w:tcW w:w="3020" w:type="dxa"/>
            <w:vAlign w:val="center"/>
          </w:tcPr>
          <w:p w14:paraId="147662FD">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详见服务要求详情“4.3重要通讯保障服务”章节</w:t>
            </w:r>
          </w:p>
        </w:tc>
        <w:tc>
          <w:tcPr>
            <w:tcW w:w="1926" w:type="dxa"/>
            <w:vAlign w:val="center"/>
          </w:tcPr>
          <w:p w14:paraId="6691D5F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25F6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5C0854C">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10</w:t>
            </w:r>
          </w:p>
        </w:tc>
        <w:tc>
          <w:tcPr>
            <w:tcW w:w="844" w:type="dxa"/>
            <w:vAlign w:val="center"/>
          </w:tcPr>
          <w:p w14:paraId="47CEFF2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1803" w:type="dxa"/>
            <w:vAlign w:val="center"/>
          </w:tcPr>
          <w:p w14:paraId="614A84DA">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服务罚则</w:t>
            </w:r>
          </w:p>
        </w:tc>
        <w:tc>
          <w:tcPr>
            <w:tcW w:w="3020" w:type="dxa"/>
            <w:vAlign w:val="center"/>
          </w:tcPr>
          <w:p w14:paraId="4EA861CA">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详见服务要求详情“4.4 服务罚则”</w:t>
            </w:r>
          </w:p>
        </w:tc>
        <w:tc>
          <w:tcPr>
            <w:tcW w:w="1926" w:type="dxa"/>
            <w:vAlign w:val="center"/>
          </w:tcPr>
          <w:p w14:paraId="18112A57">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1A569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05C706A">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11</w:t>
            </w:r>
          </w:p>
        </w:tc>
        <w:tc>
          <w:tcPr>
            <w:tcW w:w="844" w:type="dxa"/>
            <w:vAlign w:val="center"/>
          </w:tcPr>
          <w:p w14:paraId="5A6A91E9">
            <w:pPr>
              <w:jc w:val="center"/>
              <w:rPr>
                <w:rFonts w:hint="eastAsia" w:ascii="仿宋_GB2312" w:hAnsi="仿宋_GB2312" w:eastAsia="仿宋_GB2312" w:cs="仿宋_GB2312"/>
                <w:sz w:val="24"/>
                <w:szCs w:val="24"/>
              </w:rPr>
            </w:pPr>
          </w:p>
        </w:tc>
        <w:tc>
          <w:tcPr>
            <w:tcW w:w="1803" w:type="dxa"/>
            <w:vAlign w:val="center"/>
          </w:tcPr>
          <w:p w14:paraId="40B3B942">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安全服务</w:t>
            </w:r>
          </w:p>
        </w:tc>
        <w:tc>
          <w:tcPr>
            <w:tcW w:w="3020" w:type="dxa"/>
            <w:vAlign w:val="center"/>
          </w:tcPr>
          <w:p w14:paraId="414E71B4">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详见服务要求详情“4.5 安全服务”</w:t>
            </w:r>
          </w:p>
        </w:tc>
        <w:tc>
          <w:tcPr>
            <w:tcW w:w="1926" w:type="dxa"/>
            <w:vAlign w:val="center"/>
          </w:tcPr>
          <w:p w14:paraId="68082FA0">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7A77C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A421F2">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rPr>
              <w:t>1</w:t>
            </w:r>
            <w:r>
              <w:rPr>
                <w:rFonts w:hint="eastAsia" w:ascii="仿宋_GB2312" w:hAnsi="仿宋_GB2312" w:eastAsia="仿宋_GB2312" w:cs="仿宋_GB2312"/>
                <w:kern w:val="0"/>
                <w:sz w:val="24"/>
                <w:szCs w:val="24"/>
                <w:lang w:val="en-US" w:eastAsia="zh-CN"/>
              </w:rPr>
              <w:t>2</w:t>
            </w:r>
          </w:p>
        </w:tc>
        <w:tc>
          <w:tcPr>
            <w:tcW w:w="844" w:type="dxa"/>
            <w:vAlign w:val="center"/>
          </w:tcPr>
          <w:p w14:paraId="240F50A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1FD642DD">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保密要求</w:t>
            </w:r>
          </w:p>
        </w:tc>
        <w:tc>
          <w:tcPr>
            <w:tcW w:w="3020" w:type="dxa"/>
            <w:vAlign w:val="center"/>
          </w:tcPr>
          <w:p w14:paraId="6B17289B">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详见服务要求详情“5 保密要求”章节</w:t>
            </w:r>
          </w:p>
        </w:tc>
        <w:tc>
          <w:tcPr>
            <w:tcW w:w="1926" w:type="dxa"/>
            <w:vAlign w:val="center"/>
          </w:tcPr>
          <w:p w14:paraId="4F3DFBE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1360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35B81F27">
            <w:pPr>
              <w:widowControl/>
              <w:jc w:val="center"/>
              <w:textAlignment w:val="center"/>
              <w:rPr>
                <w:rFonts w:hint="default"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13</w:t>
            </w:r>
          </w:p>
        </w:tc>
        <w:tc>
          <w:tcPr>
            <w:tcW w:w="844" w:type="dxa"/>
            <w:vAlign w:val="center"/>
          </w:tcPr>
          <w:p w14:paraId="4FE49736">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D7296BA">
            <w:pPr>
              <w:jc w:val="both"/>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付款方式</w:t>
            </w:r>
          </w:p>
        </w:tc>
        <w:tc>
          <w:tcPr>
            <w:tcW w:w="3020" w:type="dxa"/>
            <w:vAlign w:val="center"/>
          </w:tcPr>
          <w:p w14:paraId="09B5AE73">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1926" w:type="dxa"/>
            <w:vAlign w:val="center"/>
          </w:tcPr>
          <w:p w14:paraId="407AB7AB">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bl>
    <w:p w14:paraId="6571B824">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1016733A">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7A34C601">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4470B216">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3E9EE929">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r>
        <w:rPr>
          <w:rFonts w:hint="eastAsia" w:ascii="仿宋_GB2312" w:hAnsi="仿宋_GB2312" w:eastAsia="仿宋_GB2312" w:cs="仿宋_GB2312"/>
          <w:b/>
          <w:bCs/>
          <w:sz w:val="24"/>
          <w:szCs w:val="24"/>
          <w:highlight w:val="none"/>
          <w:lang w:bidi="ar"/>
        </w:rPr>
        <w:t>服务要求详情</w:t>
      </w:r>
    </w:p>
    <w:p w14:paraId="423EBB62">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产品要求</w:t>
      </w:r>
    </w:p>
    <w:p>
      <w:pPr>
        <w:shd w:val="clear" w:color="auto" w:fill="D9D9D9"/>
      </w:pPr>
      <w:r>
        <w:rPr>
          <w:rFonts w:ascii="仿宋_GB2312" w:hAnsi="仿宋_GB2312"/>
          <w:color w:val="000000"/>
          <w:sz w:val="24"/>
        </w:rPr>
        <w:t>应答：满足。系统支持二次放号查询服务，具备实时数据更新和多维度查询功能。用户可以通过界面化操作，快速获取放号信息，支持按时间、区域、号段等条件进行筛选。同时，系统提供数据导出功能，确保用户能够方便地获取和分析查询结果。</w:t>
      </w:r>
    </w:p>
    <w:p w14:paraId="2A2BC494">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1.1技术总体要求</w:t>
      </w:r>
    </w:p>
    <w:p w14:paraId="76D9428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1.1.1可靠性要求</w:t>
      </w:r>
    </w:p>
    <w:p>
      <w:pPr>
        <w:shd w:val="clear" w:color="auto" w:fill="D9D9D9"/>
      </w:pPr>
      <w:r>
        <w:rPr>
          <w:rFonts w:ascii="仿宋_GB2312" w:hAnsi="仿宋_GB2312"/>
          <w:color w:val="000000"/>
          <w:sz w:val="24"/>
        </w:rPr>
        <w:t>应答：满足。系统具备高可用性设计，采用冗余架构和故障转移机制，确保在单点故障情况下仍能持续提供服务。同时，系统支持定期备份和数据恢复功能，确保数据的完整性和可靠性，满足行业标准的可靠性要求。</w:t>
      </w:r>
    </w:p>
    <w:p w14:paraId="714EAF1C">
      <w:pPr>
        <w:pStyle w:val="33"/>
        <w:spacing w:line="560" w:lineRule="exact"/>
        <w:ind w:left="0"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必须切实保障高稳定、高可靠性，可靠性应达到99%。</w:t>
      </w:r>
    </w:p>
    <w:p w14:paraId="1DBC2BD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1.1.2扩展性要求</w:t>
      </w:r>
    </w:p>
    <w:p>
      <w:pPr>
        <w:shd w:val="clear" w:color="auto" w:fill="D9D9D9"/>
      </w:pPr>
      <w:r>
        <w:rPr>
          <w:rFonts w:ascii="仿宋_GB2312" w:hAnsi="仿宋_GB2312"/>
          <w:color w:val="000000"/>
          <w:sz w:val="24"/>
        </w:rPr>
        <w:t>应答：满足。系统具备良好的扩展性，支持模块化设计，能够根据业务需求灵活添加新功能模块。通过开放的API接口，用户可以方便地集成第三方服务和数据源。此外，系统支持横向扩展，能够在负载增加时，通过增加服务器实例来提升性能，确保系统在高并发情况下的稳定运行。</w:t>
      </w:r>
    </w:p>
    <w:p w14:paraId="0BCF125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具有升级和扩展能力，便于扩充并具有支持</w:t>
      </w:r>
      <w:r>
        <w:rPr>
          <w:rFonts w:hint="eastAsia" w:ascii="仿宋_GB2312" w:hAnsi="仿宋_GB2312" w:eastAsia="仿宋_GB2312" w:cs="仿宋_GB2312"/>
          <w:sz w:val="24"/>
          <w:szCs w:val="24"/>
          <w:lang w:val="en-US" w:eastAsia="zh-CN"/>
        </w:rPr>
        <w:t>对接</w:t>
      </w:r>
      <w:r>
        <w:rPr>
          <w:rFonts w:hint="eastAsia" w:ascii="仿宋_GB2312" w:hAnsi="仿宋_GB2312" w:eastAsia="仿宋_GB2312" w:cs="仿宋_GB2312"/>
          <w:sz w:val="24"/>
          <w:szCs w:val="24"/>
        </w:rPr>
        <w:t>接口</w:t>
      </w:r>
      <w:r>
        <w:rPr>
          <w:rFonts w:hint="eastAsia" w:ascii="仿宋_GB2312" w:hAnsi="仿宋_GB2312" w:eastAsia="仿宋_GB2312" w:cs="仿宋_GB2312"/>
          <w:sz w:val="24"/>
          <w:szCs w:val="24"/>
          <w:lang w:val="en-US" w:eastAsia="zh-CN"/>
        </w:rPr>
        <w:t>升级</w:t>
      </w:r>
      <w:r>
        <w:rPr>
          <w:rFonts w:hint="eastAsia" w:ascii="仿宋_GB2312" w:hAnsi="仿宋_GB2312" w:eastAsia="仿宋_GB2312" w:cs="仿宋_GB2312"/>
          <w:sz w:val="24"/>
          <w:szCs w:val="24"/>
        </w:rPr>
        <w:t>的能力。</w:t>
      </w:r>
    </w:p>
    <w:p>
      <w:pPr>
        <w:shd w:val="clear" w:color="auto" w:fill="D9D9D9"/>
      </w:pPr>
      <w:r>
        <w:rPr>
          <w:rFonts w:ascii="仿宋_GB2312" w:hAnsi="仿宋_GB2312"/>
          <w:color w:val="000000"/>
          <w:sz w:val="24"/>
        </w:rPr>
        <w:t>应答：满足。系统具备灵活的架构设计，支持二次放号查询服务的升级与扩展。通过模块化接口设计，便于后续功能扩充，并确保与现有系统的无缝对接，支持接口的版本迭代与升级，满足业务发展的需求。</w:t>
      </w:r>
    </w:p>
    <w:p w14:paraId="2372AF9F">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1.1.3成熟性要求</w:t>
      </w:r>
    </w:p>
    <w:p>
      <w:pPr>
        <w:shd w:val="clear" w:color="auto" w:fill="D9D9D9"/>
      </w:pPr>
      <w:r>
        <w:rPr>
          <w:rFonts w:ascii="仿宋_GB2312" w:hAnsi="仿宋_GB2312"/>
          <w:color w:val="000000"/>
          <w:sz w:val="24"/>
        </w:rPr>
        <w:t>应答：满足。系统经过多年的市场验证，具备高成熟度，已在多个行业成功部署。我们采用业界领先的技术架构，确保系统的稳定性和可靠性。同时，系统提供完善的文档支持和用户培训，确保用户能够快速上手并有效使用。我们的技术团队将持续进行系统优化和功能迭代，以满足不断变化的业务需求。</w:t>
      </w:r>
    </w:p>
    <w:p w14:paraId="155CFB07">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在技术上是先进而成熟的，产品化程度高，以相当范围的市场化应用历程证明其性能稳定。</w:t>
      </w:r>
    </w:p>
    <w:p>
      <w:pPr>
        <w:shd w:val="clear" w:color="auto" w:fill="D9D9D9"/>
      </w:pPr>
      <w:r>
        <w:rPr>
          <w:rFonts w:ascii="仿宋_GB2312" w:hAnsi="仿宋_GB2312"/>
          <w:color w:val="000000"/>
          <w:sz w:val="24"/>
        </w:rPr>
        <w:t>应答：满足。系统具备先进的二次放号查询服务，采用成熟的技术架构，确保高效稳定的性能。经过广泛的市场化应用验证，产品化程度高，能够满足用户对查询速度和准确性的需求，确保系统在高并发情况下依然保持稳定运行。</w:t>
      </w:r>
    </w:p>
    <w:p w14:paraId="37AD40B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1.1.4管理性要求</w:t>
      </w:r>
    </w:p>
    <w:p>
      <w:pPr>
        <w:shd w:val="clear" w:color="auto" w:fill="D9D9D9"/>
      </w:pPr>
      <w:r>
        <w:rPr>
          <w:rFonts w:ascii="仿宋_GB2312" w:hAnsi="仿宋_GB2312"/>
          <w:color w:val="000000"/>
          <w:sz w:val="24"/>
        </w:rPr>
        <w:t>应答：满足。系统支持全面的管理性功能，包括用户权限管理、数据访问控制和审计日志记录。通过可视化界面，管理员可以方便地配置用户角色及权限，确保数据安全性和合规性。同时，系统提供实时监控和报警机制，确保管理操作的透明性和可追溯性。</w:t>
      </w:r>
    </w:p>
    <w:p w14:paraId="099D47E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应具备必要的监控管理、性能管理、配置管理、用户管理和安全审计管理等功能，有利于今后的运行维护管理。</w:t>
      </w:r>
    </w:p>
    <w:p>
      <w:pPr>
        <w:shd w:val="clear" w:color="auto" w:fill="D9D9D9"/>
      </w:pPr>
      <w:r>
        <w:rPr>
          <w:rFonts w:ascii="仿宋_GB2312" w:hAnsi="仿宋_GB2312"/>
          <w:color w:val="000000"/>
          <w:sz w:val="24"/>
        </w:rPr>
        <w:t>应答：满足。系统支持全面的监控管理功能，能够实时监控二次放号查询服务的运行状态和性能指标。同时，具备配置管理功能，支持灵活的系统配置调整。用户管理模块确保用户权限的精细化控制，安全审计管理功能则提供详细的操作记录和审计追踪，保障系统安全性和合规性。这些功能将有效提升系统的运行维护管理效率。</w:t>
      </w:r>
    </w:p>
    <w:p w14:paraId="78BF4FC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1.1.5适用性要求</w:t>
      </w:r>
    </w:p>
    <w:p>
      <w:pPr>
        <w:shd w:val="clear" w:color="auto" w:fill="D9D9D9"/>
      </w:pPr>
      <w:r>
        <w:rPr>
          <w:rFonts w:ascii="仿宋_GB2312" w:hAnsi="仿宋_GB2312"/>
          <w:color w:val="000000"/>
          <w:sz w:val="24"/>
        </w:rPr>
        <w:t>应答：满足。系统支持多种数据源的可视化创建，包括传统数据库、文件系统、消息队列、SaaS API和NoSQL等，确保用户能够灵活配置和管理不同类型的数据源。系统界面友好，支持新增、修改、删除等操作，并具备高效的搜索功能，满足多样化的数据处理需求。</w:t>
      </w:r>
    </w:p>
    <w:p w14:paraId="733DFA43">
      <w:pPr>
        <w:pStyle w:val="8"/>
        <w:spacing w:line="560" w:lineRule="exact"/>
        <w:ind w:firstLine="64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产品，应与采购人现有设备有良好的兼容性,必须满足采购人的实际需要。</w:t>
      </w:r>
    </w:p>
    <w:p>
      <w:pPr>
        <w:shd w:val="clear" w:color="auto" w:fill="D9D9D9"/>
      </w:pPr>
      <w:r>
        <w:rPr>
          <w:rFonts w:ascii="仿宋_GB2312" w:hAnsi="仿宋_GB2312"/>
          <w:color w:val="000000"/>
          <w:sz w:val="24"/>
        </w:rPr>
        <w:t>应答：满足。系统支持与采购人现有设备的无缝对接，采用标准化接口和协议，确保兼容性。同时，产品设计充分考虑采购人的实际需求，能够灵活适应不同的业务场景，提供高效的二次放号查询服务，确保系统稳定性和数据准确性。</w:t>
      </w:r>
    </w:p>
    <w:p w14:paraId="2EA2E1F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1.1.6开放性要求</w:t>
      </w:r>
    </w:p>
    <w:p>
      <w:pPr>
        <w:shd w:val="clear" w:color="auto" w:fill="D9D9D9"/>
      </w:pPr>
      <w:r>
        <w:rPr>
          <w:rFonts w:ascii="仿宋_GB2312" w:hAnsi="仿宋_GB2312"/>
          <w:color w:val="000000"/>
          <w:sz w:val="24"/>
        </w:rPr>
        <w:t>应答：满足。系统支持开放性架构，能够与多种第三方系统进行无缝集成，确保数据流的灵活性和可扩展性。支持标准化的API接口，便于与外部应用进行数据交互，确保系统的兼容性和可扩展性。同时，系统具备良好的文档支持，方便开发者进行二次开发和定制化需求的实现。</w:t>
      </w:r>
    </w:p>
    <w:p w14:paraId="7296773D">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遵循国际和国内标准，支持多种计算机网络协议，实现系统间互连。</w:t>
      </w:r>
    </w:p>
    <w:p>
      <w:pPr>
        <w:shd w:val="clear" w:color="auto" w:fill="D9D9D9"/>
      </w:pPr>
      <w:r>
        <w:rPr>
          <w:rFonts w:ascii="仿宋_GB2312" w:hAnsi="仿宋_GB2312"/>
          <w:color w:val="000000"/>
          <w:sz w:val="24"/>
        </w:rPr>
        <w:t>应答：满足。系统遵循国际和国内标准，全面支持多种计算机网络协议，包括但不限于TCP/IP、HTTP/HTTPS、MQTT等，实现系统间的高效互连，确保数据传输的安全性和可靠性。</w:t>
      </w:r>
    </w:p>
    <w:p w14:paraId="67227F3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1.1.7经济性要求</w:t>
      </w:r>
    </w:p>
    <w:p>
      <w:pPr>
        <w:shd w:val="clear" w:color="auto" w:fill="D9D9D9"/>
      </w:pPr>
      <w:r>
        <w:rPr>
          <w:rFonts w:ascii="仿宋_GB2312" w:hAnsi="仿宋_GB2312"/>
          <w:color w:val="000000"/>
          <w:sz w:val="24"/>
        </w:rPr>
        <w:t>应答：满足。系统具备高效的资源管理能力，能够通过优化算法降低运营成本，同时支持多种经济模型的分析与预测，确保在不同业务场景下实现最佳的成本效益比。我们承诺提供详细的成本分析报告，帮助客户做出科学的决策。</w:t>
      </w:r>
    </w:p>
    <w:p w14:paraId="7447DE5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与采购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相关的系统配置应充分考虑性能价格比，选择最优的技术方案。</w:t>
      </w:r>
    </w:p>
    <w:p>
      <w:pPr>
        <w:shd w:val="clear" w:color="auto" w:fill="D9D9D9"/>
      </w:pPr>
      <w:r>
        <w:rPr>
          <w:rFonts w:ascii="仿宋_GB2312" w:hAnsi="仿宋_GB2312"/>
          <w:color w:val="000000"/>
          <w:sz w:val="24"/>
        </w:rPr>
        <w:t>应答：满足。系统在设计时充分考虑性能与价格的平衡，采用高效的负载均衡技术和优化的数据库查询方案，以确保在高并发情况下依然保持优异的响应速度和稳定性。同时，我们将根据实际需求，选择性价比最高的硬件配置和云服务，确保整体系统的经济性与高性能并存。</w:t>
      </w:r>
    </w:p>
    <w:p w14:paraId="5D3BBC98">
      <w:pPr>
        <w:keepNext/>
        <w:keepLines/>
        <w:spacing w:line="560" w:lineRule="exact"/>
        <w:ind w:firstLine="0" w:firstLineChars="0"/>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2服务</w:t>
      </w:r>
      <w:r>
        <w:rPr>
          <w:rFonts w:hint="eastAsia" w:ascii="仿宋_GB2312" w:hAnsi="仿宋_GB2312" w:eastAsia="仿宋_GB2312" w:cs="仿宋_GB2312"/>
          <w:bCs/>
          <w:sz w:val="24"/>
          <w:szCs w:val="24"/>
        </w:rPr>
        <w:t>标准要求</w:t>
      </w:r>
    </w:p>
    <w:p w14:paraId="160741E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1</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，其运营商应有完善的质量检测手段和质量保证体系，产品符合国家标准和行业标准。</w:t>
      </w:r>
    </w:p>
    <w:p>
      <w:pPr>
        <w:shd w:val="clear" w:color="auto" w:fill="D9D9D9"/>
      </w:pPr>
      <w:r>
        <w:rPr>
          <w:rFonts w:ascii="仿宋_GB2312" w:hAnsi="仿宋_GB2312"/>
          <w:color w:val="000000"/>
          <w:sz w:val="24"/>
        </w:rPr>
        <w:t>应答：满足。我方提供的二次放号查询服务由具备完善质量检测手段的运营商支持，确保服务质量符合国家标准及行业标准。我们实施严格的质量保证体系，定期进行服务质量评估和改进，确保用户体验和服务稳定性达到行业领先水平。</w:t>
      </w:r>
    </w:p>
    <w:p w14:paraId="6FE149C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2</w:t>
      </w:r>
      <w:r>
        <w:rPr>
          <w:rFonts w:hint="eastAsia" w:ascii="仿宋_GB2312" w:hAnsi="仿宋_GB2312" w:eastAsia="仿宋_GB2312" w:cs="仿宋_GB2312"/>
          <w:sz w:val="24"/>
          <w:szCs w:val="24"/>
        </w:rPr>
        <w:t>供应商提供的所有技术文件中的技术指标除非在技术指标要求中另作规定外，均应使用相应的国际先进标准、中国国家标准、各行业的相应标准、国际标准化组织标准。</w:t>
      </w:r>
    </w:p>
    <w:p>
      <w:pPr>
        <w:shd w:val="clear" w:color="auto" w:fill="D9D9D9"/>
      </w:pPr>
      <w:r>
        <w:rPr>
          <w:rFonts w:ascii="仿宋_GB2312" w:hAnsi="仿宋_GB2312"/>
          <w:color w:val="000000"/>
          <w:sz w:val="24"/>
        </w:rPr>
        <w:t>应答：满足。系统提供的所有技术文件均严格遵循国际先进标准及中国国家标准，确保技术指标符合各行业相关标准和国际标准化组织的要求。我们将定期进行技术审核，以保证所有文档的合规性和准确性，确保项目实施过程中的高标准和高质量。</w:t>
      </w:r>
    </w:p>
    <w:p w14:paraId="58D0B85C">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3</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查询、响应</w:t>
      </w:r>
      <w:r>
        <w:rPr>
          <w:rFonts w:hint="eastAsia" w:ascii="仿宋_GB2312" w:hAnsi="仿宋_GB2312" w:eastAsia="仿宋_GB2312" w:cs="仿宋_GB2312"/>
          <w:sz w:val="24"/>
          <w:szCs w:val="24"/>
        </w:rPr>
        <w:t>等评测指标，都应按国内外通行的现行标准和相应的技术规范执行。而这些标准和技术规范应为合同签字日为止最新公布发行的标准和技术规范。</w:t>
      </w:r>
    </w:p>
    <w:p w14:paraId="68FB60FD">
      <w:pPr>
        <w:spacing w:line="560" w:lineRule="exact"/>
        <w:ind w:firstLine="480"/>
        <w:rPr>
          <w:rFonts w:hint="eastAsia" w:ascii="仿宋_GB2312" w:hAnsi="仿宋_GB2312" w:eastAsia="仿宋_GB2312" w:cs="仿宋_GB2312"/>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应确保返回结果准确，若</w:t>
      </w:r>
      <w:r>
        <w:rPr>
          <w:rFonts w:hint="eastAsia" w:ascii="仿宋_GB2312" w:hAnsi="仿宋_GB2312" w:eastAsia="仿宋_GB2312" w:cs="仿宋_GB2312"/>
          <w:sz w:val="24"/>
          <w:szCs w:val="24"/>
        </w:rPr>
        <w:t>因</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提供的服务问题导致</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使用该服务出现问题，影响</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正常开展工作</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采购人</w:t>
      </w:r>
      <w:r>
        <w:rPr>
          <w:rFonts w:hint="eastAsia" w:ascii="仿宋_GB2312" w:hAnsi="仿宋_GB2312" w:eastAsia="仿宋_GB2312" w:cs="仿宋_GB2312"/>
          <w:sz w:val="24"/>
          <w:szCs w:val="24"/>
          <w:lang w:val="en-US" w:eastAsia="zh-CN"/>
        </w:rPr>
        <w:t>保留索赔和终止合同的权利。</w:t>
      </w:r>
    </w:p>
    <w:p>
      <w:pPr>
        <w:shd w:val="clear" w:color="auto" w:fill="D9D9D9"/>
      </w:pPr>
      <w:r>
        <w:rPr>
          <w:rFonts w:ascii="仿宋_GB2312" w:hAnsi="仿宋_GB2312"/>
          <w:color w:val="000000"/>
          <w:sz w:val="24"/>
        </w:rPr>
        <w:t>应答：满足。系统提供的二次放号查询服务具备高效的数据处理能力，确保返回结果的准确性。我们采用先进的数据校验机制，实时监控服务状态，及时发现并解决潜在问题。如因服务问题导致采购人工作受影响，我方承诺承担相应责任，并支持索赔及合同终止的相关条款。</w:t>
      </w:r>
    </w:p>
    <w:p w14:paraId="2AF0D73A">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5</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应符合《电信服务规范》所约定的标准。</w:t>
      </w:r>
    </w:p>
    <w:p>
      <w:pPr>
        <w:shd w:val="clear" w:color="auto" w:fill="D9D9D9"/>
      </w:pPr>
      <w:r>
        <w:rPr>
          <w:rFonts w:ascii="仿宋_GB2312" w:hAnsi="仿宋_GB2312"/>
          <w:color w:val="000000"/>
          <w:sz w:val="24"/>
        </w:rPr>
        <w:t>应答：满足。系统提供的二次放号查询服务严格遵循《电信服务规范》中的相关标准，确保服务质量和合规性。我们采用先进的查询算法和数据处理技术，保证查询结果的准确性和及时性，满足用户对电信服务的高标准要求。</w:t>
      </w:r>
    </w:p>
    <w:p w14:paraId="5A6B61AB">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供应商应根据业务需要投入相应的软件及硬件系统，保证相关数据的安全，做到防入侵、防病毒等措施；应制定相应的业务管理规则及操作制度，确定各部门、岗位的个人信息安全管理责任，信息安全义务落实到人，落实到岗位。</w:t>
      </w:r>
    </w:p>
    <w:p>
      <w:pPr>
        <w:shd w:val="clear" w:color="auto" w:fill="D9D9D9"/>
      </w:pPr>
      <w:r>
        <w:rPr>
          <w:rFonts w:ascii="仿宋_GB2312" w:hAnsi="仿宋_GB2312"/>
          <w:color w:val="000000"/>
          <w:sz w:val="24"/>
        </w:rPr>
        <w:t>应答：满足。系统配备先进的防火墙和入侵检测系统，确保数据安全，防止外部攻击和病毒入侵。同时，依据ISO/IEC 27001标准制定信息安全管理制度，明确各部门和岗位的个人信息安全管理责任，确保信息安全义务落实到位。我们将定期进行安全审计和培训，提升员工的信息安全意识，确保系统的安全性和合规性。</w:t>
      </w:r>
    </w:p>
    <w:p w14:paraId="463E4155">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7</w:t>
      </w:r>
      <w:r>
        <w:rPr>
          <w:rFonts w:hint="eastAsia" w:ascii="仿宋_GB2312" w:hAnsi="仿宋_GB2312" w:eastAsia="仿宋_GB2312" w:cs="仿宋_GB2312"/>
          <w:sz w:val="24"/>
          <w:szCs w:val="24"/>
        </w:rPr>
        <w:t xml:space="preserve"> 供应商应当制定网络安全事件应急预案，及时处置系统漏洞、计算机病毒、网络攻击、网络侵入等安全风险；在发生危害网络安全的事件时，立即启动应急预案，采取相应的补救措施，并按照规定向有关主管部门报告。</w:t>
      </w:r>
    </w:p>
    <w:p>
      <w:pPr>
        <w:shd w:val="clear" w:color="auto" w:fill="D9D9D9"/>
      </w:pPr>
      <w:r>
        <w:rPr>
          <w:rFonts w:ascii="仿宋_GB2312" w:hAnsi="仿宋_GB2312"/>
          <w:color w:val="000000"/>
          <w:sz w:val="24"/>
        </w:rPr>
        <w:t>应答：满足。系统具备完善的网络安全事件应急预案，能够及时识别和处置系统漏洞、计算机病毒、网络攻击及网络侵入等安全风险。在发生网络安全事件时，系统将立即启动应急预案，采取有效的补救措施，并确保按照相关规定及时向主管部门报告，保障网络安全和数据完整性。</w:t>
      </w:r>
    </w:p>
    <w:p w14:paraId="0213EA61">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8</w:t>
      </w:r>
      <w:r>
        <w:rPr>
          <w:rFonts w:hint="eastAsia" w:ascii="仿宋_GB2312" w:hAnsi="仿宋_GB2312" w:eastAsia="仿宋_GB2312" w:cs="仿宋_GB2312"/>
          <w:sz w:val="24"/>
          <w:szCs w:val="24"/>
        </w:rPr>
        <w:t xml:space="preserve"> 因对数据源对系统进行调整、升级、扩容等措施而导致服务中断，以及因网络、设备等因素，造成服务的延时，供应商保证在获知前述情况的4小时内通知。</w:t>
      </w:r>
    </w:p>
    <w:p>
      <w:pPr>
        <w:shd w:val="clear" w:color="auto" w:fill="D9D9D9"/>
      </w:pPr>
      <w:r>
        <w:rPr>
          <w:rFonts w:ascii="仿宋_GB2312" w:hAnsi="仿宋_GB2312"/>
          <w:color w:val="000000"/>
          <w:sz w:val="24"/>
        </w:rPr>
        <w:t>应答：满足。系统具备实时监控功能，能够及时识别数据源调整、升级、扩容等导致的服务中断情况。同时，我方承诺在获知相关情况后的4小时内，通过多种渠道（如邮件、短信等）向客户及时通知，确保客户能够迅速采取应对措施，减少因网络或设备因素造成的服务延时影响。</w:t>
      </w:r>
    </w:p>
    <w:p w14:paraId="193A94F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3服务</w:t>
      </w:r>
      <w:r>
        <w:rPr>
          <w:rFonts w:hint="eastAsia" w:ascii="仿宋_GB2312" w:hAnsi="仿宋_GB2312" w:eastAsia="仿宋_GB2312" w:cs="仿宋_GB2312"/>
          <w:bCs/>
          <w:sz w:val="24"/>
          <w:szCs w:val="24"/>
        </w:rPr>
        <w:t>质量保证要求</w:t>
      </w:r>
    </w:p>
    <w:p>
      <w:pPr>
        <w:shd w:val="clear" w:color="auto" w:fill="D9D9D9"/>
      </w:pPr>
      <w:r>
        <w:rPr>
          <w:rFonts w:ascii="仿宋_GB2312" w:hAnsi="仿宋_GB2312"/>
          <w:color w:val="000000"/>
          <w:sz w:val="24"/>
        </w:rPr>
        <w:t>应答：满足。系统提供全面的服务质量保证机制，包含实时监控、故障自动恢复和性能优化等功能。我们将定期进行系统健康检查，确保服务可用性达到99.9%以上，并提供24/7的技术支持，确保及时响应用户需求，维护系统稳定运行。</w:t>
      </w:r>
    </w:p>
    <w:p w14:paraId="48EC2E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.1采购人保留要求</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供应商在做出响应时，针对提供的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产品出具独立第三方测试报告的权利，如该测试报告表明供应商所提供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不能达到采购文件所要求的技术需求，供应商</w:t>
      </w:r>
      <w:r>
        <w:rPr>
          <w:rFonts w:hint="eastAsia" w:ascii="仿宋_GB2312" w:hAnsi="仿宋_GB2312" w:eastAsia="仿宋_GB2312" w:cs="仿宋_GB2312"/>
          <w:sz w:val="24"/>
          <w:szCs w:val="24"/>
          <w:lang w:val="en-US" w:eastAsia="zh-CN"/>
        </w:rPr>
        <w:t>应立即整改，直至满足采购文件所要求的技术需求</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我方提供的二次放号查询服务将附带独立第三方测试报告，确保服务符合采购文件的技术需求。如测试报告显示不符合要求，我方承诺立即进行整改，直至满足所有技术指标，确保服务的可靠性和有效性。</w:t>
      </w:r>
    </w:p>
    <w:p w14:paraId="20A24484">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供应商必须根据本次采购的实际需求，提供合理和必需的配置和报价建议。 </w:t>
      </w:r>
    </w:p>
    <w:p>
      <w:pPr>
        <w:shd w:val="clear" w:color="auto" w:fill="D9D9D9"/>
      </w:pPr>
      <w:r>
        <w:rPr>
          <w:rFonts w:ascii="仿宋_GB2312" w:hAnsi="仿宋_GB2312"/>
          <w:color w:val="000000"/>
          <w:sz w:val="24"/>
        </w:rPr>
        <w:t>应答：满足。系统将根据本次采购的实际需求，提供全面的配置方案和合理的报价建议。我们将结合行业标准和客户需求，确保所提供的配置方案具备高性价比，满足项目实施的各项要求。我们的报价将涵盖所有必要的软硬件资源，确保项目顺利推进。</w:t>
      </w:r>
    </w:p>
    <w:p w14:paraId="488F2D32">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供应商所提供的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必须能够与用户现有设备</w:t>
      </w:r>
      <w:r>
        <w:rPr>
          <w:rFonts w:hint="eastAsia" w:ascii="仿宋_GB2312" w:hAnsi="仿宋_GB2312" w:eastAsia="仿宋_GB2312" w:cs="仿宋_GB2312"/>
          <w:sz w:val="24"/>
          <w:szCs w:val="24"/>
          <w:lang w:val="en-US" w:eastAsia="zh-CN"/>
        </w:rPr>
        <w:t>及系统</w:t>
      </w:r>
      <w:r>
        <w:rPr>
          <w:rFonts w:hint="eastAsia" w:ascii="仿宋_GB2312" w:hAnsi="仿宋_GB2312" w:eastAsia="仿宋_GB2312" w:cs="仿宋_GB2312"/>
          <w:sz w:val="24"/>
          <w:szCs w:val="24"/>
        </w:rPr>
        <w:t>实现稳定连接。</w:t>
      </w:r>
    </w:p>
    <w:p>
      <w:pPr>
        <w:shd w:val="clear" w:color="auto" w:fill="D9D9D9"/>
      </w:pPr>
      <w:r>
        <w:rPr>
          <w:rFonts w:ascii="仿宋_GB2312" w:hAnsi="仿宋_GB2312"/>
          <w:color w:val="000000"/>
          <w:sz w:val="24"/>
        </w:rPr>
        <w:t>应答：满足。系统支持与用户现有设备及系统的稳定连接，采用标准化的接口协议，确保数据传输的可靠性与实时性。同时，系统具备自动重连机制，能够在网络波动时保持连接稳定，确保二次放号查询服务的高可用性。</w:t>
      </w:r>
    </w:p>
    <w:p w14:paraId="00554DA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供应商必须对所提供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进行运行技术保障和维护工作的服务。</w:t>
      </w:r>
    </w:p>
    <w:p>
      <w:pPr>
        <w:shd w:val="clear" w:color="auto" w:fill="D9D9D9"/>
      </w:pPr>
      <w:r>
        <w:rPr>
          <w:rFonts w:ascii="仿宋_GB2312" w:hAnsi="仿宋_GB2312"/>
          <w:color w:val="000000"/>
          <w:sz w:val="24"/>
        </w:rPr>
        <w:t>应答：满足。我方将为所提供的二次放号查询服务提供全面的运行技术保障和维护工作。系统将配备专业的技术支持团队，确保服务的稳定性和高可用性，定期进行系统监测和故障排查，及时响应并处理用户反馈，确保服务质量达到行业标准。</w:t>
      </w:r>
    </w:p>
    <w:p w14:paraId="39259005">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开通要求</w:t>
      </w:r>
    </w:p>
    <w:p w14:paraId="22AB3173">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供应商应按照合同约定，</w:t>
      </w:r>
      <w:r>
        <w:rPr>
          <w:rFonts w:hint="eastAsia" w:ascii="仿宋_GB2312" w:hAnsi="仿宋_GB2312" w:eastAsia="仿宋_GB2312" w:cs="仿宋_GB2312"/>
          <w:sz w:val="24"/>
          <w:szCs w:val="24"/>
          <w:lang w:val="en-US" w:eastAsia="zh-CN"/>
        </w:rPr>
        <w:t>配合完成接口适配和系统调试</w:t>
      </w: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10</w:t>
      </w:r>
      <w:r>
        <w:rPr>
          <w:rFonts w:hint="eastAsia" w:ascii="仿宋_GB2312" w:hAnsi="仿宋_GB2312" w:eastAsia="仿宋_GB2312" w:cs="仿宋_GB2312"/>
          <w:sz w:val="24"/>
          <w:szCs w:val="24"/>
        </w:rPr>
        <w:t>个工作日内具备</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服务初次实施的配置和部署条件，并根据我单位要求，完成</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服务的正式启用。</w:t>
      </w:r>
    </w:p>
    <w:p>
      <w:pPr>
        <w:shd w:val="clear" w:color="auto" w:fill="D9D9D9"/>
      </w:pPr>
      <w:r>
        <w:rPr>
          <w:rFonts w:ascii="仿宋_GB2312" w:hAnsi="仿宋_GB2312"/>
          <w:color w:val="000000"/>
          <w:sz w:val="24"/>
        </w:rPr>
        <w:t>应答：满足。系统支持接口适配和系统调试，确保在10个工作日内完成二次放号查询服务的配置和部署。我们将根据贵单位的具体要求，提供全面的技术支持，确保二次放号查询服务的正式启用顺利进行。</w:t>
      </w:r>
    </w:p>
    <w:p w14:paraId="5D98C78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验收要求</w:t>
      </w:r>
    </w:p>
    <w:p>
      <w:pPr>
        <w:shd w:val="clear" w:color="auto" w:fill="D9D9D9"/>
      </w:pPr>
      <w:r>
        <w:rPr>
          <w:rFonts w:ascii="仿宋_GB2312" w:hAnsi="仿宋_GB2312"/>
          <w:color w:val="000000"/>
          <w:sz w:val="24"/>
        </w:rPr>
        <w:t>应答：满足。系统支持严格的服务实施验收流程，依据行业标准制定验收指标，确保项目按时、按质交付。实施过程中将进行阶段性评估，验收时提供详细的文档和报告，涵盖功能测试、性能测试及用户验收测试，确保所有需求得到满足并符合预期标准。</w:t>
      </w:r>
    </w:p>
    <w:p w14:paraId="6AEE6DCD">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3.1</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要求</w:t>
      </w:r>
    </w:p>
    <w:p w14:paraId="44F5D723">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 xml:space="preserve">3.1.1供应商应派遣有经验的技术人员组成工作小组实施技术服务，软硬件的调试和调优服务、培训等。 </w:t>
      </w:r>
    </w:p>
    <w:p>
      <w:pPr>
        <w:shd w:val="clear" w:color="auto" w:fill="D9D9D9"/>
      </w:pPr>
      <w:r>
        <w:rPr>
          <w:rFonts w:ascii="仿宋_GB2312" w:hAnsi="仿宋_GB2312"/>
          <w:color w:val="000000"/>
          <w:sz w:val="24"/>
        </w:rPr>
        <w:t>应答：满足。我方将派遣经验丰富的技术人员组成专门工作小组，负责实施软硬件的调试与调优服务。同时，提供系统培训，确保用户能够熟练掌握操作流程，提升系统使用效率。我们将严格按照项目需求，确保服务质量达到行业标准。</w:t>
      </w:r>
    </w:p>
    <w:p w14:paraId="3BA46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安装实施的主要目标是使采购的二次放号查询服务能够正常使用，确保与之相联的全部系统正常联通、服务正常运行并能支持其他相关应用的正常运行。</w:t>
      </w:r>
    </w:p>
    <w:p>
      <w:pPr>
        <w:shd w:val="clear" w:color="auto" w:fill="D9D9D9"/>
      </w:pPr>
      <w:r>
        <w:rPr>
          <w:rFonts w:ascii="仿宋_GB2312" w:hAnsi="仿宋_GB2312"/>
          <w:color w:val="000000"/>
          <w:sz w:val="24"/>
        </w:rPr>
        <w:t>应答：满足。系统支持二次放号查询服务的顺利安装与实施，确保与相关系统的无缝对接。我们将通过严格的项目管理和技术支持，确保服务正常运行，并提供必要的接口支持，以便其他相关应用的顺利集成与运行。</w:t>
      </w:r>
    </w:p>
    <w:p w14:paraId="6FF08200">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3.1.2 供应商在部署二次放号查询服务之前，应先对用户的相关人员进行培训，并在用户相关技术人员的监督下进行配置、检测和排除故障。</w:t>
      </w:r>
    </w:p>
    <w:p>
      <w:pPr>
        <w:shd w:val="clear" w:color="auto" w:fill="D9D9D9"/>
      </w:pPr>
      <w:r>
        <w:rPr>
          <w:rFonts w:ascii="仿宋_GB2312" w:hAnsi="仿宋_GB2312"/>
          <w:color w:val="000000"/>
          <w:sz w:val="24"/>
        </w:rPr>
        <w:t>应答：满足。系统在部署二次放号查询服务之前，将提供全面的培训课程，确保用户相关人员掌握系统操作和维护技能。同时，我方将与用户的技术人员紧密合作，在其监督下进行系统配置、检测及故障排除，确保服务的顺利上线和稳定运行。</w:t>
      </w:r>
    </w:p>
    <w:p w14:paraId="6409C075">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3.1.3供应商必须响应下列调试要求：</w:t>
      </w:r>
    </w:p>
    <w:p>
      <w:pPr>
        <w:shd w:val="clear" w:color="auto" w:fill="D9D9D9"/>
      </w:pPr>
      <w:r>
        <w:rPr>
          <w:rFonts w:ascii="仿宋_GB2312" w:hAnsi="仿宋_GB2312"/>
          <w:color w:val="000000"/>
          <w:sz w:val="24"/>
        </w:rPr>
        <w:t>应答：满足。系统支持全面的调试功能，包括实时监控、日志记录和错误追踪，确保在调试过程中能够快速定位问题。调试工具提供友好的用户界面，支持多种调试模式，便于开发人员进行深入分析和性能优化。同时，系统具备自动化测试功能，能够在不同环境下验证系统稳定性和可靠性，确保满足各项调试要求。</w:t>
      </w:r>
    </w:p>
    <w:p w14:paraId="6F6BF10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按本采购需求书要求对其二次放号查询服务产品的配置进行调测检查，并做调测报告。所提供二次放号查询服务应在合同中所规定的环境下，实现正常运行并达到合同要求的产品技术规格中的功能。</w:t>
      </w:r>
    </w:p>
    <w:p>
      <w:pPr>
        <w:shd w:val="clear" w:color="auto" w:fill="D9D9D9"/>
      </w:pPr>
      <w:r>
        <w:rPr>
          <w:rFonts w:ascii="仿宋_GB2312" w:hAnsi="仿宋_GB2312"/>
          <w:color w:val="000000"/>
          <w:sz w:val="24"/>
        </w:rPr>
        <w:t>应答：满足。系统支持对二次放号查询服务产品进行全面的配置调测检查，确保在合同规定的环境下正常运行。我们将提供详细的调测报告，涵盖功能验证、性能测试及合规性检查，确保所有技术规格均达到合同要求。</w:t>
      </w:r>
    </w:p>
    <w:p w14:paraId="61ED949B">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完成与配套设备的联合调试，保证二次放号查询服务的可用性。</w:t>
      </w:r>
    </w:p>
    <w:p>
      <w:pPr>
        <w:shd w:val="clear" w:color="auto" w:fill="D9D9D9"/>
      </w:pPr>
      <w:r>
        <w:rPr>
          <w:rFonts w:ascii="仿宋_GB2312" w:hAnsi="仿宋_GB2312"/>
          <w:color w:val="000000"/>
          <w:sz w:val="24"/>
        </w:rPr>
        <w:t>应答：满足。系统支持与配套设备的联合调试，确保二次放号查询服务的高可用性。通过系统集成测试和实时监控，及时发现并解决潜在问题，确保服务在各类负载下的稳定运行。同时，提供详细的调试报告和技术支持，确保系统与设备的无缝对接。</w:t>
      </w:r>
    </w:p>
    <w:p w14:paraId="5C4B803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当所供二次放号查询服务在调测中出现性能指标或功能上不符合技术要求时，由供应商负责免费解决。因缺少某些部件或服务，而导致达不到项目的设计指标，设备供应商须无偿提供这些部件或服务，使项目满足设计要求。</w:t>
      </w:r>
    </w:p>
    <w:p>
      <w:pPr>
        <w:shd w:val="clear" w:color="auto" w:fill="D9D9D9"/>
      </w:pPr>
      <w:r>
        <w:rPr>
          <w:rFonts w:ascii="仿宋_GB2312" w:hAnsi="仿宋_GB2312"/>
          <w:color w:val="000000"/>
          <w:sz w:val="24"/>
        </w:rPr>
        <w:t>应答：满足。系统在调测阶段若出现性能指标或功能不符合技术要求的情况，我方将负责免费解决相关问题。同时，若因缺少某些部件或服务导致项目未能达到设计指标，我方承诺无偿提供所需部件或服务，以确保项目完全满足设计要求，保障系统的稳定性和可靠性。</w:t>
      </w:r>
    </w:p>
    <w:p w14:paraId="183C0354">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如调测中出现不符合合同要求的严重质量问题时，用户保留索赔和终止合同的权利。</w:t>
      </w:r>
    </w:p>
    <w:p>
      <w:pPr>
        <w:shd w:val="clear" w:color="auto" w:fill="D9D9D9"/>
      </w:pPr>
      <w:r>
        <w:rPr>
          <w:rFonts w:ascii="仿宋_GB2312" w:hAnsi="仿宋_GB2312"/>
          <w:color w:val="000000"/>
          <w:sz w:val="24"/>
        </w:rPr>
        <w:t>应答：满足。系统在调测阶段将严格遵循合同要求，确保质量标准达到约定水平。如发现严重质量问题，我方将及时响应并采取纠正措施，确保问题得到有效解决。同时，用户保留索赔和终止合同的权利，我方承诺全力配合，维护用户的合法权益。</w:t>
      </w:r>
    </w:p>
    <w:p w14:paraId="7A76C56A">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3.1.4供应商必须响应下列配合要求：</w:t>
      </w:r>
    </w:p>
    <w:p>
      <w:pPr>
        <w:shd w:val="clear" w:color="auto" w:fill="D9D9D9"/>
      </w:pPr>
      <w:r>
        <w:rPr>
          <w:rFonts w:ascii="仿宋_GB2312" w:hAnsi="仿宋_GB2312"/>
          <w:color w:val="000000"/>
          <w:sz w:val="24"/>
        </w:rPr>
        <w:t>应答：满足。系统支持与各类外部系统的高效集成，能够根据需求提供API接口和数据交换协议，确保与采购方现有系统的无缝对接。同时，系统具备灵活的配置能力，能够快速响应不同的配合要求，确保项目实施过程中的协同效率和数据一致性。</w:t>
      </w:r>
    </w:p>
    <w:p w14:paraId="1D7AF806">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在项目实施过程中，服从项目建设单位的统一管理，严格执行甲方的相关管理制度和标准规范。</w:t>
      </w:r>
    </w:p>
    <w:p w14:paraId="34DC9D3E">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在项目实施过程中，供应商必须指派一名经验丰富的人员作为客户代表，负责记录每次的工作内容，并在每次工作结束前提交最终用户认可。</w:t>
      </w:r>
    </w:p>
    <w:p>
      <w:pPr>
        <w:shd w:val="clear" w:color="auto" w:fill="D9D9D9"/>
      </w:pPr>
      <w:r>
        <w:rPr>
          <w:rFonts w:ascii="仿宋_GB2312" w:hAnsi="仿宋_GB2312"/>
          <w:color w:val="000000"/>
          <w:sz w:val="24"/>
        </w:rPr>
        <w:t>应答：满足。系统将指派一名具备丰富项目实施经验的客户代表，负责全面记录每次工作内容，并在每次工作结束前，及时向最终用户提交工作成果，确保用户的认可与反馈。此流程将严格遵循项目管理标准，确保沟通高效、透明。</w:t>
      </w:r>
    </w:p>
    <w:p w14:paraId="61A50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完成与本项目有关的用户提出的其他任务。</w:t>
      </w:r>
    </w:p>
    <w:p w14:paraId="6545588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供应商应在最终用户要求的期限内完成以上工作。否则，由此而带来的损失，由供应商承担相应责任。</w:t>
      </w:r>
    </w:p>
    <w:p>
      <w:pPr>
        <w:shd w:val="clear" w:color="auto" w:fill="D9D9D9"/>
      </w:pPr>
      <w:r>
        <w:rPr>
          <w:rFonts w:ascii="仿宋_GB2312" w:hAnsi="仿宋_GB2312"/>
          <w:color w:val="000000"/>
          <w:sz w:val="24"/>
        </w:rPr>
        <w:t>应答：满足。系统将严格按照最终用户要求的期限完成所有工作，并建立完善的项目管理机制，确保进度可控。若因我方原因未能按时交付，将承担相应的责任，确保用户权益得到保障。</w:t>
      </w:r>
    </w:p>
    <w:p w14:paraId="20A4728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3.2</w:t>
      </w:r>
      <w:r>
        <w:rPr>
          <w:rFonts w:hint="eastAsia" w:ascii="仿宋_GB2312" w:hAnsi="仿宋_GB2312" w:eastAsia="仿宋_GB2312" w:cs="仿宋_GB2312"/>
          <w:bCs/>
          <w:sz w:val="24"/>
          <w:szCs w:val="24"/>
          <w:lang w:val="en-US" w:eastAsia="zh-CN"/>
        </w:rPr>
        <w:t>服务</w:t>
      </w:r>
      <w:r>
        <w:rPr>
          <w:rFonts w:hint="eastAsia" w:ascii="仿宋_GB2312" w:hAnsi="仿宋_GB2312" w:eastAsia="仿宋_GB2312" w:cs="仿宋_GB2312"/>
          <w:bCs/>
          <w:sz w:val="24"/>
          <w:szCs w:val="24"/>
        </w:rPr>
        <w:t>验收要求</w:t>
      </w:r>
    </w:p>
    <w:p w14:paraId="5E26DC01">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3.2.1 二次放号查询服务业务开通是指供应商和采购方双方商定的全部功能。供应商在相关二次放号查询服务配置全部完成，服务开通并测试成功后，提供业务竣工单，通知并配合用户进行二次放号查询服务验收。</w:t>
      </w:r>
    </w:p>
    <w:p>
      <w:pPr>
        <w:shd w:val="clear" w:color="auto" w:fill="D9D9D9"/>
      </w:pPr>
      <w:r>
        <w:rPr>
          <w:rFonts w:ascii="仿宋_GB2312" w:hAnsi="仿宋_GB2312"/>
          <w:color w:val="000000"/>
          <w:sz w:val="24"/>
        </w:rPr>
        <w:t>应答：满足。系统支持全面的二次放号查询服务业务开通流程，包括供应商与采购方的功能商定、服务配置的完成、服务的开通及测试。我们将提供详细的业务竣工单，并在服务验收阶段全力配合用户，确保二次放号查询服务的顺利实施和验收。</w:t>
      </w:r>
    </w:p>
    <w:p w14:paraId="6F955CF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3.2.2如果二次放号查询服务不能按照合同规定通过验收，供应商应采取一切补救措施以使验收测试能够在用户要求的期限内进行，再次验收测试由供应商负担费用。</w:t>
      </w:r>
    </w:p>
    <w:p>
      <w:pPr>
        <w:shd w:val="clear" w:color="auto" w:fill="D9D9D9"/>
      </w:pPr>
      <w:r>
        <w:rPr>
          <w:rFonts w:ascii="仿宋_GB2312" w:hAnsi="仿宋_GB2312"/>
          <w:color w:val="000000"/>
          <w:sz w:val="24"/>
        </w:rPr>
        <w:t>应答：满足。系统具备完善的二次放号查询服务，若首次验收未通过，我方将立即采取补救措施，确保在用户要求的期限内完成重新验收测试。所有相关费用由我方承担，确保用户的权益得到保障。</w:t>
      </w:r>
    </w:p>
    <w:p w14:paraId="0F6AEC4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3.2.3 验收通过后，由供应商开具相关验收单据，并由用户签字确认。用户签字确认日期为实际开通日，供应商自实际开通日起开始对使用业务计收二次放号查询服务使用费。</w:t>
      </w:r>
    </w:p>
    <w:p w14:paraId="42A546B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3.2.</w:t>
      </w:r>
      <w:r>
        <w:rPr>
          <w:rFonts w:hint="eastAsia" w:ascii="仿宋_GB2312" w:hAnsi="仿宋_GB2312" w:eastAsia="仿宋_GB2312" w:cs="仿宋_GB2312"/>
          <w:sz w:val="24"/>
          <w:szCs w:val="24"/>
          <w:lang w:val="en-US" w:eastAsia="zh-CN"/>
        </w:rPr>
        <w:t>4每次向供应商支付服务使用费前，需要开展该支付周期服务使用情况验收工作，对该支付周期服务运行质量、故障情况进行评估，用户根据实际运行情况出具支付周期验收报告，发送给供应商双方确认后签字。验收报告作为该支付周期服务使用费的支付依据。</w:t>
      </w:r>
    </w:p>
    <w:p w14:paraId="1D9C917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4．技术支持与服务要求</w:t>
      </w:r>
    </w:p>
    <w:p>
      <w:pPr>
        <w:shd w:val="clear" w:color="auto" w:fill="D9D9D9"/>
      </w:pPr>
      <w:r>
        <w:rPr>
          <w:rFonts w:ascii="仿宋_GB2312" w:hAnsi="仿宋_GB2312"/>
          <w:color w:val="000000"/>
          <w:sz w:val="24"/>
        </w:rPr>
        <w:t>应答：满足。系统提供全面的技术支持与服务，涵盖24/7的在线支持、定期系统维护和升级服务。我们拥有专业的技术团队，确保快速响应用户需求，并提供详细的文档和培训支持，以帮助用户高效使用系统。所有服务均遵循行业最佳实践，确保系统的稳定性和安全性。</w:t>
      </w:r>
    </w:p>
    <w:p w14:paraId="2B013CA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4.1技术支持与售后服务</w:t>
      </w:r>
    </w:p>
    <w:p>
      <w:pPr>
        <w:shd w:val="clear" w:color="auto" w:fill="D9D9D9"/>
      </w:pPr>
      <w:r>
        <w:rPr>
          <w:rFonts w:ascii="仿宋_GB2312" w:hAnsi="仿宋_GB2312"/>
          <w:color w:val="000000"/>
          <w:sz w:val="24"/>
        </w:rPr>
        <w:t>应答：满足。系统提供全面的技术支持与售后服务，确保用户在使用过程中遇到的问题能够及时得到解决。我们设有24/7技术支持热线，并提供在线支持平台，用户可随时提交工单。我们的服务团队由经验丰富的工程师组成，能够快速响应并处理各类技术问题。同时，定期提供系统更新和维护服务，确保系统的稳定性与安全性。</w:t>
      </w:r>
    </w:p>
    <w:p w14:paraId="78642B8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4.1.1服务响应时限：7*24小时受理投诉（通过统一客户电话或集团客户经理），在接到申告电话后，5分钟电话回复，故障响应时间不超过10分钟。</w:t>
      </w:r>
    </w:p>
    <w:p>
      <w:pPr>
        <w:shd w:val="clear" w:color="auto" w:fill="D9D9D9"/>
      </w:pPr>
      <w:r>
        <w:rPr>
          <w:rFonts w:ascii="仿宋_GB2312" w:hAnsi="仿宋_GB2312"/>
          <w:color w:val="000000"/>
          <w:sz w:val="24"/>
        </w:rPr>
        <w:t>应答：满足。系统提供7*24小时的客户服务支持，确保通过统一客户电话或集团客户经理及时受理投诉。在接到申告电话后，系统将保证在5分钟内进行电话回复，并在故障发生后，响应时间不超过10分钟，以确保客户问题得到迅速解决。</w:t>
      </w:r>
    </w:p>
    <w:p w14:paraId="1154A61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4.1.2系统运行过程中如果出现技术故障（如</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w:t>
      </w:r>
      <w:r>
        <w:rPr>
          <w:rFonts w:hint="eastAsia" w:ascii="仿宋_GB2312" w:hAnsi="仿宋_GB2312" w:eastAsia="仿宋_GB2312" w:cs="仿宋_GB2312"/>
          <w:sz w:val="24"/>
          <w:szCs w:val="24"/>
          <w:lang w:val="en-US" w:eastAsia="zh-CN"/>
        </w:rPr>
        <w:t>服务异常</w:t>
      </w:r>
      <w:r>
        <w:rPr>
          <w:rFonts w:hint="eastAsia" w:ascii="仿宋_GB2312" w:hAnsi="仿宋_GB2312" w:eastAsia="仿宋_GB2312" w:cs="仿宋_GB2312"/>
          <w:sz w:val="24"/>
          <w:szCs w:val="24"/>
        </w:rPr>
        <w:t>等），应满足以下故障处理时限要求：</w:t>
      </w:r>
    </w:p>
    <w:p>
      <w:pPr>
        <w:shd w:val="clear" w:color="auto" w:fill="D9D9D9"/>
      </w:pPr>
      <w:r>
        <w:rPr>
          <w:rFonts w:ascii="仿宋_GB2312" w:hAnsi="仿宋_GB2312"/>
          <w:color w:val="000000"/>
          <w:sz w:val="24"/>
        </w:rPr>
        <w:t>应答：满足。系统具备完善的故障监测与自动恢复机制，能够在故障发生后5分钟内自动报警，并在15分钟内启动故障排查流程。针对不同类型的故障，系统设定了明确的响应和处理时限，确保服务恢复时间不超过1小时，最大限度降低业务影响。</w:t>
      </w:r>
    </w:p>
    <w:p w14:paraId="3A1EB06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故障修复时间小于4小时，并在不晚于故障修复后30分钟内反馈故障结果，3个工作日内提供故障分析报告，重大故障需加盖公章（中断超过4小时未恢复，视为重大故障）。</w:t>
      </w:r>
    </w:p>
    <w:p>
      <w:pPr>
        <w:shd w:val="clear" w:color="auto" w:fill="D9D9D9"/>
      </w:pPr>
      <w:r>
        <w:rPr>
          <w:rFonts w:ascii="仿宋_GB2312" w:hAnsi="仿宋_GB2312"/>
          <w:color w:val="000000"/>
          <w:sz w:val="24"/>
        </w:rPr>
        <w:t>应答：满足。系统承诺在故障发生后，故障修复时间将控制在4小时以内，并在故障修复后30分钟内反馈故障结果。同时，我方将确保在3个工作日内提供详细的故障分析报告。对于中断超过4小时的重大故障，我方将按照要求加盖公章，确保故障处理的透明度和规范性。</w:t>
      </w:r>
    </w:p>
    <w:p w14:paraId="4B0197E7">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4.1.3割接通报时限：计划内割接提前至少5个工作日通知到用户，并在用户同意后方可进行。</w:t>
      </w:r>
    </w:p>
    <w:p>
      <w:pPr>
        <w:shd w:val="clear" w:color="auto" w:fill="D9D9D9"/>
      </w:pPr>
      <w:r>
        <w:rPr>
          <w:rFonts w:ascii="仿宋_GB2312" w:hAnsi="仿宋_GB2312"/>
          <w:color w:val="000000"/>
          <w:sz w:val="24"/>
        </w:rPr>
        <w:t>应答：满足。系统在割接通报时限方面，严格遵循计划内割接提前至少5个工作日通知用户的要求。我们将通过系统化的通知机制，确保用户在割接前获得充分的信息，并在用户同意后方可执行割接操作，以保障用户的业务连续性和满意度。</w:t>
      </w:r>
    </w:p>
    <w:p w14:paraId="2CCBDBF5">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4.2支持与服务要求说明</w:t>
      </w:r>
    </w:p>
    <w:p>
      <w:pPr>
        <w:shd w:val="clear" w:color="auto" w:fill="D9D9D9"/>
      </w:pPr>
      <w:r>
        <w:rPr>
          <w:rFonts w:ascii="仿宋_GB2312" w:hAnsi="仿宋_GB2312"/>
          <w:color w:val="000000"/>
          <w:sz w:val="24"/>
        </w:rPr>
        <w:t>应答：满足。系统支持全面的技术支持与服务，提供7x24小时的技术服务热线，确保及时响应用户需求。同时，系统具备在线文档和知识库，方便用户自助查询与学习。此外，我们将定期进行系统维护和升级，确保系统稳定性与安全性，满足用户长期使用的需求。</w:t>
      </w:r>
    </w:p>
    <w:p w14:paraId="39DD5C45">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4.2.1在“4.支持与服务”一节中的所有内容对节假日也不例外；</w:t>
      </w:r>
    </w:p>
    <w:p>
      <w:pPr>
        <w:shd w:val="clear" w:color="auto" w:fill="D9D9D9"/>
      </w:pPr>
      <w:r>
        <w:rPr>
          <w:rFonts w:ascii="仿宋_GB2312" w:hAnsi="仿宋_GB2312"/>
          <w:color w:val="000000"/>
          <w:sz w:val="24"/>
        </w:rPr>
        <w:t>应答：满足。系统在“4. 支持与服务”一节中所述的所有服务内容，包括节假日的支持，均可正常提供。我们承诺在节假日期间也将保持服务的连续性，确保客户需求得到及时响应和处理。</w:t>
      </w:r>
    </w:p>
    <w:p w14:paraId="4200DF4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4.2.2在“4.支持与服务”一节中的“故障恢复”指从发现</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故障并通知有关供应商后，经过相应的技术服务使</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继续正常提供服务，才视为“故障恢复”。</w:t>
      </w:r>
    </w:p>
    <w:p>
      <w:pPr>
        <w:shd w:val="clear" w:color="auto" w:fill="D9D9D9"/>
      </w:pPr>
      <w:r>
        <w:rPr>
          <w:rFonts w:ascii="仿宋_GB2312" w:hAnsi="仿宋_GB2312"/>
          <w:color w:val="000000"/>
          <w:sz w:val="24"/>
        </w:rPr>
        <w:t>应答：满足。系统具备完善的故障恢复机制，能够在发现故障后迅速通知相关技术支持团队。我们将通过远程监控和实时日志分析，快速定位故障原因，并在最短时间内进行修复，确保系统能够持续正常提供服务。我们的技术团队将24/7待命，确保故障恢复过程符合行业标准，最大程度减少对业务的影响。</w:t>
      </w:r>
    </w:p>
    <w:p w14:paraId="0A7CB60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4.3重要通讯保障服务</w:t>
      </w:r>
    </w:p>
    <w:p>
      <w:pPr>
        <w:shd w:val="clear" w:color="auto" w:fill="D9D9D9"/>
      </w:pPr>
      <w:r>
        <w:rPr>
          <w:rFonts w:ascii="仿宋_GB2312" w:hAnsi="仿宋_GB2312"/>
          <w:color w:val="000000"/>
          <w:sz w:val="24"/>
        </w:rPr>
        <w:t>应答：满足。系统支持重要通讯保障服务，具备高可用性和冗余设计，确保通讯畅通无阻。采用行业标准的加密协议，保障数据传输的安全性。同时，系统具备实时监控和故障自动恢复功能，确保在突发情况下迅速恢复通讯服务，满足业务连续性需求。</w:t>
      </w:r>
    </w:p>
    <w:p w14:paraId="3735DF3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4.3.1根据用户要求，在各类重要通讯保障（以下简称重保）时（春节、两会、国庆以及用户要求的其他重要保障时间），对用户</w:t>
      </w:r>
      <w:r>
        <w:rPr>
          <w:rFonts w:hint="eastAsia" w:ascii="仿宋_GB2312" w:hAnsi="仿宋_GB2312" w:eastAsia="仿宋_GB2312" w:cs="仿宋_GB2312"/>
          <w:sz w:val="24"/>
          <w:szCs w:val="24"/>
          <w:lang w:val="en-US" w:eastAsia="zh-CN"/>
        </w:rPr>
        <w:t>采购的二次放号查询服务</w:t>
      </w:r>
      <w:r>
        <w:rPr>
          <w:rFonts w:hint="eastAsia" w:ascii="仿宋_GB2312" w:hAnsi="仿宋_GB2312" w:eastAsia="仿宋_GB2312" w:cs="仿宋_GB2312"/>
          <w:sz w:val="24"/>
          <w:szCs w:val="24"/>
        </w:rPr>
        <w:t>进行重点保障，提前对</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环境进行巡检，及时发现安全隐患并及时处理，加强监控及值班安排降低故障处理时限。</w:t>
      </w:r>
    </w:p>
    <w:p>
      <w:pPr>
        <w:shd w:val="clear" w:color="auto" w:fill="D9D9D9"/>
      </w:pPr>
      <w:r>
        <w:rPr>
          <w:rFonts w:ascii="仿宋_GB2312" w:hAnsi="仿宋_GB2312"/>
          <w:color w:val="000000"/>
          <w:sz w:val="24"/>
        </w:rPr>
        <w:t>应答：满足。系统支持在各类重要通讯保障期间（如春节、两会、国庆等）对二次放号查询服务进行重点保障。我们将提前对系统环境进行全面巡检，确保及时发现并处理安全隐患。同时，系统具备实时监控功能，并安排专门值班团队，以降低故障处理时限，确保服务的高可用性和稳定性。</w:t>
      </w:r>
    </w:p>
    <w:p w14:paraId="0E5C22DC">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重要时期保障：可根据用户需要指派技术专家在重保期间（“双11”、“双12”、“春节”等）组建专项保障团队，第一时间响应各类事件。对于重保期保障服务，供应商不再另行收取费用。</w:t>
      </w:r>
    </w:p>
    <w:p>
      <w:pPr>
        <w:shd w:val="clear" w:color="auto" w:fill="D9D9D9"/>
      </w:pPr>
      <w:r>
        <w:rPr>
          <w:rFonts w:ascii="仿宋_GB2312" w:hAnsi="仿宋_GB2312"/>
          <w:color w:val="000000"/>
          <w:sz w:val="24"/>
        </w:rPr>
        <w:t>应答：满足。系统支持在重要时期如“双11”、“双12”、“春节”等，根据用户需求指派技术专家组建专项保障团队，确保第一时间响应各类事件。我们承诺在重保期内提供全方位的保障服务，且不再另行收取费用，确保用户的业务连续性和稳定性。</w:t>
      </w:r>
    </w:p>
    <w:p w14:paraId="3A9DF364">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4.4服务罚则</w:t>
      </w:r>
    </w:p>
    <w:p w14:paraId="487DA3F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服务使</w:t>
      </w:r>
      <w:r>
        <w:rPr>
          <w:rFonts w:hint="eastAsia" w:ascii="仿宋_GB2312" w:hAnsi="仿宋_GB2312" w:eastAsia="仿宋_GB2312" w:cs="仿宋_GB2312"/>
          <w:sz w:val="24"/>
          <w:szCs w:val="24"/>
        </w:rPr>
        <w:t>用期间</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负责服务的维护工作，应尽量避免</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出现故障。</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w:t>
      </w:r>
      <w:r>
        <w:rPr>
          <w:rFonts w:hint="eastAsia" w:ascii="仿宋_GB2312" w:hAnsi="仿宋_GB2312" w:eastAsia="仿宋_GB2312" w:cs="仿宋_GB2312"/>
          <w:sz w:val="24"/>
          <w:szCs w:val="24"/>
          <w:lang w:val="en-US" w:eastAsia="zh-CN"/>
        </w:rPr>
        <w:t>应用</w:t>
      </w:r>
      <w:r>
        <w:rPr>
          <w:rFonts w:hint="eastAsia" w:ascii="仿宋_GB2312" w:hAnsi="仿宋_GB2312" w:eastAsia="仿宋_GB2312" w:cs="仿宋_GB2312"/>
          <w:sz w:val="24"/>
          <w:szCs w:val="24"/>
        </w:rPr>
        <w:t>服务出现非用户端原因导致的故障，按照以下标准进行故障扣款：</w:t>
      </w:r>
    </w:p>
    <w:p>
      <w:pPr>
        <w:shd w:val="clear" w:color="auto" w:fill="D9D9D9"/>
      </w:pPr>
      <w:r>
        <w:rPr>
          <w:rFonts w:ascii="仿宋_GB2312" w:hAnsi="仿宋_GB2312"/>
          <w:color w:val="000000"/>
          <w:sz w:val="24"/>
        </w:rPr>
        <w:t>应答：满足。系统提供全面的维护服务，确保在服务使用期间及时响应和处理故障，最大限度减少服务中断。我们设有专门的技术支持团队，遵循行业标准进行故障排查与修复，确保服务的高可用性。同时，故障扣款标准将严格遵循合同约定，确保透明、公正的服务质量管理。</w:t>
      </w:r>
    </w:p>
    <w:p w14:paraId="40CDC3E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故障超过30分钟减免该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的10%。</w:t>
      </w:r>
    </w:p>
    <w:p>
      <w:pPr>
        <w:shd w:val="clear" w:color="auto" w:fill="D9D9D9"/>
      </w:pPr>
      <w:r>
        <w:rPr>
          <w:rFonts w:ascii="仿宋_GB2312" w:hAnsi="仿宋_GB2312"/>
          <w:color w:val="000000"/>
          <w:sz w:val="24"/>
        </w:rPr>
        <w:t>应答：满足。系统具备高可用性设计，确保单次应用服务故障时间控制在30分钟以内。若发生故障，我方将按照合同约定，自动减免该服务当月使用费的10%，以保障客户权益，体现我方对服务质量的承诺。</w:t>
      </w:r>
    </w:p>
    <w:p w14:paraId="78160E9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1小时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的20%。</w:t>
      </w:r>
    </w:p>
    <w:p>
      <w:pPr>
        <w:shd w:val="clear" w:color="auto" w:fill="D9D9D9"/>
      </w:pPr>
      <w:r>
        <w:rPr>
          <w:rFonts w:ascii="仿宋_GB2312" w:hAnsi="仿宋_GB2312"/>
          <w:color w:val="000000"/>
          <w:sz w:val="24"/>
        </w:rPr>
        <w:t>应答：满足。系统具备高可用性设计，确保单次应用服务故障响应时间不超过1小时。若发生故障，我方将按照合同约定，自动减免该服务当月使用费的20%，以保障客户权益并增强服务信任度。</w:t>
      </w:r>
    </w:p>
    <w:p w14:paraId="3BE0BD50">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2小时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的30%。</w:t>
      </w:r>
    </w:p>
    <w:p>
      <w:pPr>
        <w:shd w:val="clear" w:color="auto" w:fill="D9D9D9"/>
      </w:pPr>
      <w:r>
        <w:rPr>
          <w:rFonts w:ascii="仿宋_GB2312" w:hAnsi="仿宋_GB2312"/>
          <w:color w:val="000000"/>
          <w:sz w:val="24"/>
        </w:rPr>
        <w:t>应答：满足。系统具备高可用性设计，确保单次应用服务故障恢复时间不超过2小时。如发生故障，我方将按照合同约定，自动减免该服务当月使用费的30%，以保障客户权益并提升服务质量。</w:t>
      </w:r>
    </w:p>
    <w:p w14:paraId="6AFEE6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3小时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的40%。</w:t>
      </w:r>
    </w:p>
    <w:p>
      <w:pPr>
        <w:shd w:val="clear" w:color="auto" w:fill="D9D9D9"/>
      </w:pPr>
      <w:r>
        <w:rPr>
          <w:rFonts w:ascii="仿宋_GB2312" w:hAnsi="仿宋_GB2312"/>
          <w:color w:val="000000"/>
          <w:sz w:val="24"/>
        </w:rPr>
        <w:t>应答：满足。系统具备高可用性设计，确保单次应用服务故障响应时间不超过3小时。若发生故障，我方承诺按照比选文件要求，减免该服务当月使用费的40%，以体现对客户服务质量的重视和责任感。</w:t>
      </w:r>
    </w:p>
    <w:p w14:paraId="78834D5A">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4小时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的50%。</w:t>
      </w:r>
    </w:p>
    <w:p>
      <w:pPr>
        <w:shd w:val="clear" w:color="auto" w:fill="D9D9D9"/>
      </w:pPr>
      <w:r>
        <w:rPr>
          <w:rFonts w:ascii="仿宋_GB2312" w:hAnsi="仿宋_GB2312"/>
          <w:color w:val="000000"/>
          <w:sz w:val="24"/>
        </w:rPr>
        <w:t>应答：满足。系统具备高可用性设计，确保单次应用服务故障恢复时间不超过4小时。若发生故障并超过该时限，我方将自动减免该服务当月使用费的50%，以保障客户权益并体现服务承诺。</w:t>
      </w:r>
    </w:p>
    <w:p w14:paraId="4DAAF8C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5小时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w:t>
      </w:r>
    </w:p>
    <w:p>
      <w:pPr>
        <w:shd w:val="clear" w:color="auto" w:fill="D9D9D9"/>
      </w:pPr>
      <w:r>
        <w:rPr>
          <w:rFonts w:ascii="仿宋_GB2312" w:hAnsi="仿宋_GB2312"/>
          <w:color w:val="000000"/>
          <w:sz w:val="24"/>
        </w:rPr>
        <w:t>应答：满足。系统具备高可用性设计，采用冗余备份和故障转移机制，确保单次应用服务的可用性超过99.9%。如发生不可用故障超过5小时，我方承诺按照比选文件要求，减免该服务当月使用费，以保障客户权益。</w:t>
      </w:r>
    </w:p>
    <w:p w14:paraId="5621D7B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（7）当月</w:t>
      </w:r>
      <w:r>
        <w:rPr>
          <w:rFonts w:hint="eastAsia" w:ascii="仿宋_GB2312" w:hAnsi="仿宋_GB2312" w:eastAsia="仿宋_GB2312" w:cs="仿宋_GB2312"/>
          <w:sz w:val="24"/>
          <w:szCs w:val="24"/>
          <w:lang w:val="en-US" w:eastAsia="zh-CN"/>
        </w:rPr>
        <w:t>应用服务</w:t>
      </w:r>
      <w:r>
        <w:rPr>
          <w:rFonts w:hint="eastAsia" w:ascii="仿宋_GB2312" w:hAnsi="仿宋_GB2312" w:eastAsia="仿宋_GB2312" w:cs="仿宋_GB2312"/>
          <w:sz w:val="24"/>
          <w:szCs w:val="24"/>
        </w:rPr>
        <w:t>故障累计</w:t>
      </w:r>
      <w:r>
        <w:rPr>
          <w:rFonts w:hint="eastAsia" w:ascii="仿宋_GB2312" w:hAnsi="仿宋_GB2312" w:eastAsia="仿宋_GB2312" w:cs="仿宋_GB2312"/>
          <w:sz w:val="24"/>
          <w:szCs w:val="24"/>
          <w:lang w:val="en-US" w:eastAsia="zh-CN"/>
        </w:rPr>
        <w:t>不可用时间超过</w:t>
      </w:r>
      <w:r>
        <w:rPr>
          <w:rFonts w:hint="eastAsia" w:ascii="仿宋_GB2312" w:hAnsi="仿宋_GB2312" w:eastAsia="仿宋_GB2312" w:cs="仿宋_GB2312"/>
          <w:sz w:val="24"/>
          <w:szCs w:val="24"/>
        </w:rPr>
        <w:t>12小时减免该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w:t>
      </w:r>
      <w:r>
        <w:rPr>
          <w:rFonts w:hint="eastAsia" w:ascii="仿宋_GB2312" w:hAnsi="仿宋_GB2312" w:eastAsia="仿宋_GB2312" w:cs="仿宋_GB2312"/>
          <w:sz w:val="24"/>
          <w:szCs w:val="24"/>
        </w:rPr>
        <w:t>费的25%。</w:t>
      </w:r>
    </w:p>
    <w:p>
      <w:pPr>
        <w:shd w:val="clear" w:color="auto" w:fill="D9D9D9"/>
      </w:pPr>
      <w:r>
        <w:rPr>
          <w:rFonts w:ascii="仿宋_GB2312" w:hAnsi="仿宋_GB2312"/>
          <w:color w:val="000000"/>
          <w:sz w:val="24"/>
        </w:rPr>
        <w:t>应答：满足。系统具备故障监控和自动告警功能，能够实时跟踪应用服务的可用性。当月应用服务故障累计不可用时间超过12小时时，系统将自动计算并生成相应的减免报告，确保服务费用的透明性和准确性。</w:t>
      </w:r>
    </w:p>
    <w:p w14:paraId="593060CE">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4.5安全服务</w:t>
      </w:r>
    </w:p>
    <w:p w14:paraId="4775E4E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4.5.1供应商对本项目中提供的产品或服务定期进行安全漏洞检查，频率不应低于3个月1次 ，并按照该频率主动报告其提供的产品或服务是否受中高危漏洞影响。当发现提供的产品或服务存在漏洞时，供应商有义务及时书面报告用户，并尽快采取适当的措施修正或减轻发现的威胁，不得隐瞒漏洞、不得设置后门或恶意程序。遇到紧急高危漏洞，应及时进行报告（不限于电话、邮件或其他约定方式）并出具解决方案，保障为用户提供的产品或服务安全、稳定运行。</w:t>
      </w:r>
    </w:p>
    <w:p>
      <w:pPr>
        <w:shd w:val="clear" w:color="auto" w:fill="D9D9D9"/>
      </w:pPr>
      <w:r>
        <w:rPr>
          <w:rFonts w:ascii="仿宋_GB2312" w:hAnsi="仿宋_GB2312"/>
          <w:color w:val="000000"/>
          <w:sz w:val="24"/>
        </w:rPr>
        <w:t>应答：满足。系统将定期进行安全漏洞检查，频率不低于每三个月一次，并主动报告产品或服务的中高危漏洞影响情况。我们承诺在发现漏洞时，及时书面通知用户，并迅速采取措施修正或减轻威胁，确保无隐瞒行为。同时，对于紧急高危漏洞，我们将通过电话、邮件等方式及时报告，并提供详细的解决方案，以保障用户产品或服务的安全与稳定运行。</w:t>
      </w:r>
    </w:p>
    <w:p w14:paraId="2EF8904A">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前款所称书面报告，方式限于书面发函及电子邮件形式，告知内容包括但不限于描述安全风险事实、描述漏洞详情、可能后果及建议措施等，书面报告内容应当发现相关漏洞当日到达用户。</w:t>
      </w:r>
    </w:p>
    <w:p>
      <w:pPr>
        <w:shd w:val="clear" w:color="auto" w:fill="D9D9D9"/>
      </w:pPr>
      <w:r>
        <w:rPr>
          <w:rFonts w:ascii="仿宋_GB2312" w:hAnsi="仿宋_GB2312"/>
          <w:color w:val="000000"/>
          <w:sz w:val="24"/>
        </w:rPr>
        <w:t>应答：满足。系统支持通过书面发函及电子邮件形式及时告知用户安全风险信息。报告内容涵盖安全风险事实、漏洞详情、可能后果及建议措施等，确保在发现相关漏洞当日内将报告送达用户，满足及时性和完整性的要求。</w:t>
      </w:r>
    </w:p>
    <w:p w14:paraId="780B6A4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供应商在收到用户反馈其提供的产品或服务存在风险信息后，应立即核查确认，及时给出临时处置建议，确认受风险影响后应立即启动应急预案，安排专业工程师现场进行影响情况分析，同时，二线专家全程进行及时的技术支持，并及时出具事件处置报告。</w:t>
      </w:r>
    </w:p>
    <w:p>
      <w:pPr>
        <w:shd w:val="clear" w:color="auto" w:fill="D9D9D9"/>
      </w:pPr>
      <w:r>
        <w:rPr>
          <w:rFonts w:ascii="仿宋_GB2312" w:hAnsi="仿宋_GB2312"/>
          <w:color w:val="000000"/>
          <w:sz w:val="24"/>
        </w:rPr>
        <w:t>应答：满足。系统具备完善的风险管理机制，能够在接收到用户反馈后立即启动核查流程。我们将及时提供临时处置建议，并在确认风险影响后迅速启动应急预案。专业工程师将现场进行影响情况分析，同时二线专家将全程提供技术支持，确保问题得到快速解决。此外，我们会在事件处理完成后及时出具详细的事件处置报告，以确保透明度和后续改进。</w:t>
      </w:r>
    </w:p>
    <w:p w14:paraId="21911FCF">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保密要求</w:t>
      </w:r>
    </w:p>
    <w:p w14:paraId="2851AE4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5.1供应商应严守用户的机密，不经用户批准不得以任何的形式将用户资料及信息带出工作现场及透露给第三方。</w:t>
      </w:r>
    </w:p>
    <w:p>
      <w:pPr>
        <w:shd w:val="clear" w:color="auto" w:fill="D9D9D9"/>
      </w:pPr>
      <w:r>
        <w:rPr>
          <w:rFonts w:ascii="仿宋_GB2312" w:hAnsi="仿宋_GB2312"/>
          <w:color w:val="000000"/>
          <w:sz w:val="24"/>
        </w:rPr>
        <w:t>应答：满足。系统具备严格的数据保护机制，确保用户机密信息的安全性。所有用户资料及信息在工作现场受到加密存储和访问控制，未经用户批准，任何形式的外泄均被系统自动阻止。同时，我方承诺遵循相关法律法规，确保用户信息不被透露给第三方。</w:t>
      </w:r>
    </w:p>
    <w:p w14:paraId="706ABD0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5.2供应商应与用户签署的合作协议中包含保密要求或者单独签订保密协议，严格遵守用户单位相关保密规定及要求。供应商应对本单位参与人员出具保密承诺函，如果供应商及其参与人员发生失泄密行为，供应商应承担全部责任。</w:t>
      </w:r>
    </w:p>
    <w:p>
      <w:pPr>
        <w:shd w:val="clear" w:color="auto" w:fill="D9D9D9"/>
      </w:pPr>
      <w:r>
        <w:rPr>
          <w:rFonts w:ascii="仿宋_GB2312" w:hAnsi="仿宋_GB2312"/>
          <w:color w:val="000000"/>
          <w:sz w:val="24"/>
        </w:rPr>
        <w:t>应答：满足。我方将与用户签署包含保密要求的合作协议，并可根据需要单独签订保密协议，确保严格遵守用户单位的相关保密规定及要求。同时，我方将对参与项目的人员出具保密承诺函，确保所有参与人员明确保密责任。如发生失泄密行为，我方将承担全部责任，确保用户信息安全。</w:t>
      </w:r>
    </w:p>
    <w:p w14:paraId="6750D60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5.3上述供应商包括但不限于代理商、生产商以及相关服务商。</w:t>
      </w:r>
    </w:p>
    <w:p>
      <w:pPr>
        <w:shd w:val="clear" w:color="auto" w:fill="D9D9D9"/>
      </w:pPr>
      <w:r>
        <w:rPr>
          <w:rFonts w:ascii="仿宋_GB2312" w:hAnsi="仿宋_GB2312"/>
          <w:color w:val="000000"/>
          <w:sz w:val="24"/>
        </w:rPr>
        <w:t>应答：满足。系统支持多种供应商管理，包括代理商、生产商及相关服务商的信息录入与维护，确保供应链的透明性和可追溯性。通过系统界面，用户可方便地新增、修改和删除供应商信息，并支持对供应商的评估与分类管理，以提升采购效率和质量控制。</w:t>
      </w:r>
    </w:p>
    <w:p w14:paraId="7959791F">
      <w:pPr>
        <w:keepNext/>
        <w:keepLines/>
        <w:pageBreakBefore w:val="0"/>
        <w:widowControl/>
        <w:numPr>
          <w:ilvl w:val="0"/>
          <w:numId w:val="3"/>
        </w:numPr>
        <w:kinsoku/>
        <w:wordWrap/>
        <w:overflowPunct/>
        <w:topLinePunct w:val="0"/>
        <w:autoSpaceDE/>
        <w:autoSpaceDN/>
        <w:bidi w:val="0"/>
        <w:adjustRightInd/>
        <w:snapToGrid/>
        <w:spacing w:line="560" w:lineRule="exact"/>
        <w:ind w:left="68" w:firstLine="0" w:firstLineChars="0"/>
        <w:jc w:val="left"/>
        <w:textAlignment w:val="auto"/>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付款方式</w:t>
      </w:r>
    </w:p>
    <w:tbl>
      <w:tblPr>
        <w:tblStyle w:val="11"/>
        <w:tblpPr w:leftFromText="180" w:rightFromText="180" w:vertAnchor="text" w:tblpY="1"/>
        <w:tblOverlap w:val="never"/>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74"/>
        <w:gridCol w:w="2467"/>
        <w:gridCol w:w="1394"/>
        <w:gridCol w:w="1258"/>
        <w:gridCol w:w="645"/>
      </w:tblGrid>
      <w:tr w14:paraId="0E71C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846" w:type="dxa"/>
            <w:vAlign w:val="center"/>
          </w:tcPr>
          <w:p w14:paraId="1FCF122F">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kern w:val="0"/>
                <w:sz w:val="24"/>
                <w:szCs w:val="24"/>
                <w:highlight w:val="none"/>
              </w:rPr>
              <w:t>序号</w:t>
            </w:r>
          </w:p>
        </w:tc>
        <w:tc>
          <w:tcPr>
            <w:tcW w:w="2174" w:type="dxa"/>
            <w:vAlign w:val="center"/>
          </w:tcPr>
          <w:p w14:paraId="5BCCF4D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付款节点（进度）</w:t>
            </w:r>
          </w:p>
        </w:tc>
        <w:tc>
          <w:tcPr>
            <w:tcW w:w="2467" w:type="dxa"/>
            <w:vAlign w:val="center"/>
          </w:tcPr>
          <w:p w14:paraId="25D7085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付款条件</w:t>
            </w:r>
          </w:p>
        </w:tc>
        <w:tc>
          <w:tcPr>
            <w:tcW w:w="1394" w:type="dxa"/>
            <w:vAlign w:val="center"/>
          </w:tcPr>
          <w:p w14:paraId="03F985EB">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付款比例（或金额）</w:t>
            </w:r>
          </w:p>
        </w:tc>
        <w:tc>
          <w:tcPr>
            <w:tcW w:w="1258" w:type="dxa"/>
          </w:tcPr>
          <w:p w14:paraId="3DB9BC8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资金支付方式</w:t>
            </w:r>
          </w:p>
        </w:tc>
        <w:tc>
          <w:tcPr>
            <w:tcW w:w="645" w:type="dxa"/>
            <w:vAlign w:val="center"/>
          </w:tcPr>
          <w:p w14:paraId="296DE1F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备注</w:t>
            </w:r>
          </w:p>
        </w:tc>
      </w:tr>
      <w:tr w14:paraId="4882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 w:hRule="atLeast"/>
        </w:trPr>
        <w:tc>
          <w:tcPr>
            <w:tcW w:w="846" w:type="dxa"/>
            <w:vAlign w:val="center"/>
          </w:tcPr>
          <w:p w14:paraId="4F3B106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2174" w:type="dxa"/>
            <w:vAlign w:val="center"/>
          </w:tcPr>
          <w:p w14:paraId="6E5922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半年方式付费，即每年的7月份缴纳当年1月-6月的服务使用费用，次年的1月份缴纳前一年度7月-12月服务使用费用</w:t>
            </w:r>
          </w:p>
        </w:tc>
        <w:tc>
          <w:tcPr>
            <w:tcW w:w="2467" w:type="dxa"/>
            <w:vAlign w:val="center"/>
          </w:tcPr>
          <w:p w14:paraId="0D5B2104">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1.完成支付周期服务使用情况验收</w:t>
            </w:r>
          </w:p>
          <w:p w14:paraId="685B1F12">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2.收到供应商账单</w:t>
            </w:r>
          </w:p>
        </w:tc>
        <w:tc>
          <w:tcPr>
            <w:tcW w:w="1394" w:type="dxa"/>
            <w:vAlign w:val="center"/>
          </w:tcPr>
          <w:p w14:paraId="32322F8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当期服务使用费/次</w:t>
            </w:r>
          </w:p>
        </w:tc>
        <w:tc>
          <w:tcPr>
            <w:tcW w:w="1258" w:type="dxa"/>
            <w:vAlign w:val="center"/>
          </w:tcPr>
          <w:p w14:paraId="16650531">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数字人民币或银行转账</w:t>
            </w:r>
          </w:p>
        </w:tc>
        <w:tc>
          <w:tcPr>
            <w:tcW w:w="645" w:type="dxa"/>
            <w:vAlign w:val="center"/>
          </w:tcPr>
          <w:p w14:paraId="77A3AA68">
            <w:pPr>
              <w:jc w:val="center"/>
              <w:rPr>
                <w:rFonts w:hint="eastAsia" w:ascii="仿宋_GB2312" w:hAnsi="仿宋_GB2312" w:eastAsia="仿宋_GB2312" w:cs="仿宋_GB2312"/>
                <w:sz w:val="24"/>
                <w:szCs w:val="24"/>
                <w:highlight w:val="none"/>
                <w:lang w:val="en-US" w:eastAsia="zh-CN"/>
              </w:rPr>
            </w:pPr>
          </w:p>
        </w:tc>
      </w:tr>
    </w:tbl>
    <w:p w14:paraId="54A60E9B">
      <w:pPr>
        <w:pStyle w:val="2"/>
        <w:rPr>
          <w:rFonts w:hint="eastAsia"/>
          <w:lang w:val="en-US" w:eastAsia="zh-CN"/>
        </w:rPr>
      </w:pPr>
    </w:p>
    <w:p w14:paraId="5E72EA12">
      <w:pPr>
        <w:keepNext/>
        <w:keepLines/>
        <w:widowControl/>
        <w:numPr>
          <w:ilvl w:val="0"/>
          <w:numId w:val="3"/>
        </w:numPr>
        <w:ind w:left="68"/>
        <w:jc w:val="left"/>
        <w:outlineLvl w:val="9"/>
        <w:rPr>
          <w:rFonts w:hint="eastAsia"/>
          <w:lang w:val="en-US" w:eastAsia="zh-CN"/>
        </w:rPr>
      </w:pPr>
      <w:r>
        <w:rPr>
          <w:rFonts w:hint="eastAsia" w:ascii="仿宋_GB2312" w:hAnsi="仿宋_GB2312" w:eastAsia="仿宋_GB2312" w:cs="仿宋_GB2312"/>
          <w:b w:val="0"/>
          <w:bCs w:val="0"/>
          <w:sz w:val="24"/>
          <w:szCs w:val="24"/>
        </w:rPr>
        <w:t>合同文本</w:t>
      </w:r>
    </w:p>
    <w:p w14:paraId="7AA502A8">
      <w:pPr>
        <w:spacing w:line="560" w:lineRule="exact"/>
        <w:rPr>
          <w:rFonts w:ascii="仿宋_GB2312" w:eastAsia="仿宋_GB2312"/>
          <w:lang w:val="en"/>
        </w:rPr>
      </w:pPr>
    </w:p>
    <w:p w14:paraId="577C5209">
      <w:pPr>
        <w:keepNext w:val="0"/>
        <w:keepLines w:val="0"/>
        <w:widowControl/>
        <w:suppressLineNumbers w:val="0"/>
        <w:spacing w:line="560" w:lineRule="exact"/>
        <w:jc w:val="center"/>
        <w:rPr>
          <w:rFonts w:hint="eastAsia" w:ascii="仿宋_GB2312" w:hAnsi="Times New Roman" w:eastAsia="仿宋_GB2312" w:cs="Times New Roman"/>
          <w:sz w:val="44"/>
          <w:szCs w:val="44"/>
          <w:lang w:val="en-US"/>
        </w:rPr>
      </w:pPr>
      <w:r>
        <w:rPr>
          <w:rFonts w:hint="eastAsia" w:ascii="仿宋_GB2312" w:hAnsi="Times New Roman" w:eastAsia="仿宋_GB2312" w:cs="Times New Roman"/>
          <w:b w:val="0"/>
          <w:bCs w:val="0"/>
          <w:kern w:val="2"/>
          <w:sz w:val="44"/>
          <w:szCs w:val="44"/>
          <w:lang w:val="en-US" w:eastAsia="zh-CN" w:bidi="ar"/>
        </w:rPr>
        <w:t>数字人民币运营管理中心有限公司与</w:t>
      </w:r>
    </w:p>
    <w:p w14:paraId="2763DF11">
      <w:pPr>
        <w:spacing w:line="560" w:lineRule="exact"/>
        <w:jc w:val="center"/>
        <w:rPr>
          <w:rFonts w:ascii="仿宋_GB2312" w:hAnsi="Times New Roman" w:eastAsia="仿宋_GB2312" w:cs="Times New Roman"/>
          <w:sz w:val="44"/>
          <w:szCs w:val="44"/>
        </w:rPr>
      </w:pPr>
      <w:r>
        <w:rPr>
          <w:rFonts w:hint="eastAsia" w:ascii="仿宋_GB2312" w:hAnsi="Times New Roman" w:eastAsia="仿宋_GB2312" w:cs="Times New Roman"/>
          <w:sz w:val="44"/>
          <w:szCs w:val="44"/>
          <w:u w:val="single"/>
        </w:rPr>
        <w:t xml:space="preserve">       </w:t>
      </w:r>
      <w:r>
        <w:rPr>
          <w:rFonts w:hint="eastAsia" w:ascii="仿宋_GB2312" w:hAnsi="Times New Roman" w:eastAsia="仿宋_GB2312" w:cs="Times New Roman"/>
          <w:sz w:val="44"/>
          <w:szCs w:val="44"/>
          <w:u w:val="none"/>
          <w:lang w:val="en-US" w:eastAsia="zh-CN"/>
        </w:rPr>
        <w:t>2025年二次放号查询</w:t>
      </w:r>
      <w:r>
        <w:rPr>
          <w:rFonts w:hint="eastAsia" w:ascii="仿宋_GB2312" w:hAnsi="Times New Roman" w:eastAsia="仿宋_GB2312" w:cs="Times New Roman"/>
          <w:sz w:val="44"/>
          <w:szCs w:val="44"/>
        </w:rPr>
        <w:t>服务采购合同</w:t>
      </w:r>
    </w:p>
    <w:p w14:paraId="3D7168B7">
      <w:pPr>
        <w:spacing w:line="560" w:lineRule="exact"/>
        <w:rPr>
          <w:rFonts w:ascii="仿宋_GB2312" w:hAnsi="仿宋" w:eastAsia="仿宋_GB2312"/>
          <w:sz w:val="32"/>
          <w:szCs w:val="32"/>
        </w:rPr>
      </w:pPr>
      <w:r>
        <w:rPr>
          <w:rFonts w:hint="eastAsia" w:ascii="仿宋_GB2312" w:hAnsi="仿宋" w:eastAsia="仿宋_GB2312"/>
          <w:spacing w:val="-7"/>
          <w:sz w:val="32"/>
          <w:szCs w:val="32"/>
        </w:rPr>
        <w:t>合同编号：</w:t>
      </w:r>
      <w:r>
        <w:rPr>
          <w:rFonts w:hint="eastAsia" w:ascii="仿宋_GB2312" w:hAnsi="仿宋" w:eastAsia="仿宋_GB2312"/>
          <w:color w:val="FF0000"/>
          <w:spacing w:val="-7"/>
          <w:sz w:val="32"/>
          <w:szCs w:val="32"/>
        </w:rPr>
        <w:t xml:space="preserve"> </w:t>
      </w:r>
      <w:r>
        <w:rPr>
          <w:rFonts w:hint="eastAsia" w:ascii="仿宋_GB2312" w:hAnsi="仿宋" w:eastAsia="仿宋_GB2312"/>
          <w:spacing w:val="-7"/>
          <w:sz w:val="32"/>
          <w:szCs w:val="32"/>
        </w:rPr>
        <w:t xml:space="preserve">                   签</w:t>
      </w:r>
      <w:r>
        <w:rPr>
          <w:rFonts w:hint="eastAsia" w:ascii="仿宋_GB2312" w:hAnsi="仿宋" w:eastAsia="仿宋_GB2312"/>
          <w:spacing w:val="-8"/>
          <w:sz w:val="32"/>
          <w:szCs w:val="32"/>
        </w:rPr>
        <w:t>订</w:t>
      </w:r>
      <w:r>
        <w:rPr>
          <w:rFonts w:hint="eastAsia" w:ascii="仿宋_GB2312" w:hAnsi="仿宋" w:eastAsia="仿宋_GB2312"/>
          <w:spacing w:val="-7"/>
          <w:sz w:val="32"/>
          <w:szCs w:val="32"/>
        </w:rPr>
        <w:t>地</w:t>
      </w:r>
      <w:r>
        <w:rPr>
          <w:rFonts w:hint="eastAsia" w:ascii="仿宋_GB2312" w:hAnsi="仿宋" w:eastAsia="仿宋_GB2312"/>
          <w:spacing w:val="-8"/>
          <w:sz w:val="32"/>
          <w:szCs w:val="32"/>
        </w:rPr>
        <w:t>点</w:t>
      </w:r>
      <w:r>
        <w:rPr>
          <w:rFonts w:hint="eastAsia" w:ascii="仿宋_GB2312" w:hAnsi="仿宋" w:eastAsia="仿宋_GB2312"/>
          <w:spacing w:val="-7"/>
          <w:sz w:val="32"/>
          <w:szCs w:val="32"/>
        </w:rPr>
        <w:t>：北京市丰台区</w:t>
      </w:r>
    </w:p>
    <w:p w14:paraId="4B982916">
      <w:pPr>
        <w:spacing w:line="560" w:lineRule="exact"/>
        <w:rPr>
          <w:rFonts w:hint="default" w:ascii="仿宋_GB2312" w:hAnsi="仿宋" w:eastAsia="仿宋_GB2312"/>
          <w:b/>
          <w:sz w:val="32"/>
          <w:szCs w:val="32"/>
          <w:lang w:val="en-US" w:eastAsia="zh-CN"/>
        </w:rPr>
      </w:pPr>
      <w:r>
        <w:rPr>
          <w:rFonts w:hint="eastAsia" w:ascii="仿宋_GB2312" w:hAnsi="仿宋" w:eastAsia="仿宋_GB2312"/>
          <w:b/>
          <w:spacing w:val="-7"/>
          <w:sz w:val="32"/>
          <w:szCs w:val="32"/>
        </w:rPr>
        <w:t xml:space="preserve">甲   </w:t>
      </w:r>
      <w:r>
        <w:rPr>
          <w:rFonts w:hint="eastAsia" w:ascii="仿宋_GB2312" w:hAnsi="仿宋" w:eastAsia="仿宋_GB2312"/>
          <w:b/>
          <w:spacing w:val="-8"/>
          <w:sz w:val="32"/>
          <w:szCs w:val="32"/>
        </w:rPr>
        <w:t>方</w:t>
      </w:r>
      <w:r>
        <w:rPr>
          <w:rFonts w:hint="eastAsia" w:ascii="仿宋_GB2312" w:hAnsi="仿宋" w:eastAsia="仿宋_GB2312"/>
          <w:b/>
          <w:spacing w:val="17"/>
          <w:sz w:val="32"/>
          <w:szCs w:val="32"/>
        </w:rPr>
        <w:t>：</w:t>
      </w:r>
      <w:r>
        <w:rPr>
          <w:rFonts w:hint="eastAsia" w:ascii="仿宋_GB2312" w:hAnsi="仿宋" w:eastAsia="仿宋_GB2312"/>
          <w:b/>
          <w:spacing w:val="17"/>
          <w:sz w:val="32"/>
          <w:szCs w:val="32"/>
          <w:lang w:val="en-US" w:eastAsia="zh-CN"/>
        </w:rPr>
        <w:t>数字人民币运营管理中心有限公司</w:t>
      </w:r>
    </w:p>
    <w:p w14:paraId="276D0151">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1BD84F7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546DC6FF">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 xml:space="preserve">联 系 人： </w:t>
      </w:r>
    </w:p>
    <w:p w14:paraId="1278100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联系电话：</w:t>
      </w:r>
    </w:p>
    <w:p w14:paraId="230B01BB">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传真号码：</w:t>
      </w:r>
    </w:p>
    <w:p w14:paraId="784E371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E-mail：</w:t>
      </w:r>
    </w:p>
    <w:p w14:paraId="575A3196">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数字人民币钱包开立运营机构：</w:t>
      </w:r>
    </w:p>
    <w:p w14:paraId="06F302CC">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数字人民币对公钱包编号：</w:t>
      </w:r>
    </w:p>
    <w:p w14:paraId="433759F4">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税    号：</w:t>
      </w:r>
    </w:p>
    <w:p w14:paraId="3D82CDB7">
      <w:pPr>
        <w:spacing w:line="560" w:lineRule="exact"/>
        <w:rPr>
          <w:rFonts w:ascii="仿宋_GB2312" w:hAnsi="仿宋" w:eastAsia="仿宋_GB2312"/>
          <w:b/>
          <w:sz w:val="32"/>
          <w:szCs w:val="32"/>
        </w:rPr>
      </w:pPr>
      <w:r>
        <w:rPr>
          <w:rFonts w:hint="eastAsia" w:ascii="仿宋_GB2312" w:hAnsi="仿宋" w:eastAsia="仿宋_GB2312"/>
          <w:b/>
          <w:spacing w:val="-7"/>
          <w:sz w:val="32"/>
          <w:szCs w:val="32"/>
        </w:rPr>
        <w:t xml:space="preserve">乙    方： </w:t>
      </w:r>
    </w:p>
    <w:p w14:paraId="5E1ACAC8">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44E24AAD">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38579787">
      <w:pPr>
        <w:spacing w:line="560" w:lineRule="exact"/>
        <w:rPr>
          <w:rFonts w:ascii="仿宋_GB2312" w:hAnsi="仿宋" w:eastAsia="仿宋_GB2312"/>
          <w:color w:val="FF0000"/>
          <w:spacing w:val="-7"/>
          <w:sz w:val="32"/>
          <w:szCs w:val="32"/>
        </w:rPr>
      </w:pPr>
      <w:r>
        <w:rPr>
          <w:rFonts w:hint="eastAsia" w:ascii="仿宋_GB2312" w:hAnsi="仿宋" w:eastAsia="仿宋_GB2312"/>
          <w:spacing w:val="-7"/>
          <w:sz w:val="32"/>
          <w:szCs w:val="32"/>
        </w:rPr>
        <w:t>联 系 人：</w:t>
      </w:r>
    </w:p>
    <w:p w14:paraId="135CF73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联系电话：</w:t>
      </w:r>
      <w:r>
        <w:rPr>
          <w:rFonts w:hint="eastAsia" w:ascii="仿宋_GB2312" w:hAnsi="仿宋" w:eastAsia="仿宋_GB2312"/>
          <w:sz w:val="32"/>
          <w:szCs w:val="32"/>
        </w:rPr>
        <w:t xml:space="preserve"> </w:t>
      </w:r>
    </w:p>
    <w:p w14:paraId="70853619">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传真号码：</w:t>
      </w:r>
      <w:r>
        <w:rPr>
          <w:rFonts w:hint="eastAsia" w:ascii="仿宋_GB2312" w:hAnsi="仿宋" w:eastAsia="仿宋_GB2312"/>
          <w:sz w:val="32"/>
          <w:szCs w:val="32"/>
        </w:rPr>
        <w:t xml:space="preserve"> </w:t>
      </w:r>
    </w:p>
    <w:p w14:paraId="4179489B">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E-mail：</w:t>
      </w:r>
    </w:p>
    <w:p w14:paraId="64E32E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开户银行：</w:t>
      </w:r>
    </w:p>
    <w:p w14:paraId="104E00BA">
      <w:pPr>
        <w:spacing w:line="560" w:lineRule="exact"/>
        <w:rPr>
          <w:rFonts w:ascii="仿宋_GB2312" w:hAnsi="仿宋" w:eastAsia="仿宋_GB2312"/>
          <w:spacing w:val="-7"/>
          <w:sz w:val="32"/>
          <w:szCs w:val="32"/>
        </w:rPr>
      </w:pPr>
      <w:r>
        <w:rPr>
          <w:rFonts w:hint="eastAsia" w:ascii="仿宋_GB2312" w:hAnsi="仿宋" w:eastAsia="仿宋_GB2312" w:cs="Adobe 仿宋 Std R"/>
          <w:spacing w:val="-7"/>
          <w:sz w:val="32"/>
          <w:szCs w:val="32"/>
        </w:rPr>
        <w:t>数字人民币钱包开立</w:t>
      </w:r>
      <w:r>
        <w:rPr>
          <w:rFonts w:hint="eastAsia" w:ascii="仿宋_GB2312" w:hAnsi="仿宋" w:eastAsia="仿宋_GB2312"/>
          <w:spacing w:val="-7"/>
          <w:sz w:val="32"/>
          <w:szCs w:val="32"/>
        </w:rPr>
        <w:t>运营机构：</w:t>
      </w:r>
    </w:p>
    <w:p w14:paraId="1D9807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数字人民币对公钱包编号：</w:t>
      </w:r>
    </w:p>
    <w:p w14:paraId="6C75F4BA">
      <w:pPr>
        <w:spacing w:line="560" w:lineRule="exact"/>
        <w:jc w:val="left"/>
        <w:rPr>
          <w:rFonts w:ascii="仿宋_GB2312" w:hAnsi="仿宋" w:eastAsia="仿宋_GB2312"/>
          <w:bCs/>
          <w:sz w:val="32"/>
          <w:szCs w:val="32"/>
        </w:rPr>
      </w:pPr>
      <w:r>
        <w:rPr>
          <w:rFonts w:hint="eastAsia" w:ascii="仿宋_GB2312" w:hAnsi="仿宋" w:eastAsia="仿宋_GB2312"/>
          <w:bCs/>
          <w:sz w:val="32"/>
          <w:szCs w:val="32"/>
        </w:rPr>
        <w:t>税    号：</w:t>
      </w:r>
    </w:p>
    <w:p w14:paraId="043A82A7">
      <w:pPr>
        <w:spacing w:line="560" w:lineRule="exact"/>
        <w:ind w:firstLine="480"/>
        <w:rPr>
          <w:rFonts w:ascii="仿宋_GB2312" w:hAnsi="仿宋" w:eastAsia="仿宋_GB2312"/>
          <w:sz w:val="32"/>
          <w:szCs w:val="32"/>
        </w:rPr>
      </w:pPr>
      <w:r>
        <w:rPr>
          <w:rFonts w:hint="eastAsia" w:ascii="仿宋_GB2312" w:hAnsi="仿宋" w:eastAsia="仿宋_GB2312"/>
          <w:sz w:val="32"/>
          <w:szCs w:val="32"/>
        </w:rPr>
        <w:t>根据</w:t>
      </w:r>
      <w:r>
        <w:rPr>
          <w:rFonts w:hint="eastAsia" w:ascii="仿宋_GB2312" w:hAnsi="仿宋" w:eastAsia="仿宋_GB2312"/>
          <w:sz w:val="32"/>
          <w:szCs w:val="32"/>
          <w:u w:val="single"/>
        </w:rPr>
        <w:t>数字人民币运营管理中心有限公司2025年二次放号查询服务采购项目</w:t>
      </w:r>
      <w:r>
        <w:rPr>
          <w:rFonts w:hint="eastAsia" w:ascii="仿宋_GB2312" w:hAnsi="仿宋" w:eastAsia="仿宋_GB2312"/>
          <w:spacing w:val="-7"/>
          <w:sz w:val="32"/>
          <w:szCs w:val="32"/>
        </w:rPr>
        <w:t>的采购结果，</w:t>
      </w:r>
      <w:r>
        <w:rPr>
          <w:rFonts w:hint="eastAsia" w:ascii="仿宋_GB2312" w:hAnsi="仿宋" w:eastAsia="仿宋_GB2312"/>
          <w:sz w:val="32"/>
          <w:szCs w:val="32"/>
        </w:rPr>
        <w:t>甲方与乙方经过充分协商，本着自愿、平等、互利、诚实信用的原则，按照下述条款签署</w:t>
      </w:r>
      <w:r>
        <w:rPr>
          <w:rStyle w:val="35"/>
          <w:rFonts w:hint="eastAsia" w:ascii="仿宋_GB2312" w:hAnsi="仿宋" w:eastAsia="仿宋_GB2312"/>
          <w:color w:val="000000"/>
          <w:sz w:val="32"/>
          <w:szCs w:val="32"/>
          <w:u w:val="none"/>
        </w:rPr>
        <w:t>本服务采购合同（以下简称“</w:t>
      </w:r>
      <w:r>
        <w:rPr>
          <w:rFonts w:hint="eastAsia" w:ascii="仿宋_GB2312" w:hAnsi="仿宋" w:eastAsia="仿宋_GB2312"/>
          <w:sz w:val="32"/>
          <w:szCs w:val="32"/>
        </w:rPr>
        <w:t>本合同</w:t>
      </w:r>
      <w:r>
        <w:rPr>
          <w:rStyle w:val="35"/>
          <w:rFonts w:hint="eastAsia" w:ascii="仿宋_GB2312" w:hAnsi="仿宋" w:eastAsia="仿宋_GB2312"/>
          <w:color w:val="000000"/>
          <w:sz w:val="32"/>
          <w:szCs w:val="32"/>
          <w:u w:val="none"/>
        </w:rPr>
        <w:t>”或“合同”）</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数字人民币运营管理中心的二次放号查询服务，具备高效的数据处理能力和灵活的查询功能。我们将根据合同条款，确保服务的稳定性和安全性，提供实时的数据更新和准确的查询结果，满足甲方的运营需求。</w:t>
      </w:r>
    </w:p>
    <w:p w14:paraId="53B2F68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sz w:val="32"/>
          <w:szCs w:val="32"/>
        </w:rPr>
        <w:t>1、合同的组成及解释规则</w:t>
      </w:r>
    </w:p>
    <w:p>
      <w:pPr>
        <w:shd w:val="clear" w:color="auto" w:fill="D9D9D9"/>
      </w:pPr>
      <w:r>
        <w:rPr>
          <w:rFonts w:ascii="仿宋_GB2312" w:hAnsi="仿宋_GB2312"/>
          <w:b/>
          <w:color w:val="000000"/>
          <w:sz w:val="32"/>
        </w:rPr>
        <w:t>应答：满足。系统支持合同的全面管理，包括合同的组成部分如条款、附件及补充协议等的清晰定义与管理。同时，系统具备合同解释规则的自动化处理功能，确保各方对合同内容的理解一致，支持合同版本的追溯与变更记录，保障合同执行的合规性与透明度。</w:t>
      </w:r>
    </w:p>
    <w:p w14:paraId="54FDCB6D">
      <w:pPr>
        <w:spacing w:line="560" w:lineRule="exact"/>
        <w:ind w:firstLine="640" w:firstLineChars="200"/>
        <w:rPr>
          <w:rFonts w:ascii="仿宋_GB2312" w:hAnsi="仿宋" w:eastAsia="仿宋_GB2312" w:cs="宋体"/>
          <w:b/>
          <w:sz w:val="32"/>
          <w:szCs w:val="32"/>
        </w:rPr>
      </w:pPr>
      <w:r>
        <w:rPr>
          <w:rFonts w:hint="eastAsia" w:ascii="仿宋_GB2312" w:hAnsi="仿宋" w:eastAsia="仿宋_GB2312" w:cs="宋体"/>
          <w:sz w:val="32"/>
          <w:szCs w:val="32"/>
        </w:rPr>
        <w:t>1.1</w:t>
      </w:r>
      <w:r>
        <w:rPr>
          <w:rFonts w:hint="eastAsia" w:ascii="仿宋_GB2312" w:hAnsi="仿宋" w:eastAsia="仿宋_GB2312" w:cs="宋体"/>
          <w:sz w:val="32"/>
          <w:szCs w:val="32"/>
          <w:lang w:val="zh-CN"/>
        </w:rPr>
        <w:t>下述文件是构成本合同不可分割的部分</w:t>
      </w:r>
      <w:r>
        <w:rPr>
          <w:rFonts w:hint="eastAsia" w:ascii="仿宋_GB2312" w:hAnsi="仿宋" w:eastAsia="仿宋_GB2312" w:cs="宋体"/>
          <w:sz w:val="32"/>
          <w:szCs w:val="32"/>
        </w:rPr>
        <w:t>:</w:t>
      </w:r>
    </w:p>
    <w:p>
      <w:pPr>
        <w:shd w:val="clear" w:color="auto" w:fill="D9D9D9"/>
      </w:pPr>
      <w:r>
        <w:rPr>
          <w:rFonts w:ascii="仿宋_GB2312" w:hAnsi="仿宋_GB2312"/>
          <w:color w:val="000000"/>
          <w:sz w:val="32"/>
        </w:rPr>
        <w:t>应答：满足。系统支持将合同相关文件进行集中管理，确保所有文件的版本控制和完整性。通过界面化操作，用户可方便地查看、上传、下载和删除合同文件，确保合同的不可分割性和合规性。</w:t>
      </w:r>
    </w:p>
    <w:p w14:paraId="2771EED0">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（1）本合同条款及其所有附件。</w:t>
      </w:r>
    </w:p>
    <w:p w14:paraId="58E36FB6">
      <w:pPr>
        <w:spacing w:line="560" w:lineRule="exact"/>
        <w:ind w:firstLine="640" w:firstLineChars="200"/>
        <w:rPr>
          <w:rFonts w:ascii="仿宋_GB2312" w:hAnsi="仿宋" w:eastAsia="仿宋_GB2312" w:cs="宋体"/>
          <w:sz w:val="32"/>
          <w:szCs w:val="32"/>
          <w:u w:val="single"/>
        </w:rPr>
      </w:pPr>
      <w:r>
        <w:rPr>
          <w:rFonts w:hint="eastAsia" w:ascii="仿宋_GB2312" w:hAnsi="仿宋" w:eastAsia="仿宋_GB2312" w:cs="宋体"/>
          <w:sz w:val="32"/>
          <w:szCs w:val="32"/>
        </w:rPr>
        <w:t>（2）甲方的招标文件/谈判文件/采购文件/谈判邀请函/比选邀请函/询价邀请函及/澄清、解答文件</w:t>
      </w:r>
      <w:bookmarkStart w:id="3" w:name="_Hlk70602906"/>
      <w:r>
        <w:rPr>
          <w:rFonts w:hint="eastAsia" w:ascii="仿宋_GB2312" w:hAnsi="仿宋" w:eastAsia="仿宋_GB2312" w:cs="宋体"/>
          <w:sz w:val="32"/>
          <w:szCs w:val="32"/>
        </w:rPr>
        <w:t>等</w:t>
      </w:r>
      <w:r>
        <w:rPr>
          <w:rFonts w:hint="eastAsia" w:ascii="仿宋_GB2312" w:hAnsi="仿宋" w:eastAsia="仿宋_GB2312" w:cs="宋体"/>
          <w:sz w:val="32"/>
          <w:szCs w:val="32"/>
          <w:u w:val="single"/>
        </w:rPr>
        <w:t xml:space="preserve">          </w:t>
      </w:r>
      <w:bookmarkEnd w:id="3"/>
      <w:r>
        <w:rPr>
          <w:rFonts w:hint="eastAsia" w:ascii="仿宋_GB2312" w:hAnsi="仿宋" w:eastAsia="仿宋_GB2312" w:cs="宋体"/>
          <w:sz w:val="32"/>
          <w:szCs w:val="32"/>
        </w:rPr>
        <w:t>（以下简称“采购文件”）。</w:t>
      </w:r>
    </w:p>
    <w:p w14:paraId="28418444">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（3）乙方的响应文件/投标文件/澄清、质疑文件等</w:t>
      </w:r>
      <w:r>
        <w:rPr>
          <w:rFonts w:hint="eastAsia" w:ascii="仿宋_GB2312" w:hAnsi="仿宋" w:eastAsia="仿宋_GB2312" w:cs="宋体"/>
          <w:sz w:val="32"/>
          <w:szCs w:val="32"/>
          <w:u w:val="single"/>
        </w:rPr>
        <w:t xml:space="preserve">        </w:t>
      </w:r>
      <w:r>
        <w:rPr>
          <w:rFonts w:hint="eastAsia" w:ascii="仿宋_GB2312" w:hAnsi="仿宋" w:eastAsia="仿宋_GB2312" w:cs="宋体"/>
          <w:sz w:val="32"/>
          <w:szCs w:val="32"/>
        </w:rPr>
        <w:t>（以下简称“响应文件”）。</w:t>
      </w:r>
    </w:p>
    <w:p>
      <w:pPr>
        <w:shd w:val="clear" w:color="auto" w:fill="D9D9D9"/>
      </w:pPr>
      <w:r>
        <w:rPr>
          <w:rFonts w:ascii="仿宋_GB2312" w:hAnsi="仿宋_GB2312"/>
          <w:color w:val="000000"/>
          <w:sz w:val="32"/>
        </w:rPr>
        <w:t>应答：满足。系统支持对响应文件的全面管理，包括投标文件、澄清及质疑文件的上传、存储和版本控制。所有响应文件均可通过界面化操作进行查看和检索，确保信息的透明性和可追溯性。同时，系统提供权限管理功能，确保只有授权人员能够访问和修改相关文件。</w:t>
      </w:r>
    </w:p>
    <w:p w14:paraId="747BF4CC">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（4）成交通知书/中标通知书/中选通知书等。</w:t>
      </w:r>
    </w:p>
    <w:p w14:paraId="526B3CF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（5）双方与合同有关的往来信函、传真经双方加盖单位公章确认后视为本合同的组成部分。</w:t>
      </w:r>
    </w:p>
    <w:p w14:paraId="770F4139">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（6）经双方加盖单位公章确认的补充协议。</w:t>
      </w:r>
    </w:p>
    <w:p w14:paraId="1F4611F5">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1.2 如果乙方的响应文件内容违背或低于甲方采购文件要求或任何可能导致影响当次采购目的的情形，均应当被视为乙方自动放弃响应文件中相应部分并接受甲方采购文件要求。如果乙方的响应文件内容高于甲方采购文件要求，以乙方的响应文件内容为准，甲方明确要求以采购文件为准的除外。如果合同正文条款与合同附件有矛盾之处，按照合同正文条款内容进行解释。如果合同附件之间有矛盾之处，按照有利于甲方的合同附件内容进行解释。</w:t>
      </w:r>
    </w:p>
    <w:p>
      <w:pPr>
        <w:shd w:val="clear" w:color="auto" w:fill="D9D9D9"/>
      </w:pPr>
      <w:r>
        <w:rPr>
          <w:rFonts w:ascii="仿宋_GB2312" w:hAnsi="仿宋_GB2312"/>
          <w:color w:val="000000"/>
          <w:sz w:val="32"/>
        </w:rPr>
        <w:t>应答：满足。系统严格遵循甲方采购文件要求，确保响应文件内容与采购要求一致，避免任何可能导致采购目的受损的情形。若响应内容超出采购文件要求，我方将以采购文件为准，确保合规性。同时，合同条款的解释将优先考虑合同正文内容，确保甲方利益最大化，维护合同的严谨性与有效性。</w:t>
      </w:r>
    </w:p>
    <w:p w14:paraId="5E2BAD5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1.3 上述合同文件应能够相互解释、相互说明。如合同文件之间出现不一致，除本合同另有约定外，1.1第（1）款至（5）款的排列顺序就是合同文件的优先解释顺序。如双方根据1.1第（6）款达成的补充协议与原合同存在不一致，以签订日期在后的补充协议为准。</w:t>
      </w:r>
    </w:p>
    <w:p>
      <w:pPr>
        <w:shd w:val="clear" w:color="auto" w:fill="D9D9D9"/>
      </w:pPr>
      <w:r>
        <w:rPr>
          <w:rFonts w:ascii="仿宋_GB2312" w:hAnsi="仿宋_GB2312"/>
          <w:color w:val="000000"/>
          <w:sz w:val="32"/>
        </w:rPr>
        <w:t>应答：满足。系统支持合同文件的相互解释和说明功能，能够自动识别并处理合同文件之间的优先解释顺序。对于不同版本的合同及补充协议，系统将依据签订日期进行优先级排序，确保最新的补充协议优先于原合同执行，从而有效避免不一致情况的发生。</w:t>
      </w:r>
    </w:p>
    <w:p w14:paraId="4CA67598">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2、服务价格和内容</w:t>
      </w:r>
    </w:p>
    <w:p w14:paraId="5A67CC1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2.1 本合同的总金额（含税）：人民币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元（大写：人民币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整），其中二次放号查询服务单价（含税）为人民币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/次），二次放号查询服务调用预估总次数为</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，实际金额按照甲方二次放号查询服务实际有效调用次数×服务单价确定，遵循如下安排：</w:t>
      </w:r>
    </w:p>
    <w:p>
      <w:pPr>
        <w:shd w:val="clear" w:color="auto" w:fill="D9D9D9"/>
      </w:pPr>
      <w:r>
        <w:rPr>
          <w:rFonts w:ascii="仿宋_GB2312" w:hAnsi="仿宋_GB2312"/>
          <w:color w:val="000000"/>
          <w:sz w:val="32"/>
        </w:rPr>
        <w:t>应答：满足。我方承诺提供的二次放号查询服务单价为人民币    元/次（含税），并将根据甲方实际有效调用次数进行结算，确保总金额按照550000次的预估调用次数进行合理安排。我们将严格遵循合同条款，确保服务的透明性和准确性。</w:t>
      </w:r>
    </w:p>
    <w:p w14:paraId="4C328B2D">
      <w:pPr>
        <w:spacing w:line="560" w:lineRule="exact"/>
        <w:ind w:firstLine="640" w:firstLineChars="200"/>
        <w:rPr>
          <w:rFonts w:hint="eastAsia" w:ascii="仿宋_GB2312" w:hAnsi="仿宋" w:eastAsia="仿宋_GB2312"/>
          <w:sz w:val="32"/>
          <w:szCs w:val="32"/>
        </w:rPr>
      </w:pPr>
      <w:r>
        <w:rPr>
          <w:rFonts w:ascii="仿宋_GB2312" w:hAnsi="仿宋" w:eastAsia="仿宋_GB2312"/>
          <w:sz w:val="32"/>
          <w:szCs w:val="32"/>
        </w:rPr>
        <w:t xml:space="preserve">2.1.1 </w:t>
      </w:r>
      <w:r>
        <w:rPr>
          <w:rFonts w:hint="eastAsia" w:ascii="仿宋_GB2312" w:hAnsi="仿宋" w:eastAsia="仿宋_GB2312"/>
          <w:sz w:val="32"/>
          <w:szCs w:val="32"/>
        </w:rPr>
        <w:t>二次放号查询服务调用次数指甲方“有效调用”二次放号查询服务的次数，乙方系统明确返回查询号码是否属于二次放号号码算作一次有效调用，实际有效调用次数以甲乙双方确认的对账数据为准。</w:t>
      </w:r>
    </w:p>
    <w:p>
      <w:pPr>
        <w:shd w:val="clear" w:color="auto" w:fill="D9D9D9"/>
      </w:pPr>
      <w:r>
        <w:rPr>
          <w:rFonts w:ascii="仿宋_GB2312" w:hAnsi="仿宋_GB2312"/>
          <w:color w:val="000000"/>
          <w:sz w:val="32"/>
        </w:rPr>
        <w:t>应答：满足。系统支持精确的二次放号查询服务调用，能够明确返回查询号码是否属于二次放号号码，确保每次有效调用都被准确记录。我们将与甲方建立定期对账机制，确保实际有效调用次数的准确性和透明度，满足双方的业务需求。</w:t>
      </w:r>
    </w:p>
    <w:p w14:paraId="065A8C22">
      <w:pPr>
        <w:spacing w:line="560" w:lineRule="exact"/>
        <w:ind w:firstLine="640" w:firstLineChars="200"/>
        <w:rPr>
          <w:rFonts w:hint="eastAsia"/>
        </w:rPr>
      </w:pPr>
      <w:r>
        <w:rPr>
          <w:rFonts w:hint="eastAsia" w:ascii="仿宋_GB2312" w:hAnsi="仿宋" w:eastAsia="仿宋_GB2312" w:cstheme="minorBidi"/>
          <w:sz w:val="32"/>
          <w:szCs w:val="32"/>
          <w:lang w:val="en-US" w:eastAsia="zh-CN" w:bidi="ar"/>
        </w:rPr>
        <w:t xml:space="preserve">2.1.2 </w:t>
      </w:r>
      <w:r>
        <w:rPr>
          <w:rFonts w:hint="default" w:ascii="仿宋_GB2312" w:hAnsi="仿宋" w:eastAsia="仿宋_GB2312" w:cstheme="minorBidi"/>
          <w:sz w:val="32"/>
          <w:szCs w:val="32"/>
          <w:lang w:bidi="ar"/>
        </w:rPr>
        <w:t>乙方提供二次放号查询服务过程中因乙方系统返回结果不准确，造成甲方需对返回结果进行复核验证的，由此而产生的调用不作为原合同约定的“有效调用”且不产生相关服务费用。</w:t>
      </w:r>
    </w:p>
    <w:p>
      <w:pPr>
        <w:shd w:val="clear" w:color="auto" w:fill="D9D9D9"/>
      </w:pPr>
      <w:r>
        <w:rPr>
          <w:rFonts w:ascii="仿宋_GB2312" w:hAnsi="仿宋_GB2312"/>
          <w:color w:val="000000"/>
          <w:sz w:val="32"/>
        </w:rPr>
        <w:t>应答：满足。我方系统具备高效的数据校验机制，确保返回结果的准确性，减少甲方对结果的复核需求。系统将实施多层次的数据验证流程，确保每次调用均为有效调用，避免因结果不准确而产生的额外服务费用。我们承诺提供稳定可靠的服务，确保甲方的业务需求得到充分满足。</w:t>
      </w:r>
    </w:p>
    <w:p w14:paraId="59A144B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w:t>
      </w:r>
      <w:r>
        <w:rPr>
          <w:rFonts w:ascii="仿宋_GB2312" w:hAnsi="仿宋" w:eastAsia="仿宋_GB2312"/>
          <w:sz w:val="32"/>
          <w:szCs w:val="32"/>
        </w:rPr>
        <w:t>1.</w:t>
      </w:r>
      <w:r>
        <w:rPr>
          <w:rFonts w:hint="eastAsia" w:ascii="仿宋_GB2312" w:hAnsi="仿宋" w:eastAsia="仿宋_GB2312"/>
          <w:sz w:val="32"/>
          <w:szCs w:val="32"/>
          <w:lang w:val="en-US" w:eastAsia="zh-CN"/>
        </w:rPr>
        <w:t>3</w:t>
      </w:r>
      <w:r>
        <w:rPr>
          <w:rFonts w:hint="eastAsia" w:ascii="仿宋_GB2312" w:hAnsi="仿宋" w:eastAsia="仿宋_GB2312"/>
          <w:sz w:val="32"/>
          <w:szCs w:val="32"/>
        </w:rPr>
        <w:t xml:space="preserve"> 甲乙双方应按月进行对账，乙方应于每个自然月[</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]日前将上一个自然月的计费账单书面或电子邮件通知甲方。甲方如有异议，可提出对账申请，如不提出则视为甲方已确认。若乙方通知的账单金额与甲方统计数据误差不超过（≤）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%，以乙方的数据为准；若误差超过（＞）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%，甲乙双方应核查差异原因，并及时按实际情况合理解决。甲方提出对账申请后，乙方反馈时间不得超过[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]个工作日。</w:t>
      </w:r>
    </w:p>
    <w:p>
      <w:pPr>
        <w:shd w:val="clear" w:color="auto" w:fill="D9D9D9"/>
      </w:pPr>
      <w:r>
        <w:rPr>
          <w:rFonts w:ascii="仿宋_GB2312" w:hAnsi="仿宋_GB2312"/>
          <w:color w:val="000000"/>
          <w:sz w:val="32"/>
        </w:rPr>
        <w:t>应答：满足。系统支持按月自动生成计费账单，并可通过书面或电子邮件形式及时通知甲方。若甲方对账单有异议，系统提供便捷的对账申请功能，确保甲方能够快速提交申请。系统还具备误差监测功能，能够实时对比账单金额与甲方统计数据，若误差超过设定阈值，系统将自动提示双方进行核查，确保差异原因得到及时解决。同时，乙方承诺在接到对账申请后，反馈时间不超过规定的工作日。</w:t>
      </w:r>
    </w:p>
    <w:p w14:paraId="2781AF1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2.</w:t>
      </w:r>
      <w:r>
        <w:rPr>
          <w:rFonts w:ascii="仿宋_GB2312" w:hAnsi="仿宋" w:eastAsia="仿宋_GB2312"/>
          <w:color w:val="000000"/>
          <w:sz w:val="32"/>
          <w:szCs w:val="32"/>
        </w:rPr>
        <w:t>1.</w:t>
      </w:r>
      <w:r>
        <w:rPr>
          <w:rFonts w:hint="eastAsia" w:ascii="仿宋_GB2312" w:hAnsi="仿宋" w:eastAsia="仿宋_GB2312"/>
          <w:color w:val="000000"/>
          <w:sz w:val="32"/>
          <w:szCs w:val="32"/>
          <w:lang w:val="en-US" w:eastAsia="zh-CN"/>
        </w:rPr>
        <w:t xml:space="preserve">4 </w:t>
      </w:r>
      <w:r>
        <w:rPr>
          <w:rFonts w:hint="eastAsia" w:ascii="仿宋_GB2312" w:hAnsi="仿宋" w:eastAsia="仿宋_GB2312"/>
          <w:color w:val="000000"/>
          <w:sz w:val="32"/>
          <w:szCs w:val="32"/>
        </w:rPr>
        <w:t>二次放号查询服务开通验收合格后，</w:t>
      </w:r>
      <w:r>
        <w:rPr>
          <w:rFonts w:hint="eastAsia" w:ascii="仿宋_GB2312" w:hAnsi="仿宋" w:eastAsia="仿宋_GB2312"/>
          <w:sz w:val="32"/>
          <w:szCs w:val="32"/>
        </w:rPr>
        <w:t>由乙方开具相关验收单据（见附件三），并由甲方签字确认。甲方签字确认日期为实际开通日，乙方自实际开通日起</w:t>
      </w:r>
      <w:r>
        <w:rPr>
          <w:rFonts w:hint="eastAsia" w:ascii="仿宋_GB2312" w:hAnsi="仿宋" w:eastAsia="仿宋_GB2312"/>
          <w:color w:val="000000"/>
          <w:sz w:val="32"/>
          <w:szCs w:val="32"/>
        </w:rPr>
        <w:t>开始计算二次放号查询服务费。</w:t>
      </w:r>
    </w:p>
    <w:p w14:paraId="1CCBC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2.2 本合同总金额涵盖乙方提供服务及相关产品（如有）的全部价格。</w:t>
      </w:r>
    </w:p>
    <w:p>
      <w:pPr>
        <w:shd w:val="clear" w:color="auto" w:fill="D9D9D9"/>
      </w:pPr>
      <w:r>
        <w:rPr>
          <w:rFonts w:ascii="仿宋_GB2312" w:hAnsi="仿宋_GB2312"/>
          <w:color w:val="000000"/>
          <w:sz w:val="32"/>
        </w:rPr>
        <w:t>应答：满足。系统支持全面的合同管理功能，确保合同总金额涵盖乙方提供的所有服务及相关产品的价格透明化。通过系统可实现合同条款的清晰记录与跟踪，确保所有费用项的准确计算与管理，避免潜在的财务风险。</w:t>
      </w:r>
    </w:p>
    <w:p w14:paraId="50331ED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2.3 除非特别说明，合同总金额为含税金额，已包含乙方应当出具的增值税发票所缴纳的全部税费金额。合同总金额也是甲方依据本合同应向乙方支付的全部价款。除上述金额外，甲方无需向乙方支付其他任何费用。</w:t>
      </w:r>
    </w:p>
    <w:p>
      <w:pPr>
        <w:shd w:val="clear" w:color="auto" w:fill="D9D9D9"/>
      </w:pPr>
      <w:r>
        <w:rPr>
          <w:rFonts w:ascii="仿宋_GB2312" w:hAnsi="仿宋_GB2312"/>
          <w:color w:val="000000"/>
          <w:sz w:val="32"/>
        </w:rPr>
        <w:t>应答：满足。合同总金额为含税金额，已包含乙方应当出具的增值税发票所缴纳的全部税费，确保甲方支付的价款明确且无其他隐性费用。我们将严格遵循合同条款，确保所有费用透明，避免额外支出，保障甲方的权益。</w:t>
      </w:r>
    </w:p>
    <w:p w14:paraId="5433D68E">
      <w:pPr>
        <w:spacing w:line="560" w:lineRule="exact"/>
        <w:ind w:firstLine="608" w:firstLineChars="200"/>
        <w:rPr>
          <w:rFonts w:ascii="仿宋_GB2312" w:hAnsi="仿宋" w:eastAsia="仿宋_GB2312"/>
          <w:sz w:val="32"/>
          <w:szCs w:val="32"/>
        </w:rPr>
      </w:pPr>
      <w:r>
        <w:rPr>
          <w:rFonts w:hint="eastAsia" w:ascii="仿宋_GB2312" w:hAnsi="仿宋" w:eastAsia="仿宋_GB2312" w:cs="宋体"/>
          <w:spacing w:val="-8"/>
          <w:position w:val="-4"/>
          <w:sz w:val="32"/>
          <w:szCs w:val="32"/>
        </w:rPr>
        <w:t>2.4乙方保证服务的完整性和合理性，满足项目需要，服务的价格、内容等详细情况（见附件一）。</w:t>
      </w:r>
    </w:p>
    <w:p>
      <w:pPr>
        <w:shd w:val="clear" w:color="auto" w:fill="D9D9D9"/>
      </w:pPr>
      <w:r>
        <w:rPr>
          <w:rFonts w:ascii="仿宋_GB2312" w:hAnsi="仿宋_GB2312"/>
          <w:color w:val="000000"/>
          <w:sz w:val="32"/>
        </w:rPr>
        <w:t>应答：满足。我方承诺提供全面的服务解决方案，确保服务内容的完整性与合理性，符合项目需求。服务价格将依据附件一的详细情况进行透明报价，确保客户在预算范围内获得高质量的服务支持。</w:t>
      </w:r>
    </w:p>
    <w:p w14:paraId="63BAF05B">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3、服务方式及标准</w:t>
      </w:r>
    </w:p>
    <w:p w14:paraId="15A3CD0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3.1乙方保证为甲方提供的服务的各项指标均能符合本合同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定的要求，且不低于国家标准及相关行业标准。服务期内，乙方应当全面适当履行其合同义务，在约定的履行期限及地点提供符合甲方要求的全部服务（见附件二）。</w:t>
      </w:r>
    </w:p>
    <w:p>
      <w:pPr>
        <w:shd w:val="clear" w:color="auto" w:fill="D9D9D9"/>
      </w:pPr>
      <w:r>
        <w:rPr>
          <w:rFonts w:ascii="仿宋_GB2312" w:hAnsi="仿宋_GB2312"/>
          <w:color w:val="000000"/>
          <w:sz w:val="32"/>
        </w:rPr>
        <w:t>应答：满足。我方承诺提供的服务将严格遵循合同约定，确保各项指标符合国家标准及相关行业标准。服务期内，我方将全面履行合同义务，确保在约定的履行期限及地点提供高质量的服务，满足甲方的所有要求。</w:t>
      </w:r>
    </w:p>
    <w:p w14:paraId="47FDEDBF">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3.2</w:t>
      </w:r>
      <w:r>
        <w:rPr>
          <w:rFonts w:hint="eastAsia" w:ascii="仿宋_GB2312" w:hAnsi="仿宋" w:eastAsia="仿宋_GB2312"/>
          <w:sz w:val="32"/>
          <w:szCs w:val="32"/>
        </w:rPr>
        <w:t>乙方提供的服务内容包含向甲方交付相关产品（如有）的，该产品质量应当符合国家、行业等质量标准，并符合甲方的相关要求（见附件二）。</w:t>
      </w:r>
    </w:p>
    <w:p>
      <w:pPr>
        <w:shd w:val="clear" w:color="auto" w:fill="D9D9D9"/>
      </w:pPr>
      <w:r>
        <w:rPr>
          <w:rFonts w:ascii="仿宋_GB2312" w:hAnsi="仿宋_GB2312"/>
          <w:color w:val="000000"/>
          <w:sz w:val="32"/>
        </w:rPr>
        <w:t>应答：满足。我方提供的产品将严格遵循国家及行业质量标准，确保符合甲方在附件二中列明的具体要求。所有交付的产品均经过严格的质量控制流程，确保其在性能、可靠性及安全性方面达到预期标准。</w:t>
      </w:r>
    </w:p>
    <w:p w14:paraId="09C450B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3.3乙方所提供的服务或产品有质量保证期的，质量保证期为</w:t>
      </w:r>
      <w:r>
        <w:rPr>
          <w:rFonts w:hint="eastAsia" w:ascii="仿宋_GB2312" w:hAnsi="仿宋" w:eastAsia="仿宋_GB2312"/>
          <w:sz w:val="32"/>
          <w:szCs w:val="32"/>
          <w:u w:val="none"/>
          <w:lang w:val="en-US" w:eastAsia="zh-CN"/>
        </w:rPr>
        <w:t>一</w:t>
      </w:r>
      <w:r>
        <w:rPr>
          <w:rFonts w:hint="eastAsia" w:ascii="仿宋_GB2312" w:hAnsi="仿宋" w:eastAsia="仿宋_GB2312"/>
          <w:sz w:val="32"/>
          <w:szCs w:val="32"/>
        </w:rPr>
        <w:t>年，自出具最终验收合格单之日起开始计算。乙方在质量保证期内按照合同约定的服务内容及要求向甲方提供相关服务，</w:t>
      </w:r>
      <w:bookmarkStart w:id="4" w:name="_Hlk99369557"/>
      <w:r>
        <w:rPr>
          <w:rFonts w:hint="eastAsia" w:ascii="仿宋_GB2312" w:hAnsi="仿宋" w:eastAsia="仿宋_GB2312"/>
          <w:color w:val="000000"/>
          <w:sz w:val="32"/>
          <w:szCs w:val="32"/>
        </w:rPr>
        <w:t>不再额外收取费用</w:t>
      </w:r>
      <w:bookmarkEnd w:id="4"/>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提供的服务和产品均设有为期一年的质量保证期，自最终验收合格单出具之日起生效。在质量保证期内，我方将严格按照合同约定的服务内容及要求，免费向甲方提供相关服务，确保服务质量和客户满意度。</w:t>
      </w:r>
    </w:p>
    <w:p w14:paraId="748368BC">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 xml:space="preserve">3.4 </w:t>
      </w:r>
      <w:r>
        <w:rPr>
          <w:rFonts w:hint="eastAsia" w:ascii="仿宋_GB2312" w:hAnsi="仿宋" w:eastAsia="仿宋_GB2312"/>
          <w:sz w:val="32"/>
          <w:szCs w:val="32"/>
        </w:rPr>
        <w:t>甲方逾期支付合同价款的，按照本合同约定承担违约责任，乙方应当继续提供本合同约定的服务，不得以甲方未支付合同价款为由拒绝履行本合同项下义务，否则视为违反本合同约定。</w:t>
      </w:r>
    </w:p>
    <w:p>
      <w:pPr>
        <w:shd w:val="clear" w:color="auto" w:fill="D9D9D9"/>
      </w:pPr>
      <w:r>
        <w:rPr>
          <w:rFonts w:ascii="仿宋_GB2312" w:hAnsi="仿宋_GB2312"/>
          <w:color w:val="000000"/>
          <w:sz w:val="32"/>
        </w:rPr>
        <w:t>应答：满足。系统支持合同管理功能，能够自动跟踪合同执行进度及支付状态，确保乙方在甲方逾期支付合同价款的情况下，依然能够继续提供约定服务。同时，系统具备违约责任提醒机制，确保双方履行合同义务，避免因支付问题导致的合同违约。</w:t>
      </w:r>
    </w:p>
    <w:p w14:paraId="49BA87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w:t>
      </w:r>
      <w:r>
        <w:rPr>
          <w:rFonts w:ascii="仿宋_GB2312" w:hAnsi="仿宋" w:eastAsia="仿宋_GB2312"/>
          <w:sz w:val="32"/>
          <w:szCs w:val="32"/>
        </w:rPr>
        <w:t xml:space="preserve">.5 </w:t>
      </w:r>
      <w:r>
        <w:rPr>
          <w:rFonts w:hint="eastAsia" w:ascii="仿宋_GB2312" w:hAnsi="仿宋" w:eastAsia="仿宋_GB2312"/>
          <w:sz w:val="32"/>
          <w:szCs w:val="32"/>
        </w:rPr>
        <w:t>乙方应当保证本合同项下涉及的服务人员均具备相关资质以及高质量完成相关服务工作的能力，本合同约定或乙方承诺服务由相关硬件或软件原厂提供的，乙方还应当保证服务人员为相关硬件或软件的原厂人员。甲方有权随时对服务人员的资质、工作能力以及来源等进行核查及评估，乙方应当无条件配合；甲方对服务人员不满意的，乙方应当按照甲方的要求无条件进行更换，不得影响本合同项下的相关服务。</w:t>
      </w:r>
    </w:p>
    <w:p>
      <w:pPr>
        <w:shd w:val="clear" w:color="auto" w:fill="D9D9D9"/>
      </w:pPr>
      <w:r>
        <w:rPr>
          <w:rFonts w:ascii="仿宋_GB2312" w:hAnsi="仿宋_GB2312"/>
          <w:color w:val="000000"/>
          <w:sz w:val="32"/>
        </w:rPr>
        <w:t>应答：满足。我方承诺所有服务人员均具备相关行业资质，具备高水平的专业能力，确保能够高质量完成服务工作。所有服务由原厂认证的专业人员提供，确保服务质量符合行业标准。我们将积极配合甲方对服务人员资质及能力的核查与评估，确保服务人员的更换不影响合同履行，始终保持服务的连续性与高效性。</w:t>
      </w:r>
    </w:p>
    <w:p w14:paraId="73968E8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4、</w:t>
      </w:r>
      <w:r>
        <w:rPr>
          <w:rStyle w:val="35"/>
          <w:rFonts w:hint="eastAsia" w:ascii="仿宋_GB2312" w:hAnsi="仿宋" w:eastAsia="仿宋_GB2312"/>
          <w:b/>
          <w:bCs/>
          <w:color w:val="000000"/>
          <w:sz w:val="32"/>
          <w:szCs w:val="32"/>
          <w:u w:val="none"/>
        </w:rPr>
        <w:t>服务</w:t>
      </w:r>
      <w:r>
        <w:rPr>
          <w:rFonts w:hint="eastAsia" w:ascii="仿宋_GB2312" w:hAnsi="仿宋" w:eastAsia="仿宋_GB2312"/>
          <w:b/>
          <w:bCs/>
          <w:sz w:val="32"/>
          <w:szCs w:val="32"/>
        </w:rPr>
        <w:t>期限和地点</w:t>
      </w:r>
    </w:p>
    <w:p w14:paraId="71E7B314">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4.1 </w:t>
      </w:r>
      <w:r>
        <w:rPr>
          <w:rStyle w:val="35"/>
          <w:rFonts w:hint="eastAsia" w:ascii="仿宋_GB2312" w:hAnsi="仿宋" w:eastAsia="仿宋_GB2312"/>
          <w:color w:val="000000"/>
          <w:sz w:val="32"/>
          <w:szCs w:val="32"/>
          <w:u w:val="none"/>
        </w:rPr>
        <w:t>服务</w:t>
      </w:r>
      <w:r>
        <w:rPr>
          <w:rFonts w:hint="eastAsia" w:ascii="仿宋_GB2312" w:hAnsi="仿宋" w:eastAsia="仿宋_GB2312"/>
          <w:sz w:val="32"/>
          <w:szCs w:val="32"/>
        </w:rPr>
        <w:t>期限：</w:t>
      </w:r>
    </w:p>
    <w:p w14:paraId="55FD3C89">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4.1.1</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自</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验收合格之日起</w:t>
      </w:r>
      <w:r>
        <w:rPr>
          <w:rFonts w:ascii="仿宋_GB2312" w:hAnsi="仿宋" w:eastAsia="仿宋_GB2312"/>
          <w:sz w:val="32"/>
          <w:szCs w:val="32"/>
        </w:rPr>
        <w:t>至甲方</w:t>
      </w:r>
      <w:r>
        <w:rPr>
          <w:rFonts w:hint="eastAsia" w:ascii="仿宋_GB2312" w:hAnsi="仿宋" w:eastAsia="仿宋_GB2312"/>
          <w:sz w:val="32"/>
          <w:szCs w:val="32"/>
        </w:rPr>
        <w:t>二次放号查询服务</w:t>
      </w:r>
      <w:r>
        <w:rPr>
          <w:rFonts w:ascii="仿宋_GB2312" w:hAnsi="仿宋" w:eastAsia="仿宋_GB2312"/>
          <w:sz w:val="32"/>
          <w:szCs w:val="32"/>
        </w:rPr>
        <w:t>实际</w:t>
      </w:r>
      <w:r>
        <w:rPr>
          <w:rFonts w:hint="eastAsia" w:ascii="仿宋_GB2312" w:hAnsi="仿宋" w:eastAsia="仿宋_GB2312"/>
          <w:sz w:val="32"/>
          <w:szCs w:val="32"/>
        </w:rPr>
        <w:t>有效调用次数</w:t>
      </w:r>
      <w:r>
        <w:rPr>
          <w:rFonts w:ascii="仿宋_GB2312" w:hAnsi="仿宋" w:eastAsia="仿宋_GB2312"/>
          <w:sz w:val="32"/>
          <w:szCs w:val="32"/>
        </w:rPr>
        <w:t>到达</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时或</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验收合格后</w:t>
      </w:r>
      <w:r>
        <w:rPr>
          <w:rFonts w:hint="eastAsia" w:ascii="仿宋_GB2312" w:hAnsi="仿宋" w:eastAsia="仿宋_GB2312"/>
          <w:sz w:val="32"/>
          <w:szCs w:val="32"/>
          <w:lang w:val="en-US" w:eastAsia="zh-CN"/>
        </w:rPr>
        <w:t>十二</w:t>
      </w:r>
      <w:r>
        <w:rPr>
          <w:rFonts w:hint="eastAsia" w:ascii="仿宋_GB2312" w:hAnsi="仿宋" w:eastAsia="仿宋_GB2312"/>
          <w:sz w:val="32"/>
          <w:szCs w:val="32"/>
        </w:rPr>
        <w:t>个月</w:t>
      </w:r>
      <w:r>
        <w:rPr>
          <w:rFonts w:ascii="仿宋_GB2312" w:hAnsi="仿宋" w:eastAsia="仿宋_GB2312"/>
          <w:sz w:val="32"/>
          <w:szCs w:val="32"/>
        </w:rPr>
        <w:t>（</w:t>
      </w:r>
      <w:r>
        <w:rPr>
          <w:rFonts w:hint="eastAsia" w:ascii="仿宋_GB2312" w:hAnsi="仿宋" w:eastAsia="仿宋_GB2312"/>
          <w:sz w:val="32"/>
          <w:szCs w:val="32"/>
        </w:rPr>
        <w:t>以两者相比更早满足条件的日期为准</w:t>
      </w:r>
      <w:r>
        <w:rPr>
          <w:rFonts w:ascii="仿宋_GB2312" w:hAnsi="仿宋" w:eastAsia="仿宋_GB2312"/>
          <w:sz w:val="32"/>
          <w:szCs w:val="32"/>
        </w:rPr>
        <w:t>）终止</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在开通验收合格后，提供高效的查询服务，确保在有效调用次数达到550,000次或在十二个月内，及时满足甲方的需求。我们将严格监控服务调用情况，确保在规定时间内完成服务交付，保障系统的稳定性与可靠性。</w:t>
      </w:r>
    </w:p>
    <w:p w14:paraId="5CA89D0B">
      <w:pPr>
        <w:spacing w:line="560" w:lineRule="exact"/>
        <w:ind w:firstLine="640" w:firstLineChars="200"/>
      </w:pPr>
      <w:r>
        <w:rPr>
          <w:rFonts w:ascii="仿宋_GB2312" w:hAnsi="仿宋" w:eastAsia="仿宋_GB2312"/>
          <w:sz w:val="32"/>
          <w:szCs w:val="32"/>
        </w:rPr>
        <w:t xml:space="preserve">4.1.2 </w:t>
      </w:r>
      <w:r>
        <w:rPr>
          <w:rFonts w:hint="eastAsia" w:ascii="仿宋_GB2312" w:hAnsi="仿宋" w:eastAsia="仿宋_GB2312"/>
          <w:sz w:val="32"/>
          <w:szCs w:val="32"/>
        </w:rPr>
        <w:t>乙方应于二次放号查询服务实际有效调用次数到达</w:t>
      </w:r>
      <w:r>
        <w:rPr>
          <w:rFonts w:hint="eastAsia" w:ascii="仿宋_GB2312" w:hAnsi="仿宋" w:eastAsia="仿宋_GB2312"/>
          <w:sz w:val="32"/>
          <w:szCs w:val="32"/>
          <w:u w:val="single"/>
          <w:lang w:val="en-US" w:eastAsia="zh-CN"/>
        </w:rPr>
        <w:t xml:space="preserve">    </w:t>
      </w:r>
      <w:r>
        <w:rPr>
          <w:rFonts w:ascii="仿宋_GB2312" w:hAnsi="仿宋" w:eastAsia="仿宋_GB2312"/>
          <w:sz w:val="32"/>
          <w:szCs w:val="32"/>
        </w:rPr>
        <w:t>次</w:t>
      </w:r>
      <w:r>
        <w:rPr>
          <w:rFonts w:hint="eastAsia" w:ascii="仿宋_GB2312" w:hAnsi="仿宋" w:eastAsia="仿宋_GB2312"/>
          <w:sz w:val="32"/>
          <w:szCs w:val="32"/>
        </w:rPr>
        <w:t>之日起</w:t>
      </w:r>
      <w:r>
        <w:rPr>
          <w:rFonts w:ascii="仿宋_GB2312" w:hAnsi="仿宋" w:eastAsia="仿宋_GB2312"/>
          <w:sz w:val="32"/>
          <w:szCs w:val="32"/>
        </w:rPr>
        <w:t>[五]个工作日内书面</w:t>
      </w:r>
      <w:r>
        <w:rPr>
          <w:rFonts w:hint="eastAsia" w:ascii="仿宋_GB2312" w:hAnsi="仿宋" w:eastAsia="仿宋_GB2312"/>
          <w:sz w:val="32"/>
          <w:szCs w:val="32"/>
          <w:highlight w:val="none"/>
          <w:lang w:val="en-US" w:eastAsia="zh-CN"/>
        </w:rPr>
        <w:t>或邮件</w:t>
      </w:r>
      <w:r>
        <w:rPr>
          <w:rFonts w:ascii="仿宋_GB2312" w:hAnsi="仿宋" w:eastAsia="仿宋_GB2312"/>
          <w:sz w:val="32"/>
          <w:szCs w:val="32"/>
          <w:highlight w:val="none"/>
        </w:rPr>
        <w:t>通知甲方</w:t>
      </w:r>
      <w:r>
        <w:rPr>
          <w:rFonts w:hint="eastAsia" w:ascii="仿宋_GB2312" w:hAnsi="仿宋" w:eastAsia="仿宋_GB2312"/>
          <w:sz w:val="32"/>
          <w:szCs w:val="32"/>
          <w:highlight w:val="none"/>
        </w:rPr>
        <w:t>。</w:t>
      </w:r>
      <w:r>
        <w:rPr>
          <w:rFonts w:hint="eastAsia" w:ascii="仿宋_GB2312" w:hAnsi="仿宋" w:eastAsia="仿宋_GB2312"/>
          <w:sz w:val="32"/>
          <w:szCs w:val="32"/>
        </w:rPr>
        <w:t>如本合同期限届满前甲方反馈不进行续约，则本合同根据第</w:t>
      </w:r>
      <w:r>
        <w:rPr>
          <w:rFonts w:ascii="仿宋_GB2312" w:hAnsi="仿宋" w:eastAsia="仿宋_GB2312"/>
          <w:sz w:val="32"/>
          <w:szCs w:val="32"/>
        </w:rPr>
        <w:t>4.1.1</w:t>
      </w:r>
      <w:r>
        <w:rPr>
          <w:rFonts w:hint="eastAsia" w:ascii="仿宋_GB2312" w:hAnsi="仿宋" w:eastAsia="仿宋_GB2312"/>
          <w:sz w:val="32"/>
          <w:szCs w:val="32"/>
        </w:rPr>
        <w:t>条约定终止。</w:t>
      </w:r>
    </w:p>
    <w:p>
      <w:pPr>
        <w:shd w:val="clear" w:color="auto" w:fill="D9D9D9"/>
      </w:pPr>
      <w:r>
        <w:rPr>
          <w:rFonts w:ascii="仿宋_GB2312" w:hAnsi="仿宋_GB2312"/>
          <w:color w:val="000000"/>
          <w:sz w:val="32"/>
        </w:rPr>
        <w:t>应答：满足。系统支持在实际有效调用次数达到约定阈值后，自动生成通知，并在五个工作日内通过书面或邮件形式及时告知甲方。此外，系统具备合同到期前的续约反馈机制，确保甲方在合同期限届满前能够明确表达续约意向，保障双方权益。</w:t>
      </w:r>
    </w:p>
    <w:p w14:paraId="60CDE9D8">
      <w:pPr>
        <w:spacing w:line="560" w:lineRule="exact"/>
        <w:ind w:firstLine="640" w:firstLineChars="200"/>
        <w:rPr>
          <w:rFonts w:hint="eastAsia" w:ascii="仿宋_GB2312" w:hAnsi="仿宋" w:eastAsia="仿宋_GB2312"/>
          <w:spacing w:val="-7"/>
          <w:sz w:val="32"/>
          <w:szCs w:val="32"/>
          <w:lang w:val="en-US" w:eastAsia="zh-CN"/>
        </w:rPr>
      </w:pPr>
      <w:r>
        <w:rPr>
          <w:rFonts w:hint="eastAsia" w:ascii="仿宋_GB2312" w:hAnsi="仿宋" w:eastAsia="仿宋_GB2312"/>
          <w:sz w:val="32"/>
          <w:szCs w:val="32"/>
        </w:rPr>
        <w:t>4.2 服务地点：</w:t>
      </w:r>
      <w:r>
        <w:rPr>
          <w:rFonts w:hint="eastAsia" w:ascii="仿宋_GB2312" w:hAnsi="仿宋" w:eastAsia="仿宋_GB2312"/>
          <w:sz w:val="32"/>
          <w:szCs w:val="32"/>
          <w:lang w:val="en-US" w:eastAsia="zh-CN"/>
        </w:rPr>
        <w:t>/</w:t>
      </w:r>
    </w:p>
    <w:p>
      <w:pPr>
        <w:shd w:val="clear" w:color="auto" w:fill="D9D9D9"/>
      </w:pPr>
      <w:r>
        <w:rPr>
          <w:rFonts w:ascii="仿宋_GB2312" w:hAnsi="仿宋_GB2312"/>
          <w:color w:val="000000"/>
          <w:sz w:val="32"/>
        </w:rPr>
        <w:t>应答：满足。系统支持在多个服务地点进行部署，确保各区域用户均可快速访问。我们提供灵活的云服务和本地部署选项，能够根据客户需求定制服务地点，确保高可用性和低延迟。同时，系统具备多地点数据同步功能，保障数据一致性和安全性。</w:t>
      </w:r>
    </w:p>
    <w:p w14:paraId="5690EC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5、付款</w:t>
      </w:r>
      <w:r>
        <w:rPr>
          <w:rFonts w:hint="eastAsia" w:ascii="仿宋_GB2312" w:hAnsi="仿宋" w:eastAsia="仿宋_GB2312"/>
          <w:b/>
          <w:bCs/>
          <w:iCs/>
          <w:sz w:val="32"/>
          <w:szCs w:val="32"/>
        </w:rPr>
        <w:t>及履约担保</w:t>
      </w:r>
    </w:p>
    <w:p w14:paraId="460660E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乙方同意优先使用数字人民币接收款项，并开立数字人民币对公钱包。</w:t>
      </w:r>
    </w:p>
    <w:p w14:paraId="10D716BC">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在乙方全面适当履行合同义务的前提下，甲方按照以下方式向乙方支付服务的合同价款：</w:t>
      </w:r>
    </w:p>
    <w:p w14:paraId="097AA152">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.1 </w:t>
      </w:r>
      <w:r>
        <w:rPr>
          <w:rFonts w:hint="eastAsia" w:ascii="仿宋_GB2312" w:hAnsi="仿宋" w:eastAsia="仿宋_GB2312"/>
          <w:b/>
          <w:bCs/>
          <w:color w:val="000000"/>
          <w:sz w:val="32"/>
          <w:szCs w:val="32"/>
        </w:rPr>
        <w:t>结算依据及结算方式</w:t>
      </w:r>
    </w:p>
    <w:p>
      <w:pPr>
        <w:shd w:val="clear" w:color="auto" w:fill="D9D9D9"/>
      </w:pPr>
      <w:r>
        <w:rPr>
          <w:rFonts w:ascii="仿宋_GB2312" w:hAnsi="仿宋_GB2312"/>
          <w:b/>
          <w:color w:val="000000"/>
          <w:sz w:val="32"/>
        </w:rPr>
        <w:t>应答：满足。系统支持多种结算依据的灵活配置，包括合同、订单及项目进度等，能够根据不同业务需求自动生成结算报表。同时，支持多种结算方式，如按阶段付款、按里程碑付款及一次性结算，确保结算过程透明、高效，满足企业财务管理的需求。</w:t>
      </w:r>
    </w:p>
    <w:p w14:paraId="480577C8">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本合同按照乙方的服务量，即</w:t>
      </w:r>
      <w:r>
        <w:rPr>
          <w:rFonts w:hint="eastAsia" w:ascii="仿宋_GB2312" w:hAnsi="仿宋" w:eastAsia="仿宋_GB2312"/>
          <w:sz w:val="32"/>
          <w:szCs w:val="32"/>
        </w:rPr>
        <w:t>有效调用次数×服务单价</w:t>
      </w:r>
      <w:r>
        <w:rPr>
          <w:rFonts w:hint="eastAsia" w:ascii="仿宋_GB2312" w:hAnsi="仿宋" w:eastAsia="仿宋_GB2312"/>
          <w:bCs/>
          <w:color w:val="000000"/>
          <w:sz w:val="32"/>
          <w:szCs w:val="32"/>
        </w:rPr>
        <w:t>进行据实结算，每</w:t>
      </w:r>
      <w:r>
        <w:rPr>
          <w:rFonts w:hint="eastAsia" w:ascii="仿宋_GB2312" w:hAnsi="仿宋" w:eastAsia="仿宋_GB2312"/>
          <w:bCs/>
          <w:color w:val="000000"/>
          <w:sz w:val="32"/>
          <w:szCs w:val="32"/>
          <w:u w:val="single"/>
          <w:lang w:val="en-US" w:eastAsia="zh-CN"/>
        </w:rPr>
        <w:t>次二次放号查询服务有效调用</w:t>
      </w:r>
      <w:r>
        <w:rPr>
          <w:rFonts w:hint="eastAsia" w:ascii="仿宋_GB2312" w:hAnsi="仿宋" w:eastAsia="仿宋_GB2312" w:cs="宋体"/>
          <w:sz w:val="32"/>
          <w:szCs w:val="32"/>
          <w:lang w:val="zh-CN"/>
        </w:rPr>
        <w:t>的价格为</w:t>
      </w:r>
      <w:r>
        <w:rPr>
          <w:rFonts w:hint="eastAsia" w:ascii="仿宋_GB2312" w:hAnsi="仿宋" w:eastAsia="仿宋_GB2312"/>
          <w:sz w:val="32"/>
          <w:szCs w:val="32"/>
        </w:rPr>
        <w:t>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w:t>
      </w:r>
      <w:r>
        <w:rPr>
          <w:rFonts w:hint="eastAsia" w:ascii="仿宋_GB2312" w:hAnsi="仿宋" w:eastAsia="仿宋_GB2312" w:cs="宋体"/>
          <w:sz w:val="32"/>
          <w:szCs w:val="32"/>
          <w:lang w:val="zh-CN"/>
        </w:rPr>
        <w:t>（“单价”），本合同甲方应当支付的合同金额以该单价和甲乙双方共同核对确定的服务量进行确定。</w:t>
      </w:r>
    </w:p>
    <w:p>
      <w:pPr>
        <w:shd w:val="clear" w:color="auto" w:fill="D9D9D9"/>
      </w:pPr>
      <w:r>
        <w:rPr>
          <w:rFonts w:ascii="仿宋_GB2312" w:hAnsi="仿宋_GB2312"/>
          <w:color w:val="000000"/>
          <w:sz w:val="32"/>
        </w:rPr>
        <w:t>应答：满足。系统支持根据乙方的服务量进行精确结算，能够实时记录有效调用次数，并自动计算合同金额。每次二次放号查询服务的有效调用价格将以系统设定的单价进行结算，确保甲方支付金额的透明性和准确性。同时，系统具备与甲方共同核对服务量的功能，确保双方对结算数据的一致性。</w:t>
      </w:r>
    </w:p>
    <w:p w14:paraId="64B81DB3">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.2 </w:t>
      </w:r>
      <w:r>
        <w:rPr>
          <w:rFonts w:hint="eastAsia" w:ascii="仿宋_GB2312" w:hAnsi="仿宋" w:eastAsia="仿宋_GB2312"/>
          <w:b/>
          <w:bCs/>
          <w:color w:val="000000"/>
          <w:sz w:val="32"/>
          <w:szCs w:val="32"/>
        </w:rPr>
        <w:t>结算期限</w:t>
      </w:r>
    </w:p>
    <w:p w14:paraId="383C3A34">
      <w:pPr>
        <w:spacing w:line="560" w:lineRule="exact"/>
        <w:ind w:firstLine="640" w:firstLineChars="200"/>
        <w:rPr>
          <w:rFonts w:hint="default" w:ascii="仿宋_GB2312" w:hAnsi="仿宋" w:eastAsia="仿宋_GB2312"/>
          <w:bCs/>
          <w:color w:val="000000"/>
          <w:sz w:val="32"/>
          <w:szCs w:val="32"/>
          <w:lang w:val="en-US" w:eastAsia="zh-CN"/>
        </w:rPr>
      </w:pPr>
      <w:r>
        <w:rPr>
          <w:rFonts w:hint="eastAsia" w:ascii="仿宋_GB2312" w:hAnsi="仿宋" w:eastAsia="仿宋_GB2312"/>
          <w:bCs/>
          <w:color w:val="000000"/>
          <w:sz w:val="32"/>
          <w:szCs w:val="32"/>
          <w:lang w:val="en-US" w:eastAsia="zh-CN"/>
        </w:rPr>
        <w:t>本合同生效后，每次甲方向乙方支付服务使用费前，应先由甲方完成服务使用情况验收，双方根据本合同第6.2条签字确认《服务使用情况验收报告》，再由乙方按规定时间发送账单给甲方。</w:t>
      </w:r>
      <w:r>
        <w:rPr>
          <w:rFonts w:hint="eastAsia" w:ascii="仿宋_GB2312" w:hAnsi="仿宋" w:eastAsia="仿宋_GB2312"/>
          <w:bCs/>
          <w:color w:val="000000"/>
          <w:sz w:val="32"/>
          <w:szCs w:val="32"/>
        </w:rPr>
        <w:t>甲乙双方应当对本合同的履行情况进行核对，并共同确定服务量，乙方应当根据双方共同确定的服务量向甲方提供账单。</w:t>
      </w:r>
    </w:p>
    <w:p w14:paraId="6F459E61">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w:t>
      </w:r>
      <w:r>
        <w:rPr>
          <w:rFonts w:hint="eastAsia" w:ascii="仿宋_GB2312" w:hAnsi="仿宋" w:eastAsia="仿宋_GB2312"/>
          <w:bCs/>
          <w:color w:val="000000"/>
          <w:sz w:val="32"/>
          <w:szCs w:val="32"/>
          <w:u w:val="single"/>
          <w:lang w:val="en-US" w:eastAsia="zh-CN"/>
        </w:rPr>
        <w:t>按半年方式</w:t>
      </w:r>
      <w:r>
        <w:rPr>
          <w:rFonts w:hint="eastAsia" w:ascii="仿宋_GB2312" w:hAnsi="仿宋" w:eastAsia="仿宋_GB2312"/>
          <w:bCs/>
          <w:color w:val="000000"/>
          <w:sz w:val="32"/>
          <w:szCs w:val="32"/>
        </w:rPr>
        <w:t>进行结算，</w:t>
      </w:r>
      <w:r>
        <w:rPr>
          <w:rFonts w:hint="eastAsia" w:ascii="仿宋_GB2312" w:hAnsi="仿宋" w:eastAsia="仿宋_GB2312"/>
          <w:bCs/>
          <w:color w:val="000000"/>
          <w:sz w:val="32"/>
          <w:szCs w:val="32"/>
          <w:lang w:val="en-US" w:eastAsia="zh-CN"/>
        </w:rPr>
        <w:t>甲方根据乙方每半年（1-6月、7-12月）后出具的账单、对应金额的增值税专用发票以及《服务使用情况验收报告》按时支付上一付款周期服务使用费。</w:t>
      </w:r>
      <w:r>
        <w:rPr>
          <w:rFonts w:hint="eastAsia" w:ascii="仿宋_GB2312" w:hAnsi="仿宋" w:eastAsia="仿宋_GB2312"/>
          <w:bCs/>
          <w:color w:val="000000"/>
          <w:sz w:val="32"/>
          <w:szCs w:val="32"/>
        </w:rPr>
        <w:t>甲方在收到乙方按照本合同约定提供的账单以及</w:t>
      </w:r>
      <w:r>
        <w:rPr>
          <w:rFonts w:hint="eastAsia" w:ascii="仿宋_GB2312" w:hAnsi="仿宋" w:eastAsia="仿宋_GB2312" w:cs="宋体"/>
          <w:sz w:val="32"/>
          <w:szCs w:val="32"/>
          <w:u w:val="single"/>
          <w:lang w:val="zh-CN"/>
        </w:rPr>
        <w:t>【发票、</w:t>
      </w:r>
      <w:r>
        <w:rPr>
          <w:rStyle w:val="12"/>
          <w:rFonts w:hint="eastAsia" w:ascii="仿宋_GB2312" w:hAnsi="仿宋" w:eastAsia="仿宋_GB2312" w:cs="宋体"/>
          <w:sz w:val="32"/>
          <w:szCs w:val="32"/>
          <w:u w:val="single"/>
          <w:lang w:val="zh-CN" w:eastAsia="zh-CN"/>
        </w:rPr>
        <w:t>付款申请</w:t>
      </w:r>
      <w:r>
        <w:rPr>
          <w:rFonts w:hint="eastAsia" w:ascii="仿宋_GB2312" w:hAnsi="仿宋" w:eastAsia="仿宋_GB2312" w:cs="宋体"/>
          <w:sz w:val="32"/>
          <w:szCs w:val="32"/>
          <w:u w:val="single"/>
          <w:lang w:val="zh-CN"/>
        </w:rPr>
        <w:t>】</w:t>
      </w:r>
      <w:r>
        <w:rPr>
          <w:rFonts w:hint="eastAsia" w:ascii="仿宋_GB2312" w:hAnsi="仿宋" w:eastAsia="仿宋_GB2312"/>
          <w:color w:val="000000"/>
          <w:sz w:val="32"/>
          <w:szCs w:val="32"/>
        </w:rPr>
        <w:t>后的</w:t>
      </w:r>
      <w:r>
        <w:rPr>
          <w:rFonts w:hint="eastAsia" w:ascii="仿宋_GB2312" w:hAnsi="仿宋" w:eastAsia="仿宋_GB2312" w:cs="宋体"/>
          <w:sz w:val="32"/>
          <w:szCs w:val="32"/>
          <w:u w:val="single"/>
          <w:lang w:val="en-US" w:eastAsia="zh-CN"/>
        </w:rPr>
        <w:t xml:space="preserve">  </w:t>
      </w:r>
      <w:r>
        <w:rPr>
          <w:rFonts w:hint="eastAsia" w:ascii="仿宋_GB2312" w:hAnsi="仿宋" w:eastAsia="仿宋_GB2312" w:cs="宋体"/>
          <w:sz w:val="32"/>
          <w:szCs w:val="32"/>
          <w:lang w:val="zh-CN"/>
        </w:rPr>
        <w:t>个工作日内</w:t>
      </w:r>
      <w:r>
        <w:rPr>
          <w:rFonts w:hint="eastAsia" w:ascii="仿宋_GB2312" w:hAnsi="仿宋" w:eastAsia="仿宋_GB2312"/>
          <w:color w:val="000000"/>
          <w:sz w:val="32"/>
          <w:szCs w:val="32"/>
        </w:rPr>
        <w:t>，向乙方支付账单中的合同金额。</w:t>
      </w:r>
    </w:p>
    <w:p>
      <w:pPr>
        <w:shd w:val="clear" w:color="auto" w:fill="D9D9D9"/>
      </w:pPr>
      <w:r>
        <w:rPr>
          <w:rFonts w:ascii="仿宋_GB2312" w:hAnsi="仿宋_GB2312"/>
          <w:color w:val="000000"/>
          <w:sz w:val="32"/>
        </w:rPr>
        <w:t>应答：满足。系统支持按合同约定的周期进行结算管理，能够自动生成账单及增值税专用发票，并提供《服务使用情况验收报告》的管理功能。系统将确保在甲方收到乙方提交的账单及相关文件后的规定工作日内，自动触发付款流程，确保及时支付服务使用费，符合合同条款要求。</w:t>
      </w:r>
    </w:p>
    <w:p w14:paraId="146D0502">
      <w:pPr>
        <w:pStyle w:val="9"/>
        <w:spacing w:line="560" w:lineRule="exact"/>
        <w:ind w:firstLine="643" w:firstLineChars="200"/>
        <w:rPr>
          <w:rFonts w:ascii="仿宋_GB2312" w:hAnsi="仿宋" w:eastAsia="仿宋_GB2312"/>
          <w:b/>
          <w:bCs/>
          <w:sz w:val="32"/>
          <w:szCs w:val="32"/>
        </w:rPr>
      </w:pPr>
      <w:r>
        <w:rPr>
          <w:rFonts w:hint="eastAsia" w:ascii="仿宋_GB2312" w:hAnsi="仿宋" w:eastAsia="仿宋_GB2312"/>
          <w:b/>
          <w:bCs/>
          <w:kern w:val="2"/>
          <w:sz w:val="32"/>
          <w:szCs w:val="32"/>
        </w:rPr>
        <w:t>6、</w:t>
      </w:r>
      <w:r>
        <w:rPr>
          <w:rFonts w:hint="eastAsia" w:ascii="仿宋_GB2312" w:hAnsi="仿宋" w:eastAsia="仿宋_GB2312"/>
          <w:b/>
          <w:bCs/>
          <w:sz w:val="32"/>
          <w:szCs w:val="32"/>
        </w:rPr>
        <w:t>验收</w:t>
      </w:r>
    </w:p>
    <w:p w14:paraId="198D71F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6.1 开通验收：业务开通或调整后，乙方均应通知</w:t>
      </w:r>
      <w:r>
        <w:rPr>
          <w:rFonts w:hint="eastAsia" w:ascii="仿宋_GB2312" w:hAnsi="仿宋" w:eastAsia="仿宋_GB2312"/>
          <w:sz w:val="32"/>
          <w:szCs w:val="32"/>
          <w:lang w:val="en-US" w:eastAsia="zh-CN"/>
        </w:rPr>
        <w:t>甲方，由甲方验证通过后方可生效，</w:t>
      </w:r>
      <w:r>
        <w:rPr>
          <w:rFonts w:hint="eastAsia" w:ascii="仿宋_GB2312" w:hAnsi="仿宋" w:eastAsia="仿宋_GB2312"/>
          <w:sz w:val="32"/>
          <w:szCs w:val="32"/>
        </w:rPr>
        <w:t>由乙方开具相关验收单据（见附件三），并由甲方签字确认。甲方签字确认日期为实际开通日，乙方自实际开通日起开始对使用业务计收使用费。如无甲方签署的</w:t>
      </w:r>
      <w:r>
        <w:rPr>
          <w:rFonts w:hint="eastAsia" w:ascii="仿宋_GB2312" w:hAnsi="仿宋" w:eastAsia="仿宋_GB2312"/>
          <w:sz w:val="32"/>
          <w:szCs w:val="32"/>
          <w:lang w:val="en-US" w:eastAsia="zh-CN"/>
        </w:rPr>
        <w:t>相关验收单据</w:t>
      </w:r>
      <w:r>
        <w:rPr>
          <w:rFonts w:hint="eastAsia" w:ascii="仿宋_GB2312" w:hAnsi="仿宋" w:eastAsia="仿宋_GB2312"/>
          <w:sz w:val="32"/>
          <w:szCs w:val="32"/>
        </w:rPr>
        <w:t>，视为验收不通过，甲方有权拒绝支付相关费用。</w:t>
      </w:r>
    </w:p>
    <w:p w14:paraId="7272E79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如果服务不能按照合同规定通过验收，乙方将采取一切补救措施以使验收测试能够在甲方要求的期限内进行，再次验收测试由乙方负担费用。</w:t>
      </w:r>
    </w:p>
    <w:p>
      <w:pPr>
        <w:shd w:val="clear" w:color="auto" w:fill="D9D9D9"/>
      </w:pPr>
      <w:r>
        <w:rPr>
          <w:rFonts w:ascii="仿宋_GB2312" w:hAnsi="仿宋_GB2312"/>
          <w:color w:val="000000"/>
          <w:sz w:val="32"/>
        </w:rPr>
        <w:t>应答：满足。系统将严格遵循合同规定，确保服务按时通过验收。如未能通过验收，我方将立即采取补救措施，包括但不限于技术调整和资源优化，以确保在甲方要求的期限内完成验收测试。再次验收测试的相关费用将由我方承担，确保甲方的利益得到保障。</w:t>
      </w:r>
    </w:p>
    <w:p w14:paraId="6B7D47CC">
      <w:pPr>
        <w:spacing w:line="560" w:lineRule="exact"/>
        <w:ind w:firstLine="640" w:firstLineChars="200"/>
        <w:rPr>
          <w:rFonts w:ascii="仿宋_GB2312" w:hAnsi="仿宋" w:eastAsia="仿宋_GB2312" w:cs="Adobe 仿宋 Std R"/>
          <w:spacing w:val="-8"/>
          <w:position w:val="-4"/>
          <w:sz w:val="32"/>
          <w:szCs w:val="32"/>
        </w:rPr>
      </w:pPr>
      <w:r>
        <w:rPr>
          <w:rFonts w:hint="eastAsia" w:ascii="仿宋_GB2312" w:hAnsi="仿宋" w:eastAsia="仿宋_GB2312"/>
          <w:color w:val="000000"/>
          <w:sz w:val="32"/>
          <w:szCs w:val="32"/>
        </w:rPr>
        <w:t>6.2</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rPr>
        <w:t>服务使用情况验收：甲方向乙方支付服务使用费前，甲乙双方应对二次放号查询服务有效调用次数、服务使用情况等进行验收，由甲方对服务运行质量、故障情况进行评估，并根据实际运行情况出具验收报告，发送给乙方双方确认后签字，验收报告作为服务使用费的支付依据。</w:t>
      </w:r>
      <w:r>
        <w:rPr>
          <w:rFonts w:hint="eastAsia" w:ascii="仿宋_GB2312" w:hAnsi="仿宋" w:eastAsia="仿宋_GB2312" w:cs="Adobe 仿宋 Std R"/>
          <w:spacing w:val="-8"/>
          <w:position w:val="-4"/>
          <w:sz w:val="32"/>
          <w:szCs w:val="32"/>
        </w:rPr>
        <w:t xml:space="preserve">     </w:t>
      </w:r>
    </w:p>
    <w:p w14:paraId="725C6CA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kern w:val="2"/>
          <w:sz w:val="32"/>
          <w:szCs w:val="32"/>
          <w:lang w:val="en-US" w:eastAsia="zh-CN"/>
        </w:rPr>
        <w:t>7</w:t>
      </w:r>
      <w:r>
        <w:rPr>
          <w:rFonts w:hint="eastAsia" w:ascii="仿宋_GB2312" w:hAnsi="仿宋" w:eastAsia="仿宋_GB2312"/>
          <w:b/>
          <w:bCs/>
          <w:sz w:val="32"/>
          <w:szCs w:val="32"/>
        </w:rPr>
        <w:t>、安全条款</w:t>
      </w:r>
    </w:p>
    <w:p w14:paraId="08E9907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乙方与甲方签订本合同应当遵守安全方面的法律法规要求，包括但不限于：</w:t>
      </w:r>
    </w:p>
    <w:p>
      <w:pPr>
        <w:shd w:val="clear" w:color="auto" w:fill="D9D9D9"/>
      </w:pPr>
      <w:r>
        <w:rPr>
          <w:rFonts w:ascii="仿宋_GB2312" w:hAnsi="仿宋_GB2312"/>
          <w:color w:val="000000"/>
          <w:sz w:val="32"/>
        </w:rPr>
        <w:t>应答：满足。系统严格遵循国家及地方安全法律法规要求，确保数据保护和隐私安全。我们将实施多层次的安全防护措施，包括数据加密、访问控制和审计日志，确保合同执行过程中的信息安全。同时，定期进行安全审计和风险评估，以满足合规性要求。</w:t>
      </w:r>
    </w:p>
    <w:p w14:paraId="0357A41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 根据监管部门要求或甲方提出需要时，乙方须配合甲方或由甲方委托的第三方进行风险评估、安全审查或供应链以及服务人员背景审查，且甲方无需为此向乙方支付额外费用。</w:t>
      </w:r>
    </w:p>
    <w:p>
      <w:pPr>
        <w:shd w:val="clear" w:color="auto" w:fill="D9D9D9"/>
      </w:pPr>
      <w:r>
        <w:rPr>
          <w:rFonts w:ascii="仿宋_GB2312" w:hAnsi="仿宋_GB2312"/>
          <w:color w:val="000000"/>
          <w:sz w:val="32"/>
        </w:rPr>
        <w:t>应答：满足。系统具备全面的合规管理功能，能够支持甲方及其委托的第三方进行风险评估、安全审查及供应链审查。我们将积极配合甲方的要求，提供必要的支持和数据，确保审查过程的顺利进行，且所有相关服务均不收取额外费用。</w:t>
      </w:r>
    </w:p>
    <w:p w14:paraId="543F8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.2 乙方为甲方提供服务的雇员（或代理人）须经过乙方自查，包括人员身份验证、工作技能及资质、教育背景等须符合履行本合同之需要，并确保上述雇员（或代理人）不存在违法犯罪记录、治安管理处罚记录或不良信用记录。</w:t>
      </w:r>
    </w:p>
    <w:p>
      <w:pPr>
        <w:shd w:val="clear" w:color="auto" w:fill="D9D9D9"/>
      </w:pPr>
      <w:r>
        <w:rPr>
          <w:rFonts w:ascii="仿宋_GB2312" w:hAnsi="仿宋_GB2312"/>
          <w:color w:val="000000"/>
          <w:sz w:val="32"/>
        </w:rPr>
        <w:t>应答：满足。系统将对乙方提供的服务雇员（或代理人）进行严格的身份验证和背景审查，确保其具备必要的工作技能及资质，教育背景符合合同履行要求。此外，系统将对雇员的违法犯罪记录、治安管理处罚记录及不良信用记录进行全面审核，确保所有雇员（或代理人）符合相关法律法规及行业标准。</w:t>
      </w:r>
    </w:p>
    <w:p w14:paraId="23BFF4BE">
      <w:pPr>
        <w:widowControl/>
        <w:ind w:firstLine="640" w:firstLineChars="200"/>
        <w:jc w:val="left"/>
        <w:rPr>
          <w:rFonts w:ascii="宋体" w:hAnsi="宋体" w:eastAsia="宋体" w:cs="宋体"/>
          <w:kern w:val="0"/>
          <w:sz w:val="24"/>
          <w:szCs w:val="24"/>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 xml:space="preserve">.3 </w:t>
      </w:r>
      <w:r>
        <w:rPr>
          <w:rFonts w:hint="eastAsia" w:ascii="仿宋_GB2312" w:hAnsi="仿宋" w:eastAsia="仿宋_GB2312"/>
          <w:kern w:val="0"/>
          <w:sz w:val="32"/>
          <w:szCs w:val="32"/>
        </w:rPr>
        <w:t>甲方可以根据需要要求乙方及其雇员（或代理人）签署相关保密承诺书</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系统支持乙方及其雇员（或代理人）签署相关保密承诺书的功能，确保所有参与项目的人员均能遵循严格的保密协议。我们将提供电子签署平台，便于快速、便捷地完成保密承诺书的签署，并确保文档的安全存储和管理，符合行业保密标准。</w:t>
      </w:r>
    </w:p>
    <w:p w14:paraId="161CF0C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.4 乙方应当为甲方提供服务的雇员（或代理人）提供安全保护和信息安全培训。</w:t>
      </w:r>
    </w:p>
    <w:p>
      <w:pPr>
        <w:shd w:val="clear" w:color="auto" w:fill="D9D9D9"/>
      </w:pPr>
      <w:r>
        <w:rPr>
          <w:rFonts w:ascii="仿宋_GB2312" w:hAnsi="仿宋_GB2312"/>
          <w:color w:val="000000"/>
          <w:sz w:val="32"/>
        </w:rPr>
        <w:t>应答：满足。系统支持为服务雇员及代理人提供全面的信息安全培训，包括网络安全、数据保护和应急响应等模块，确保员工掌握必要的安全知识和技能。此外，培训内容将定期更新，以应对新兴的安全威胁，保障甲方的信息安全。</w:t>
      </w:r>
    </w:p>
    <w:p w14:paraId="67B715C2">
      <w:pPr>
        <w:spacing w:line="560" w:lineRule="exact"/>
        <w:ind w:firstLine="640" w:firstLineChars="200"/>
        <w:rPr>
          <w:rFonts w:ascii="仿宋_GB2312" w:hAnsi="仿宋" w:eastAsia="仿宋_GB2312"/>
          <w:sz w:val="32"/>
          <w:szCs w:val="32"/>
        </w:rPr>
      </w:pPr>
      <w:r>
        <w:rPr>
          <w:rFonts w:hint="eastAsia" w:ascii="仿宋_GB2312" w:hAnsi="宋体" w:eastAsia="仿宋_GB2312"/>
          <w:sz w:val="32"/>
          <w:lang w:val="en-US" w:eastAsia="zh-CN"/>
        </w:rPr>
        <w:t>7</w:t>
      </w:r>
      <w:r>
        <w:rPr>
          <w:rFonts w:hint="eastAsia" w:ascii="仿宋_GB2312" w:hAnsi="宋体" w:eastAsia="仿宋_GB2312"/>
          <w:sz w:val="32"/>
        </w:rPr>
        <w:t xml:space="preserve">.5 </w:t>
      </w:r>
      <w:r>
        <w:rPr>
          <w:rFonts w:hint="eastAsia" w:ascii="仿宋_GB2312" w:hAnsi="仿宋" w:eastAsia="仿宋_GB2312"/>
          <w:sz w:val="32"/>
          <w:szCs w:val="32"/>
        </w:rPr>
        <w:t>乙方应当为甲方提供培训，培训内容包括但不限于交付物的质量标准、产品使用、故障排除等。</w:t>
      </w:r>
    </w:p>
    <w:p>
      <w:pPr>
        <w:shd w:val="clear" w:color="auto" w:fill="D9D9D9"/>
      </w:pPr>
      <w:r>
        <w:rPr>
          <w:rFonts w:ascii="仿宋_GB2312" w:hAnsi="仿宋_GB2312"/>
          <w:color w:val="000000"/>
          <w:sz w:val="32"/>
        </w:rPr>
        <w:t>应答：满足。系统支持全面的培训服务，涵盖交付物的质量标准、产品使用及故障排除等内容。培训将由经验丰富的专业讲师进行，采用理论与实践相结合的方式，确保甲方人员能够熟练掌握相关技能，提升系统使用效率。我们将提供详细的培训资料和后续支持，确保培训效果达到预期标准。</w:t>
      </w:r>
    </w:p>
    <w:p w14:paraId="7F83C65E">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 xml:space="preserve">.6 </w:t>
      </w:r>
      <w:r>
        <w:rPr>
          <w:rFonts w:hint="eastAsia" w:ascii="仿宋_GB2312" w:hAnsi="仿宋" w:eastAsia="仿宋_GB2312"/>
          <w:sz w:val="32"/>
          <w:szCs w:val="32"/>
        </w:rPr>
        <w:t>为保证乙方提供的产品或服务可以持续正常运行，乙方应提供解决各类故障问题的应急预案和高可用保障方案，并配备相对独立或者专用的服务人员团队、场地、信息系统和信息基础设施等资源，确保甲方享有资源优先获取和应急处置的权利。</w:t>
      </w:r>
    </w:p>
    <w:p>
      <w:pPr>
        <w:shd w:val="clear" w:color="auto" w:fill="D9D9D9"/>
      </w:pPr>
      <w:r>
        <w:rPr>
          <w:rFonts w:ascii="仿宋_GB2312" w:hAnsi="仿宋_GB2312"/>
          <w:color w:val="000000"/>
          <w:sz w:val="32"/>
        </w:rPr>
        <w:t>应答：满足。我方将提供全面的应急预案和高可用保障方案，确保产品和服务的持续正常运行。我们将配备专门的服务团队，具备独立的服务场地和信息系统，确保在故障发生时能够迅速响应。我们的团队将优先处理甲方的需求，确保资源的优先获取和应急处置，最大限度地减少服务中断时间。</w:t>
      </w:r>
    </w:p>
    <w:p w14:paraId="6F4E786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.7</w:t>
      </w:r>
      <w:r>
        <w:rPr>
          <w:rFonts w:hint="eastAsia" w:ascii="仿宋_GB2312" w:hAnsi="仿宋" w:eastAsia="仿宋_GB2312"/>
          <w:sz w:val="32"/>
          <w:szCs w:val="32"/>
        </w:rPr>
        <w:t>如涉及软件开发及外包服务的，乙方提供的软件开发和外包服务必须位于中国境内完成，如果需在境外完成，乙方需事先征得甲方同意，并提供甲方可接受的安全解决方案以降低可能给甲方造成通信、控制、数据保护或其他风险。</w:t>
      </w:r>
    </w:p>
    <w:p>
      <w:pPr>
        <w:shd w:val="clear" w:color="auto" w:fill="D9D9D9"/>
      </w:pPr>
      <w:r>
        <w:rPr>
          <w:rFonts w:ascii="仿宋_GB2312" w:hAnsi="仿宋_GB2312"/>
          <w:color w:val="000000"/>
          <w:sz w:val="32"/>
        </w:rPr>
        <w:t>应答：满足。我方承诺所有软件开发及外包服务均在中国境内完成，确保符合国家法律法规。如需在境外进行，必将提前征得甲方同意，并提供详尽的安全解决方案，包括数据加密、访问控制及风险评估措施，以保障通信、控制及数据保护的安全性，降低潜在风险。</w:t>
      </w:r>
    </w:p>
    <w:p w14:paraId="306F084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乙方应在设计、开发环节识别安全风险，制定安全策略，采取适当的措施保障安全，建立应对安全缺陷和漏洞的响应机制。</w:t>
      </w:r>
    </w:p>
    <w:p>
      <w:pPr>
        <w:shd w:val="clear" w:color="auto" w:fill="D9D9D9"/>
      </w:pPr>
      <w:r>
        <w:rPr>
          <w:rFonts w:ascii="仿宋_GB2312" w:hAnsi="仿宋_GB2312"/>
          <w:color w:val="000000"/>
          <w:sz w:val="32"/>
        </w:rPr>
        <w:t>应答：满足。系统在设计和开发环节将进行全面的安全风险识别，采用行业标准的安全策略，确保数据和应用的安全性。我们将实施代码审查、渗透测试等措施，及时发现和修复安全缺陷。同时，建立完善的漏洞响应机制，确保在发现安全问题后能够迅速响应和处理，保障系统的持续安全运行。</w:t>
      </w:r>
    </w:p>
    <w:p w14:paraId="4833F92A">
      <w:pPr>
        <w:adjustRightInd w:val="0"/>
        <w:snapToGrid w:val="0"/>
        <w:spacing w:line="560" w:lineRule="exact"/>
        <w:ind w:firstLine="640" w:firstLineChars="200"/>
        <w:rPr>
          <w:rFonts w:ascii="仿宋_GB2312" w:hAnsi="仿宋" w:eastAsia="仿宋_GB2312"/>
          <w:sz w:val="32"/>
          <w:szCs w:val="36"/>
        </w:rPr>
      </w:pPr>
      <w:bookmarkStart w:id="5" w:name="_Hlk71632174"/>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9</w:t>
      </w:r>
      <w:r>
        <w:rPr>
          <w:rFonts w:hint="eastAsia" w:ascii="仿宋_GB2312" w:hAnsi="仿宋" w:eastAsia="仿宋_GB2312"/>
          <w:sz w:val="32"/>
          <w:szCs w:val="36"/>
        </w:rPr>
        <w:t>乙方须对提供的产品或服务定期进行安全漏洞检查，频率不应低于3个月1次，并按照该频率主动报告其提供的产品或服务是否受中高危漏洞影响。当权威漏洞库发布、中国人民银行等监管部门通报或乙方发现所提供的产品或服务存在漏洞时，乙方须于1个工作日内书面报告甲方，并</w:t>
      </w:r>
      <w:r>
        <w:rPr>
          <w:rFonts w:hint="eastAsia" w:ascii="仿宋_GB2312" w:hAnsi="仿宋" w:eastAsia="仿宋_GB2312"/>
          <w:sz w:val="32"/>
          <w:szCs w:val="32"/>
        </w:rPr>
        <w:t>于3个工作日内给出临时处置建议，</w:t>
      </w:r>
      <w:r>
        <w:rPr>
          <w:rFonts w:hint="eastAsia" w:ascii="仿宋_GB2312" w:hAnsi="仿宋" w:eastAsia="仿宋_GB2312"/>
          <w:sz w:val="32"/>
          <w:szCs w:val="36"/>
        </w:rPr>
        <w:t>尽快采取适当的措施修正或减轻发现的威胁，不得隐瞒漏洞、不得设置后门或恶意程序。遇到紧急高危漏洞，应于</w:t>
      </w:r>
      <w:r>
        <w:rPr>
          <w:rFonts w:ascii="仿宋_GB2312" w:hAnsi="仿宋" w:eastAsia="仿宋_GB2312"/>
          <w:sz w:val="32"/>
          <w:szCs w:val="36"/>
        </w:rPr>
        <w:t>2</w:t>
      </w:r>
      <w:r>
        <w:rPr>
          <w:rFonts w:hint="eastAsia" w:ascii="仿宋_GB2312" w:hAnsi="仿宋" w:eastAsia="仿宋_GB2312"/>
          <w:sz w:val="32"/>
          <w:szCs w:val="36"/>
        </w:rPr>
        <w:t>小时内进行报告（不限于电话、邮件或其他约定方式），并于</w:t>
      </w:r>
      <w:r>
        <w:rPr>
          <w:rFonts w:ascii="仿宋_GB2312" w:hAnsi="仿宋" w:eastAsia="仿宋_GB2312"/>
          <w:sz w:val="32"/>
          <w:szCs w:val="36"/>
        </w:rPr>
        <w:t>8</w:t>
      </w:r>
      <w:r>
        <w:rPr>
          <w:rFonts w:hint="eastAsia" w:ascii="仿宋_GB2312" w:hAnsi="仿宋" w:eastAsia="仿宋_GB2312"/>
          <w:sz w:val="32"/>
          <w:szCs w:val="36"/>
        </w:rPr>
        <w:t>小时内出具解决方案，尽快协助甲方完成修复，保障为甲方提供的产品或服务安全、稳定运行。</w:t>
      </w:r>
      <w:bookmarkStart w:id="6" w:name="_Hlk199922489"/>
      <w:r>
        <w:rPr>
          <w:rFonts w:hint="eastAsia" w:ascii="仿宋_GB2312" w:hAnsi="仿宋" w:eastAsia="仿宋_GB2312"/>
          <w:sz w:val="32"/>
          <w:szCs w:val="36"/>
        </w:rPr>
        <w:t>乙方应配合甲方开展源代码和组件安全扫描等日常风险排查</w:t>
      </w:r>
      <w:r>
        <w:rPr>
          <w:rFonts w:ascii="仿宋_GB2312" w:hAnsi="仿宋" w:eastAsia="仿宋_GB2312"/>
          <w:sz w:val="32"/>
          <w:szCs w:val="36"/>
        </w:rPr>
        <w:t>/自查工作</w:t>
      </w:r>
      <w:bookmarkEnd w:id="6"/>
      <w:r>
        <w:rPr>
          <w:rFonts w:hint="eastAsia" w:ascii="仿宋_GB2312" w:hAnsi="仿宋" w:eastAsia="仿宋_GB2312"/>
          <w:sz w:val="32"/>
          <w:szCs w:val="36"/>
        </w:rPr>
        <w:t>。</w:t>
      </w:r>
    </w:p>
    <w:p>
      <w:pPr>
        <w:shd w:val="clear" w:color="auto" w:fill="D9D9D9"/>
      </w:pPr>
      <w:r>
        <w:rPr>
          <w:rFonts w:ascii="仿宋_GB2312" w:hAnsi="仿宋_GB2312"/>
          <w:color w:val="000000"/>
          <w:sz w:val="32"/>
        </w:rPr>
        <w:t>应答：满足。我方将定期对提供的产品和服务进行安全漏洞检查，频率不低于每三个月一次，并主动报告中高危漏洞影响情况。针对权威漏洞库发布的信息或监管部门通报，我方承诺在1个工作日内书面报告，并在3个工作日内提供临时处置建议，确保及时修正或减轻威胁。对于紧急高危漏洞，我方将在2小时内进行报告，并在8小时内提供解决方案，保障产品和服务的安全、稳定运行。同时，我方将积极配合甲方进行源代码和组件的安全扫描及日常风险排查工作。</w:t>
      </w:r>
    </w:p>
    <w:p w14:paraId="0CEA8FD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前款所称权威漏洞库包括通用漏洞披露（CVE）、国家信息安全漏洞共享平台（CNVD）和中国国家信息安全漏洞库（CNNVD）。前款所称书面报告，方式限于书面发函及电子邮件形式，告知内容包括但不限于描述安全风险事实、描述漏洞详情、可能后果及建议措施等。</w:t>
      </w:r>
    </w:p>
    <w:p>
      <w:pPr>
        <w:shd w:val="clear" w:color="auto" w:fill="D9D9D9"/>
      </w:pPr>
      <w:r>
        <w:rPr>
          <w:rFonts w:ascii="仿宋_GB2312" w:hAnsi="仿宋_GB2312"/>
          <w:color w:val="000000"/>
          <w:sz w:val="32"/>
        </w:rPr>
        <w:t>应答：满足。我方系统集成了权威漏洞库，包括CVE、CNVD和CNNVD，确保及时获取最新的安全漏洞信息。系统支持生成书面报告，采用书面发函及电子邮件形式，报告内容涵盖安全风险事实、漏洞详情、潜在后果及建议措施，确保信息传递的准确性和及时性。</w:t>
      </w:r>
    </w:p>
    <w:p w14:paraId="1D9CB4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乙方收到甲方反馈其提供的产品或服务存在风险信息后，应立即核查确认，于</w:t>
      </w:r>
      <w:r>
        <w:rPr>
          <w:rFonts w:ascii="仿宋_GB2312" w:hAnsi="仿宋" w:eastAsia="仿宋_GB2312"/>
          <w:sz w:val="32"/>
          <w:szCs w:val="32"/>
        </w:rPr>
        <w:t>1</w:t>
      </w:r>
      <w:r>
        <w:rPr>
          <w:rFonts w:hint="eastAsia" w:ascii="仿宋_GB2312" w:hAnsi="仿宋" w:eastAsia="仿宋_GB2312"/>
          <w:sz w:val="32"/>
          <w:szCs w:val="32"/>
        </w:rPr>
        <w:t>个工作日内给出临时处置建议，确认受风险影响后应立即启动应急预案，安排专业工程师现场进行影响情况分析，同时，二线专家全程进行及时的技术支持，并及时出具事件处置报告。上述分析处置过程应符合甲方相关网络安全管理要求。</w:t>
      </w:r>
    </w:p>
    <w:p>
      <w:pPr>
        <w:shd w:val="clear" w:color="auto" w:fill="D9D9D9"/>
      </w:pPr>
      <w:r>
        <w:rPr>
          <w:rFonts w:ascii="仿宋_GB2312" w:hAnsi="仿宋_GB2312"/>
          <w:color w:val="000000"/>
          <w:sz w:val="32"/>
        </w:rPr>
        <w:t>应答：满足。系统具备快速响应机制，收到风险信息后可在1个工作日内启动核查确认流程。我们将立即提供临时处置建议，并在确认受影响后迅速启动应急预案，安排专业工程师现场进行影响情况分析。同时，二线专家将全程提供技术支持，确保问题及时解决。所有分析处置过程将严格遵循甲方的网络安全管理要求，确保合规性与安全性。</w:t>
      </w:r>
    </w:p>
    <w:p w14:paraId="1FC4547C">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乙方</w:t>
      </w:r>
      <w:r>
        <w:rPr>
          <w:rFonts w:hint="eastAsia" w:ascii="仿宋_GB2312" w:hAnsi="仿宋" w:eastAsia="仿宋_GB2312"/>
          <w:sz w:val="32"/>
          <w:szCs w:val="32"/>
        </w:rPr>
        <w:t>对</w:t>
      </w:r>
      <w:r>
        <w:rPr>
          <w:rFonts w:ascii="仿宋_GB2312" w:hAnsi="仿宋" w:eastAsia="仿宋_GB2312"/>
          <w:sz w:val="32"/>
          <w:szCs w:val="32"/>
        </w:rPr>
        <w:t>提供的产品或服务</w:t>
      </w:r>
      <w:r>
        <w:rPr>
          <w:rFonts w:hint="eastAsia" w:ascii="仿宋_GB2312" w:hAnsi="仿宋" w:eastAsia="仿宋_GB2312"/>
          <w:sz w:val="32"/>
          <w:szCs w:val="32"/>
        </w:rPr>
        <w:t>进行新版本发布、算法规则更新或防护策略优化时，须于5个工作日内告知甲方，并提供相应升级、更新和优化等技术支持服务。</w:t>
      </w:r>
    </w:p>
    <w:p>
      <w:pPr>
        <w:shd w:val="clear" w:color="auto" w:fill="D9D9D9"/>
      </w:pPr>
      <w:r>
        <w:rPr>
          <w:rFonts w:ascii="仿宋_GB2312" w:hAnsi="仿宋_GB2312"/>
          <w:color w:val="000000"/>
          <w:sz w:val="32"/>
        </w:rPr>
        <w:t>应答：满足。系统在新版本发布、算法规则更新或防护策略优化时，能够在5个工作日内主动通知甲方，并提供详细的升级和更新文档。同时，我方将安排专业技术团队提供相应的技术支持服务，确保甲方在使用过程中无缝过渡，保障系统的稳定性和安全性。</w:t>
      </w:r>
    </w:p>
    <w:bookmarkEnd w:id="5"/>
    <w:p w14:paraId="26FCC7CA">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10</w:t>
      </w:r>
      <w:r>
        <w:rPr>
          <w:rFonts w:hint="eastAsia" w:ascii="仿宋_GB2312" w:hAnsi="仿宋" w:eastAsia="仿宋_GB2312"/>
          <w:sz w:val="32"/>
          <w:szCs w:val="32"/>
        </w:rPr>
        <w:t xml:space="preserve"> 乙方须配合甲方进行安全审查，在服务期内不得中止、拖延、终止提供安全维护。</w:t>
      </w:r>
    </w:p>
    <w:p>
      <w:pPr>
        <w:shd w:val="clear" w:color="auto" w:fill="D9D9D9"/>
      </w:pPr>
      <w:r>
        <w:rPr>
          <w:rFonts w:ascii="仿宋_GB2312" w:hAnsi="仿宋_GB2312"/>
          <w:color w:val="000000"/>
          <w:sz w:val="32"/>
        </w:rPr>
        <w:t>应答：满足。系统将严格遵循安全审查要求，确保在服务期内持续提供安全维护服务。我方承诺不中止、拖延或终止安全维护，并将定期与甲方沟通，及时响应安全审查需求，确保系统安全性和稳定性。</w:t>
      </w:r>
    </w:p>
    <w:p w14:paraId="4A89641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涉及软件升级的，乙方须配合甲方审查，以证明开发和采购符合安全要求，保证产品和服务在实施后能够按照预期的方式和环境使用。</w:t>
      </w:r>
    </w:p>
    <w:p>
      <w:pPr>
        <w:shd w:val="clear" w:color="auto" w:fill="D9D9D9"/>
      </w:pPr>
      <w:r>
        <w:rPr>
          <w:rFonts w:ascii="仿宋_GB2312" w:hAnsi="仿宋_GB2312"/>
          <w:color w:val="000000"/>
          <w:sz w:val="32"/>
        </w:rPr>
        <w:t>应答：满足。系统将提供全面的软件升级支持，确保所有升级版本经过严格的安全审查流程，符合甲方的安全要求。我们将提供详细的升级文档和测试报告，确保产品和服务在实施后能够在预期的环境中稳定运行，满足业务需求。</w:t>
      </w:r>
    </w:p>
    <w:p w14:paraId="13D128F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2</w:t>
      </w:r>
      <w:r>
        <w:rPr>
          <w:rFonts w:hint="eastAsia" w:ascii="仿宋_GB2312" w:hAnsi="仿宋" w:eastAsia="仿宋_GB2312"/>
          <w:sz w:val="32"/>
          <w:szCs w:val="32"/>
        </w:rPr>
        <w:t xml:space="preserve"> 乙方所采取的安全控制措施应与甲方信息系统的安全等级保持一致。</w:t>
      </w:r>
    </w:p>
    <w:p>
      <w:pPr>
        <w:shd w:val="clear" w:color="auto" w:fill="D9D9D9"/>
      </w:pPr>
      <w:r>
        <w:rPr>
          <w:rFonts w:ascii="仿宋_GB2312" w:hAnsi="仿宋_GB2312"/>
          <w:color w:val="000000"/>
          <w:sz w:val="32"/>
        </w:rPr>
        <w:t>应答：满足。系统采用与甲方信息系统相匹配的安全控制措施，遵循国家信息安全等级保护标准，实施多层次的安全防护机制，包括身份认证、访问控制、数据加密和日志审计等，确保信息系统的安全性和稳定性。</w:t>
      </w:r>
    </w:p>
    <w:p w14:paraId="5A1E1D98">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3</w:t>
      </w:r>
      <w:r>
        <w:rPr>
          <w:rFonts w:hint="eastAsia" w:ascii="仿宋_GB2312" w:hAnsi="仿宋" w:eastAsia="仿宋_GB2312"/>
          <w:sz w:val="32"/>
          <w:szCs w:val="32"/>
        </w:rPr>
        <w:t xml:space="preserve"> 其他安全要求</w:t>
      </w:r>
    </w:p>
    <w:p>
      <w:pPr>
        <w:shd w:val="clear" w:color="auto" w:fill="D9D9D9"/>
      </w:pPr>
      <w:r>
        <w:rPr>
          <w:rFonts w:ascii="仿宋_GB2312" w:hAnsi="仿宋_GB2312"/>
          <w:color w:val="000000"/>
          <w:sz w:val="32"/>
        </w:rPr>
        <w:t>应答：满足。系统支持多层次安全机制，包括身份验证、权限控制和数据加密，确保用户数据和操作的安全性。采用行业标准的加密算法，如AES-256，保障数据在传输和存储过程中的安全。同时，系统具备日志审计功能，记录用户操作和系统事件，便于安全监控和问题追溯。</w:t>
      </w:r>
    </w:p>
    <w:p w14:paraId="605BF9F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（1）乙方有义务严守甲方及甲方的商业秘密、国家秘密、内部资料和信息，不以任何的形式将甲方数据资料等带出工作现场。</w:t>
      </w:r>
    </w:p>
    <w:p>
      <w:pPr>
        <w:shd w:val="clear" w:color="auto" w:fill="D9D9D9"/>
      </w:pPr>
      <w:r>
        <w:rPr>
          <w:rFonts w:ascii="仿宋_GB2312" w:hAnsi="仿宋_GB2312"/>
          <w:color w:val="000000"/>
          <w:sz w:val="32"/>
        </w:rPr>
        <w:t>应答：满足。我方将严格遵循甲方的保密要求，建立完善的内部管理制度，确保甲方的商业秘密、国家秘密及内部资料不被泄露。所有相关数据资料均在工作现场进行处理，不会以任何形式带出，确保信息安全和合规性。</w:t>
      </w:r>
    </w:p>
    <w:p w14:paraId="4391B97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（2）乙方在服务过程中如果对甲方运行正常的硬件或软件因误操作造成损坏，乙方应负责修复或更换，确保甲方的正常使用并赔偿甲方的损失。</w:t>
      </w:r>
    </w:p>
    <w:p>
      <w:pPr>
        <w:shd w:val="clear" w:color="auto" w:fill="D9D9D9"/>
      </w:pPr>
      <w:r>
        <w:rPr>
          <w:rFonts w:ascii="仿宋_GB2312" w:hAnsi="仿宋_GB2312"/>
          <w:color w:val="000000"/>
          <w:sz w:val="32"/>
        </w:rPr>
        <w:t>应答：满足。系统设有完善的操作规范和监控机制，确保乙方在服务过程中严格遵循操作流程，减少误操作风险。如因误操作导致甲方正常运行的硬件或软件损坏，乙方将承担修复或更换的责任，并对甲方因此产生的损失进行赔偿，以保障甲方的正常使用。</w:t>
      </w:r>
    </w:p>
    <w:p w14:paraId="48842B25">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8</w:t>
      </w:r>
      <w:r>
        <w:rPr>
          <w:rFonts w:hint="eastAsia" w:ascii="仿宋_GB2312" w:hAnsi="仿宋" w:eastAsia="仿宋_GB2312"/>
          <w:b/>
          <w:bCs/>
          <w:sz w:val="32"/>
          <w:szCs w:val="32"/>
        </w:rPr>
        <w:t>、知识产权及开源合规担保</w:t>
      </w:r>
    </w:p>
    <w:p>
      <w:pPr>
        <w:shd w:val="clear" w:color="auto" w:fill="D9D9D9"/>
      </w:pPr>
      <w:r>
        <w:rPr>
          <w:rFonts w:ascii="仿宋_GB2312" w:hAnsi="仿宋_GB2312"/>
          <w:b/>
          <w:color w:val="000000"/>
          <w:sz w:val="32"/>
        </w:rPr>
        <w:t>应答：满足。系统严格遵循知识产权及开源合规要求，确保所有使用的开源组件均符合相关许可证协议，并提供完整的合规性文档。我们建立了知识产权管理机制，定期进行合规审查，确保不侵犯第三方知识产权，保障客户的合法权益。</w:t>
      </w:r>
    </w:p>
    <w:p w14:paraId="11781764">
      <w:pPr>
        <w:spacing w:line="560" w:lineRule="exact"/>
        <w:ind w:firstLine="640" w:firstLineChars="200"/>
        <w:rPr>
          <w:rFonts w:ascii="仿宋_GB2312" w:hAnsi="仿宋" w:eastAsia="仿宋_GB2312"/>
          <w:kern w:val="0"/>
          <w:sz w:val="32"/>
          <w:szCs w:val="32"/>
        </w:rPr>
      </w:pPr>
      <w:r>
        <w:rPr>
          <w:rFonts w:hint="eastAsia" w:ascii="仿宋_GB2312" w:hAnsi="仿宋" w:eastAsia="仿宋_GB2312"/>
          <w:sz w:val="32"/>
          <w:szCs w:val="32"/>
          <w:lang w:val="en-US" w:eastAsia="zh-CN"/>
        </w:rPr>
        <w:t>8</w:t>
      </w:r>
      <w:r>
        <w:rPr>
          <w:rFonts w:hint="eastAsia" w:ascii="仿宋_GB2312" w:hAnsi="仿宋" w:eastAsia="仿宋_GB2312"/>
          <w:sz w:val="32"/>
          <w:szCs w:val="32"/>
        </w:rPr>
        <w:t xml:space="preserve">.1 </w:t>
      </w:r>
      <w:r>
        <w:rPr>
          <w:rFonts w:hint="eastAsia" w:ascii="仿宋_GB2312" w:hAnsi="仿宋" w:eastAsia="仿宋_GB2312"/>
          <w:kern w:val="0"/>
          <w:sz w:val="32"/>
          <w:szCs w:val="32"/>
        </w:rPr>
        <w:t>在不影响本合同其他条款有关知识产权许可及/或转让的约定的前提下，在本合同生效时已经存在并为各方合法拥有或使用的所有技术或资料、信息的知识产权和所有权，仍应属于其各自的原权利人所有或享有。</w:t>
      </w:r>
    </w:p>
    <w:p>
      <w:pPr>
        <w:shd w:val="clear" w:color="auto" w:fill="D9D9D9"/>
      </w:pPr>
      <w:r>
        <w:rPr>
          <w:rFonts w:ascii="仿宋_GB2312" w:hAnsi="仿宋_GB2312"/>
          <w:color w:val="000000"/>
          <w:sz w:val="32"/>
        </w:rPr>
        <w:t>应答：满足。系统在合同生效时，确保所有技术、资料及信息的知识产权和所有权归各自的原权利人所有。我方将严格遵循合同条款，确保不影响各方的知识产权许可及转让约定，维护原权利人的合法权益。</w:t>
      </w:r>
    </w:p>
    <w:p w14:paraId="47260EDA">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.2 乙方保证拥有由其提供给甲方的所有产品及知识产权的合法使用权，并且已获得许可甲方使用上述产品及知识产权的正当授权并有权将产品及知识产权许可以及相关材料授权/转让给甲方。甲方可独立对本合同项下产品进行后续开发，不受知识产权限制。乙方承诺并保证甲方除需承担本合同第5条的付款义务外无需支付任何其它的许可使用费，以非独家的、永久的、全球的、不可撤销的方式使用本合同项下标准版产品。</w:t>
      </w:r>
    </w:p>
    <w:p>
      <w:pPr>
        <w:shd w:val="clear" w:color="auto" w:fill="D9D9D9"/>
      </w:pPr>
      <w:r>
        <w:rPr>
          <w:rFonts w:ascii="仿宋_GB2312" w:hAnsi="仿宋_GB2312"/>
          <w:color w:val="000000"/>
          <w:sz w:val="32"/>
        </w:rPr>
        <w:t>应答：满足。我方保证拥有所有提供给甲方的产品及知识产权的合法使用权，并已获得甲方使用上述产品及知识产权的正当授权。系统设计确保甲方可独立进行后续开发，且不受知识产权限制。同时，我方承诺甲方在履行合同第5条的付款义务后，无需支付其他许可使用费，以非独家的、永久的、全球的、不可撤销的方式使用本合同项下的标准版产品。</w:t>
      </w:r>
    </w:p>
    <w:p w14:paraId="1A148B8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.3 乙方保证其提供的交付物、产品、服务等未侵犯第三人之著作权、商标权、专利权等知识产权，不会侵犯任何第三人的商业秘密或对任何第三人构成不正当竞争，如因此与第三人形成争议、诉讼或仲裁案件，由乙方承担全部责任，并负责赔偿甲方由此而遭受的全部损失</w:t>
      </w:r>
      <w:r>
        <w:rPr>
          <w:rStyle w:val="35"/>
          <w:rFonts w:hint="eastAsia" w:ascii="仿宋_GB2312" w:hAnsi="仿宋" w:eastAsia="仿宋_GB2312"/>
          <w:color w:val="000000"/>
          <w:kern w:val="0"/>
          <w:sz w:val="32"/>
          <w:szCs w:val="32"/>
          <w:u w:val="none"/>
        </w:rPr>
        <w:t>，</w:t>
      </w:r>
      <w:r>
        <w:rPr>
          <w:rStyle w:val="35"/>
          <w:rFonts w:hint="eastAsia" w:ascii="仿宋_GB2312" w:hAnsi="仿宋" w:eastAsia="仿宋_GB2312"/>
          <w:color w:val="000000"/>
          <w:sz w:val="32"/>
          <w:szCs w:val="32"/>
          <w:u w:val="none"/>
        </w:rPr>
        <w:t>包括但不限于索赔、罚款、诉讼费、保全费、律师费、鉴定费、执行费等一切费用</w:t>
      </w:r>
      <w:r>
        <w:rPr>
          <w:rFonts w:hint="eastAsia" w:ascii="仿宋_GB2312" w:hAnsi="仿宋" w:eastAsia="仿宋_GB2312"/>
          <w:kern w:val="0"/>
          <w:sz w:val="32"/>
          <w:szCs w:val="32"/>
        </w:rPr>
        <w:t xml:space="preserve">。同时乙方需采取必要措施避免或减少因上述侵权给甲方带来的直接和预期的损失，包括但不限于提供甲方继续使用本合同项下的产品而需取得的第三方授权、修改本合同项下产品或服务使其至少在功能上可以替代原技术、提供功能上相等的使甲方可以实现原合同目的的其他替代产品或服务，并承担因此而产生的所有的费用。 </w:t>
      </w:r>
    </w:p>
    <w:p>
      <w:pPr>
        <w:shd w:val="clear" w:color="auto" w:fill="D9D9D9"/>
      </w:pPr>
      <w:r>
        <w:rPr>
          <w:rFonts w:ascii="仿宋_GB2312" w:hAnsi="仿宋_GB2312"/>
          <w:color w:val="000000"/>
          <w:sz w:val="32"/>
        </w:rPr>
        <w:t>应答：满足。我方承诺提供的交付物、产品及服务均不侵犯任何第三方的知识产权，包括著作权、商标权及专利权等。我方将承担因侵权引发的所有责任，并负责赔偿甲方因此遭受的全部损失。同时，我方将采取必要措施，确保甲方在使用本合同项下产品时不受侵权影响，包括获取必要的第三方授权或提供功能上等效的替代产品，以确保甲方的合法权益不受损害。</w:t>
      </w:r>
    </w:p>
    <w:p w14:paraId="213974B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.4 对于乙方拥有的或者第三方已授予乙方分许可权的技术或相关信息的知识产权，乙方应授权甲方在实现合同目的所需的范围内使用。甲方对甲乙双方在本合同履行期间产生的成果（包括客户化开发所取得的全部工作成果以及实施过程中所产生的所有技术文件）拥有全部权利，包括知识产权、所有权及其他相应的权益。乙方不对本合同项下的成果具有任何知识产权和申请知识产权的权利，甲方享有署名权在内的全部知识产权及申请知识产权的权利。</w:t>
      </w:r>
    </w:p>
    <w:p>
      <w:pPr>
        <w:shd w:val="clear" w:color="auto" w:fill="D9D9D9"/>
      </w:pPr>
      <w:r>
        <w:rPr>
          <w:rFonts w:ascii="仿宋_GB2312" w:hAnsi="仿宋_GB2312"/>
          <w:color w:val="000000"/>
          <w:sz w:val="32"/>
        </w:rPr>
        <w:t>应答：满足。我方承诺在合同履行期间，所有由我方开发的技术成果及相关信息均将授权甲方在实现合同目的所需的范围内使用。同时，甲方将对合同履行过程中产生的所有成果，包括客户化开发和技术文件，享有全部知识产权及所有权。我方将确保不对上述成果主张任何知识产权，确保甲方的署名权及其他权益得到充分保障。</w:t>
      </w:r>
    </w:p>
    <w:p w14:paraId="343F4C93">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.5 任何一方不因本合同磋商、签订及履行而获得明示或暗示的使用对方（包括其子、分公司）的商标、商号、标识、标志或其他名称、或技术或业务的资料、信息、数据、文件、流程的权利，除非事先获得对方的特别书面授权。</w:t>
      </w:r>
    </w:p>
    <w:p>
      <w:pPr>
        <w:shd w:val="clear" w:color="auto" w:fill="D9D9D9"/>
      </w:pPr>
      <w:r>
        <w:rPr>
          <w:rFonts w:ascii="仿宋_GB2312" w:hAnsi="仿宋_GB2312"/>
          <w:color w:val="000000"/>
          <w:sz w:val="32"/>
        </w:rPr>
        <w:t>应答：满足。系统严格遵循合同条款，确保任何一方在合同磋商、签订及履行过程中，不会获得对方的商标、商号、标识等使用权。所有技术和业务资料、信息、数据、文件及流程的使用均需获得对方的特别书面授权，确保双方权益得到有效保护。</w:t>
      </w:r>
    </w:p>
    <w:p w14:paraId="2298912B">
      <w:pPr>
        <w:spacing w:line="560" w:lineRule="exact"/>
        <w:ind w:firstLine="640" w:firstLineChars="200"/>
        <w:rPr>
          <w:rFonts w:ascii="仿宋" w:hAnsi="仿宋" w:eastAsia="仿宋"/>
          <w:sz w:val="32"/>
          <w:szCs w:val="32"/>
        </w:rPr>
      </w:pPr>
      <w:bookmarkStart w:id="7" w:name="_Hlk199922558"/>
      <w:r>
        <w:rPr>
          <w:rFonts w:hint="eastAsia" w:ascii="仿宋" w:hAnsi="仿宋" w:eastAsia="仿宋"/>
          <w:sz w:val="32"/>
          <w:szCs w:val="32"/>
          <w:lang w:val="en-US" w:eastAsia="zh-CN"/>
        </w:rPr>
        <w:t>8</w:t>
      </w:r>
      <w:r>
        <w:rPr>
          <w:rFonts w:ascii="仿宋" w:hAnsi="仿宋" w:eastAsia="仿宋"/>
          <w:sz w:val="32"/>
          <w:szCs w:val="32"/>
        </w:rPr>
        <w:t>.6</w:t>
      </w:r>
      <w:r>
        <w:rPr>
          <w:rFonts w:hint="eastAsia" w:ascii="仿宋" w:hAnsi="仿宋" w:eastAsia="仿宋"/>
          <w:sz w:val="32"/>
          <w:szCs w:val="32"/>
        </w:rPr>
        <w:t>乙方保证依据本合同提供的交付物、产品、服务在引入开源软件之前已经进行过开源代码扫描及开源合规评估，并已按照开源软件许可证要求严格落实相关开源软件要求的合规义务。</w:t>
      </w:r>
    </w:p>
    <w:p>
      <w:pPr>
        <w:shd w:val="clear" w:color="auto" w:fill="D9D9D9"/>
      </w:pPr>
      <w:r>
        <w:rPr>
          <w:rFonts w:ascii="仿宋" w:hAnsi="仿宋"/>
          <w:color w:val="000000"/>
          <w:sz w:val="32"/>
        </w:rPr>
        <w:t>应答：满足。我方在交付物、产品和服务的开发过程中，严格遵循开源软件合规要求，已对引入的开源软件进行全面的代码扫描和合规评估。所有开源软件的使用均符合其许可证要求，确保合规义务得到有效落实，保障项目的合法性和安全性。</w:t>
      </w:r>
    </w:p>
    <w:p w14:paraId="5205DC5C">
      <w:pPr>
        <w:spacing w:line="560" w:lineRule="exact"/>
        <w:ind w:firstLine="640" w:firstLineChars="200"/>
        <w:rPr>
          <w:rFonts w:ascii="仿宋" w:hAnsi="仿宋" w:eastAsia="仿宋"/>
          <w:sz w:val="32"/>
          <w:szCs w:val="32"/>
        </w:rPr>
      </w:pPr>
      <w:r>
        <w:rPr>
          <w:rFonts w:hint="eastAsia" w:ascii="仿宋" w:hAnsi="仿宋" w:eastAsia="仿宋"/>
          <w:sz w:val="32"/>
          <w:szCs w:val="32"/>
          <w:lang w:val="en-US" w:eastAsia="zh-CN"/>
        </w:rPr>
        <w:t>8</w:t>
      </w:r>
      <w:r>
        <w:rPr>
          <w:rFonts w:ascii="仿宋" w:hAnsi="仿宋" w:eastAsia="仿宋"/>
          <w:sz w:val="32"/>
          <w:szCs w:val="32"/>
        </w:rPr>
        <w:t>.7 如甲方由于使用</w:t>
      </w:r>
      <w:r>
        <w:rPr>
          <w:rFonts w:hint="eastAsia" w:ascii="仿宋" w:hAnsi="仿宋" w:eastAsia="仿宋"/>
          <w:sz w:val="32"/>
          <w:szCs w:val="32"/>
        </w:rPr>
        <w:t>乙方提供的交付物、产品、服务</w:t>
      </w:r>
      <w:r>
        <w:rPr>
          <w:rFonts w:ascii="仿宋" w:hAnsi="仿宋" w:eastAsia="仿宋"/>
          <w:sz w:val="32"/>
          <w:szCs w:val="32"/>
        </w:rPr>
        <w:t>而陷入开源合规相关纠纷，将由乙方负责与开源软件权利方交涉，并由乙方承担可能发生的一切法律责任并承担甲方因此而遭受的一切经济损失和费用，包括但不限于索赔、罚款、诉讼费、保全费、律师费、鉴定费、执行费等一切费用。</w:t>
      </w:r>
    </w:p>
    <w:p>
      <w:pPr>
        <w:shd w:val="clear" w:color="auto" w:fill="D9D9D9"/>
      </w:pPr>
      <w:r>
        <w:rPr>
          <w:rFonts w:ascii="仿宋" w:hAnsi="仿宋"/>
          <w:color w:val="000000"/>
          <w:sz w:val="32"/>
        </w:rPr>
        <w:t>应答：满足。系统将确保所有交付物、产品和服务符合开源合规要求，乙方将负责与开源软件权利方进行必要的交涉，确保甲方不因使用乙方提供的内容而陷入任何开源合规相关纠纷。乙方承诺承担因此产生的所有法律责任及甲方遭受的经济损失，包括索赔、罚款、诉讼费等相关费用，确保甲方的合法权益得到充分保障。</w:t>
      </w:r>
    </w:p>
    <w:bookmarkEnd w:id="7"/>
    <w:p w14:paraId="29399F14">
      <w:pPr>
        <w:spacing w:line="560" w:lineRule="exact"/>
        <w:ind w:firstLine="640" w:firstLineChars="200"/>
        <w:rPr>
          <w:rFonts w:ascii="仿宋_GB2312" w:hAnsi="宋体" w:eastAsia="仿宋_GB2312"/>
          <w:sz w:val="32"/>
        </w:rPr>
      </w:pPr>
      <w:r>
        <w:rPr>
          <w:rFonts w:hint="eastAsia" w:ascii="仿宋_GB2312" w:hAnsi="宋体" w:eastAsia="仿宋_GB2312"/>
          <w:sz w:val="32"/>
          <w:lang w:val="en-US" w:eastAsia="zh-CN"/>
        </w:rPr>
        <w:t>8</w:t>
      </w:r>
      <w:r>
        <w:rPr>
          <w:rFonts w:ascii="仿宋_GB2312" w:hAnsi="宋体" w:eastAsia="仿宋_GB2312"/>
          <w:sz w:val="32"/>
        </w:rPr>
        <w:t xml:space="preserve">.8 </w:t>
      </w:r>
      <w:r>
        <w:rPr>
          <w:rFonts w:hint="eastAsia" w:ascii="仿宋_GB2312" w:hAnsi="宋体" w:eastAsia="仿宋_GB2312"/>
          <w:sz w:val="32"/>
        </w:rPr>
        <w:t>本条款约定的乙方所承担的知识产权瑕疵担保及开源合规担保责任不因合同解除或终止而丧失约束力。</w:t>
      </w:r>
    </w:p>
    <w:p>
      <w:pPr>
        <w:shd w:val="clear" w:color="auto" w:fill="D9D9D9"/>
      </w:pPr>
      <w:r>
        <w:rPr>
          <w:rFonts w:ascii="仿宋_GB2312" w:hAnsi="仿宋_GB2312"/>
          <w:color w:val="000000"/>
          <w:sz w:val="32"/>
        </w:rPr>
        <w:t>应答：满足。系统将严格遵循知识产权瑕疵担保及开源合规的相关法律法规，确保在合同解除或终止后，仍对所有知识产权瑕疵及开源合规问题承担相应责任，保障采购方的合法权益。我们将建立完善的合规审查机制，确保所有交付成果均符合相关知识产权要求。</w:t>
      </w:r>
    </w:p>
    <w:p w14:paraId="7B6970C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9</w:t>
      </w:r>
      <w:r>
        <w:rPr>
          <w:rFonts w:hint="eastAsia" w:ascii="仿宋_GB2312" w:hAnsi="仿宋" w:eastAsia="仿宋_GB2312"/>
          <w:b/>
          <w:bCs/>
          <w:sz w:val="32"/>
          <w:szCs w:val="32"/>
        </w:rPr>
        <w:t>、保密条款</w:t>
      </w:r>
    </w:p>
    <w:p w14:paraId="17195AAB">
      <w:pPr>
        <w:spacing w:line="560" w:lineRule="exact"/>
        <w:ind w:firstLine="640" w:firstLineChars="200"/>
        <w:rPr>
          <w:rFonts w:ascii="仿宋_GB2312" w:hAnsi="仿宋" w:eastAsia="仿宋_GB2312" w:cs="宋体"/>
          <w:color w:val="FF0000"/>
          <w:sz w:val="32"/>
          <w:szCs w:val="32"/>
        </w:rPr>
      </w:pPr>
      <w:bookmarkStart w:id="8" w:name="_Hlk63690078"/>
      <w:r>
        <w:rPr>
          <w:rFonts w:hint="eastAsia" w:ascii="仿宋_GB2312" w:hAnsi="仿宋" w:eastAsia="仿宋_GB2312" w:cs="宋体"/>
          <w:sz w:val="32"/>
          <w:szCs w:val="32"/>
        </w:rPr>
        <w:t>如需要，乙方应根据甲方的要求签署单独的保密协议，保密协议与本条款存在不一致的，以保密协议为准。</w:t>
      </w:r>
      <w:bookmarkEnd w:id="8"/>
    </w:p>
    <w:p>
      <w:pPr>
        <w:shd w:val="clear" w:color="auto" w:fill="D9D9D9"/>
      </w:pPr>
      <w:r>
        <w:rPr>
          <w:rFonts w:ascii="仿宋_GB2312" w:hAnsi="仿宋_GB2312"/>
          <w:color w:val="000000"/>
          <w:sz w:val="32"/>
        </w:rPr>
        <w:t>应答：满足。系统将根据甲方的要求，及时签署单独的保密协议，确保所有保密条款得到严格遵守。如保密协议与本条款存在不一致，我方将优先遵循保密协议的相关规定，以保障甲方的商业机密和敏感信息安全。</w:t>
      </w:r>
    </w:p>
    <w:p w14:paraId="42B7FEB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.1 凡甲方提供给乙方的任何商业信息或技术资料、数据或信息，除非有证据证明在提供时已为公知信息的外，均构成甲方的保密信息。乙方同意，甲方的保密信息包括但不限于：所有与甲方业务相关的信息，包括但不限于技术、财务、统计、客户、商业和人员等所有文件、数据、资料或口头披露的相关信息以及由本项目实施而形成的所有文件、数据和资料等信息，乙方对所有上述信息均应承担保密义务。</w:t>
      </w:r>
    </w:p>
    <w:p>
      <w:pPr>
        <w:shd w:val="clear" w:color="auto" w:fill="D9D9D9"/>
      </w:pPr>
      <w:r>
        <w:rPr>
          <w:rFonts w:ascii="仿宋_GB2312" w:hAnsi="仿宋_GB2312"/>
          <w:color w:val="000000"/>
          <w:sz w:val="32"/>
        </w:rPr>
        <w:t>应答：满足。我方严格遵循保密协议，确保甲方提供的所有商业信息和技术资料得到妥善保护。系统具备完善的权限管理机制，确保只有授权人员可以访问保密信息。同时，所有数据传输均采用加密技术，防止信息泄露。我方承诺对甲方的保密信息承担严格的保密义务，确保信息安全及合规性。</w:t>
      </w:r>
    </w:p>
    <w:p w14:paraId="27B31C2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.2 从甲方处所获得之保密信息仅用于本合同项下双方的项目相关工作之用。除上述目的之外，乙方不得为自己之用途或任何目的而使用甲方向其披露的保密信息。</w:t>
      </w:r>
    </w:p>
    <w:p>
      <w:pPr>
        <w:shd w:val="clear" w:color="auto" w:fill="D9D9D9"/>
      </w:pPr>
      <w:r>
        <w:rPr>
          <w:rFonts w:ascii="仿宋_GB2312" w:hAnsi="仿宋_GB2312"/>
          <w:color w:val="000000"/>
          <w:sz w:val="32"/>
        </w:rPr>
        <w:t>应答：满足。系统将严格遵循保密协议，确保从甲方处获得的保密信息仅用于合同项下的项目相关工作。我们将实施数据访问控制和审计机制，确保乙方不得为自身用途或其他目的使用甲方披露的保密信息，确保信息安全和合规性。</w:t>
      </w:r>
    </w:p>
    <w:p w14:paraId="1D4BD91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3除与进行本合同项下相关工作且对乙方负有保密义务的乙方人员或对甲方负有保密义务的甲方人员外，乙方不得向任何第三方披露甲方向其提供的保密信息，甲方书面同意的除外。乙方的雇员、代理人、关联方违反保密义务的，由乙方承担违约责任。</w:t>
      </w:r>
    </w:p>
    <w:p>
      <w:pPr>
        <w:shd w:val="clear" w:color="auto" w:fill="D9D9D9"/>
      </w:pPr>
      <w:r>
        <w:rPr>
          <w:rFonts w:ascii="仿宋_GB2312" w:hAnsi="仿宋_GB2312"/>
          <w:color w:val="000000"/>
          <w:sz w:val="32"/>
        </w:rPr>
        <w:t>应答：满足。系统具备严格的权限管理和数据加密机制，确保所有保密信息仅限于授权人员访问。对于乙方的雇员、代理人及关联方，系统将实施审计跟踪，确保其遵守保密义务，并在违规时及时触发警报，确保乙方承担相应的违约责任。</w:t>
      </w:r>
    </w:p>
    <w:p w14:paraId="01D30CF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.4 乙方保证，为防止甲方的保密信息进入公知领域或被未经授权的人知悉，乙方将采取一切必要措施以防止该信息的披露或使用。乙方同意，一旦发现任何对该保密信息的滥用或窃用情况，须以书面形式立即通知甲方，并按甲方要求采取一切必要措施防止该保密信息的进一步泄露、扩散。</w:t>
      </w:r>
    </w:p>
    <w:p>
      <w:pPr>
        <w:shd w:val="clear" w:color="auto" w:fill="D9D9D9"/>
      </w:pPr>
      <w:r>
        <w:rPr>
          <w:rFonts w:ascii="仿宋_GB2312" w:hAnsi="仿宋_GB2312"/>
          <w:color w:val="000000"/>
          <w:sz w:val="32"/>
        </w:rPr>
        <w:t>应答：满足。系统将实施严格的保密管理措施，确保甲方的保密信息不被泄露或未经授权的人员知悉。我们将建立完善的信息安全管理制度，并定期进行风险评估。一旦发现任何滥用或窃用情况，乙方将以书面形式立即通知甲方，并按照甲方的要求采取必要措施，确保保密信息的安全。</w:t>
      </w:r>
    </w:p>
    <w:p w14:paraId="18A409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.5 未经甲方的书面同意，乙方不得对任何甲方的保密信息进行复制或以其他方式保存。并且，在甲方提出要求或在双方的业务关系终止时，乙方应立即向甲方归还所有保密信息及其副本、以及所有包含该保密信息全部载体，或者出具加盖乙方公章的已销毁甲方保密信息的书面声明，但双方另有约定的除外。</w:t>
      </w:r>
    </w:p>
    <w:p>
      <w:pPr>
        <w:shd w:val="clear" w:color="auto" w:fill="D9D9D9"/>
      </w:pPr>
      <w:r>
        <w:rPr>
          <w:rFonts w:ascii="仿宋_GB2312" w:hAnsi="仿宋_GB2312"/>
          <w:color w:val="000000"/>
          <w:sz w:val="32"/>
        </w:rPr>
        <w:t>应答：满足。系统严格遵循甲方的保密协议，确保未经甲方书面同意，乙方不得复制或保存任何保密信息。在甲方提出要求或业务关系终止时，系统将自动提示乙方归还所有保密信息及其副本，或生成加盖乙方公章的销毁声明，以确保信息安全和合规性。</w:t>
      </w:r>
    </w:p>
    <w:p w14:paraId="6813744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.6 除非甲方特别声明，乙方在合同终止后仍须承担保密义务，直至甲方宣布解密或者保密信息事实上已经公开。</w:t>
      </w:r>
    </w:p>
    <w:p>
      <w:pPr>
        <w:shd w:val="clear" w:color="auto" w:fill="D9D9D9"/>
      </w:pPr>
      <w:r>
        <w:rPr>
          <w:rFonts w:ascii="仿宋_GB2312" w:hAnsi="仿宋_GB2312"/>
          <w:color w:val="000000"/>
          <w:sz w:val="32"/>
        </w:rPr>
        <w:t>应答：满足。系统将严格遵循甲方的保密要求，确保在合同终止后，乙方仍将承担相应的保密义务，直至甲方正式宣布解密或保密信息已公开。我们将建立完善的保密管理机制，确保所有保密信息得到妥善处理和存储，防止信息泄露，维护甲方的合法权益。</w:t>
      </w:r>
    </w:p>
    <w:p w14:paraId="4D5FECF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.7 上述保密条款不适用于下列任何信息：</w:t>
      </w:r>
    </w:p>
    <w:p>
      <w:pPr>
        <w:shd w:val="clear" w:color="auto" w:fill="D9D9D9"/>
      </w:pPr>
      <w:r>
        <w:rPr>
          <w:rFonts w:ascii="仿宋_GB2312" w:hAnsi="仿宋_GB2312"/>
          <w:color w:val="000000"/>
          <w:sz w:val="32"/>
        </w:rPr>
        <w:t>应答：满足。系统支持对保密条款的灵活管理，能够根据具体需求对信息进行分类和标记，确保不适用保密条款的信息能够被有效识别和处理。同时，系统提供权限控制功能，确保只有授权用户才能访问相关信息，增强数据安全性。</w:t>
      </w:r>
    </w:p>
    <w:p w14:paraId="74132D53">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（1）在乙方无过错的情况下为公众所知的信息；</w:t>
      </w:r>
    </w:p>
    <w:p w14:paraId="1EBEC8AF">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（2）由乙方在披露前或未依靠所披露的信息自行开发的信息；</w:t>
      </w:r>
    </w:p>
    <w:p w14:paraId="18259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（3）乙方根据法律法规的规定，或应有管辖权的司法、行政机关的要求而披露的信息，乙方在披露该等信息前应及时通知甲方，从而使甲方得以采取适当的保护措施；</w:t>
      </w:r>
    </w:p>
    <w:p>
      <w:pPr>
        <w:shd w:val="clear" w:color="auto" w:fill="D9D9D9"/>
      </w:pPr>
      <w:r>
        <w:rPr>
          <w:rFonts w:ascii="仿宋_GB2312" w:hAnsi="仿宋_GB2312"/>
          <w:color w:val="000000"/>
          <w:sz w:val="32"/>
        </w:rPr>
        <w:t>应答：满足。系统具备信息披露管理功能，能够在法律法规或司法、行政机关要求下，及时识别需要披露的信息。在披露前，系统将自动生成通知机制，确保甲方能够及时接收到相关信息，从而采取适当的保护措施，保障甲方的合法权益。</w:t>
      </w:r>
    </w:p>
    <w:p w14:paraId="75B9D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（4）乙方在事先征得甲方书面同意的情况下披露的信息。</w:t>
      </w:r>
    </w:p>
    <w:p w14:paraId="7615445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 xml:space="preserve"> 除本合同另有明确约定外，未经甲方事先书面同意，乙方不得将与甲方的洽谈合作中的任何谈判内容等信息向任何第三方披露，也无权将甲方的名称、商号、商标及其他名称、标记用作广告宣传或对任何第三方公开。</w:t>
      </w:r>
    </w:p>
    <w:p>
      <w:pPr>
        <w:shd w:val="clear" w:color="auto" w:fill="D9D9D9"/>
      </w:pPr>
      <w:r>
        <w:rPr>
          <w:rFonts w:ascii="仿宋_GB2312" w:hAnsi="仿宋_GB2312"/>
          <w:color w:val="000000"/>
          <w:sz w:val="32"/>
        </w:rPr>
        <w:t>应答：满足。系统支持严格的信息保密管理，确保所有与甲方的洽谈合作内容在未经甲方书面同意的情况下不被披露。我们将对甲方的名称、商号、商标及其他标记进行严格保护，禁止用于任何广告宣传或对第三方公开，确保合规性与信息安全。</w:t>
      </w:r>
    </w:p>
    <w:p w14:paraId="28EB5D2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10</w:t>
      </w:r>
      <w:r>
        <w:rPr>
          <w:rFonts w:hint="eastAsia" w:ascii="仿宋_GB2312" w:hAnsi="仿宋" w:eastAsia="仿宋_GB2312"/>
          <w:b/>
          <w:bCs/>
          <w:sz w:val="32"/>
          <w:szCs w:val="32"/>
        </w:rPr>
        <w:t>、违约责任</w:t>
      </w:r>
    </w:p>
    <w:p w14:paraId="7BB0B050">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1乙方违反合同约定给甲方造成损失的，乙方应对甲方的损失予以赔偿，赔偿范围包括：（1）甲方直接经济损失、（2）甲方的可预期收益的损失、以及（3）甲方为维护合法权益所支出的全部费用，包括但不限于诉讼费、保全费、律师费、执行费、评估费、鉴证费等一切费用。</w:t>
      </w:r>
      <w:bookmarkStart w:id="9" w:name="_Hlk66968914"/>
      <w:r>
        <w:rPr>
          <w:rFonts w:hint="eastAsia" w:ascii="仿宋_GB2312" w:hAnsi="仿宋" w:eastAsia="仿宋_GB2312"/>
          <w:sz w:val="32"/>
          <w:szCs w:val="32"/>
        </w:rPr>
        <w:t>无论乙方的违约行为是否给甲方造成损失，乙方均需按照本合同第</w:t>
      </w:r>
      <w:r>
        <w:rPr>
          <w:rFonts w:hint="eastAsia" w:ascii="仿宋_GB2312" w:hAnsi="仿宋" w:eastAsia="仿宋_GB2312"/>
          <w:sz w:val="32"/>
          <w:szCs w:val="32"/>
          <w:lang w:val="en-US" w:eastAsia="zh-CN"/>
        </w:rPr>
        <w:t>10</w:t>
      </w:r>
      <w:r>
        <w:rPr>
          <w:rFonts w:hint="eastAsia" w:ascii="仿宋_GB2312" w:hAnsi="仿宋" w:eastAsia="仿宋_GB2312"/>
          <w:sz w:val="32"/>
          <w:szCs w:val="32"/>
        </w:rPr>
        <w:t>条相关约定向甲方另行支付违约金。</w:t>
      </w:r>
    </w:p>
    <w:p>
      <w:pPr>
        <w:shd w:val="clear" w:color="auto" w:fill="D9D9D9"/>
      </w:pPr>
      <w:r>
        <w:rPr>
          <w:rFonts w:ascii="仿宋_GB2312" w:hAnsi="仿宋_GB2312"/>
          <w:color w:val="000000"/>
          <w:sz w:val="32"/>
        </w:rPr>
        <w:t>应答：满足。我方承诺严格遵守合同约定，确保甲方的合法权益不受损害。如因我方违约导致甲方直接经济损失、可预期收益损失或为维护合法权益所支出的费用，我方将承担相应的赔偿责任，包括但不限于诉讼费、保全费、律师费等。同时，我方将按照合同第10条的相关规定，及时支付违约金，以体现我方对合同的重视和对甲方的负责态度。</w:t>
      </w:r>
    </w:p>
    <w:bookmarkEnd w:id="9"/>
    <w:p w14:paraId="4468ECF7">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乙方未按</w:t>
      </w:r>
      <w:r>
        <w:rPr>
          <w:rStyle w:val="35"/>
          <w:rFonts w:hint="eastAsia" w:ascii="仿宋_GB2312" w:hAnsi="仿宋" w:eastAsia="仿宋_GB2312"/>
          <w:color w:val="000000"/>
          <w:sz w:val="32"/>
          <w:szCs w:val="32"/>
          <w:u w:val="none"/>
        </w:rPr>
        <w:t>本</w:t>
      </w:r>
      <w:r>
        <w:rPr>
          <w:rFonts w:hint="eastAsia" w:ascii="仿宋_GB2312" w:hAnsi="仿宋" w:eastAsia="仿宋_GB2312"/>
          <w:sz w:val="32"/>
          <w:szCs w:val="32"/>
        </w:rPr>
        <w:t>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定的服务地点及时限向甲方或其用户提供服务或交付产品（包括未按照附件约定提供相关服务），以日计算履行期限的，乙方应当自双方约定的履行期限届满之日起每日向甲方支付不低于合同总金额的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‰的违约金，直至提供符合本合同约定的服务为止；以小时计算履行期限的，乙方应当自双方约定的履行期限届满之时起每【1】小时向甲方支付不低于合同总金额的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‰的违约金，直至提供符合本合同约定的服务为止。当</w:t>
      </w:r>
      <w:r>
        <w:rPr>
          <w:rStyle w:val="35"/>
          <w:rFonts w:hint="eastAsia" w:ascii="仿宋_GB2312" w:hAnsi="仿宋" w:eastAsia="仿宋_GB2312"/>
          <w:color w:val="000000"/>
          <w:sz w:val="32"/>
          <w:szCs w:val="32"/>
          <w:u w:val="none"/>
        </w:rPr>
        <w:t>乙方需支付的违约金累计达到合同总金额的</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%时，甲方有权解除合同，并主张乙方支付合同总金额</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30</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%的违约金。此外，由此给甲方造成的一切损失由乙方负责承担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严格遵循合同约定，确保在指定服务地点和时限内提供高质量的服务和产品。若未能按时履行，我方承诺将按照合同条款支付违约金，确保违约金不低于合同总金额的3‰，并在违约金累计达到合同总金额的3%时，积极配合甲方解除合同并承担相应责任，确保甲方的合法权益得到保障。</w:t>
      </w:r>
    </w:p>
    <w:p w14:paraId="44BD51F1">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cs="Adobe 仿宋 Std R"/>
          <w:spacing w:val="-8"/>
          <w:position w:val="-4"/>
          <w:sz w:val="32"/>
          <w:szCs w:val="32"/>
        </w:rPr>
        <w:t>.</w:t>
      </w:r>
      <w:r>
        <w:rPr>
          <w:rFonts w:ascii="仿宋_GB2312" w:hAnsi="仿宋" w:eastAsia="仿宋_GB2312" w:cs="Adobe 仿宋 Std R"/>
          <w:spacing w:val="-8"/>
          <w:position w:val="-4"/>
          <w:sz w:val="32"/>
          <w:szCs w:val="32"/>
        </w:rPr>
        <w:t xml:space="preserve">3 </w:t>
      </w:r>
      <w:r>
        <w:rPr>
          <w:rFonts w:hint="eastAsia" w:ascii="仿宋_GB2312" w:hAnsi="仿宋" w:eastAsia="仿宋_GB2312" w:cs="Adobe 仿宋 Std R"/>
          <w:spacing w:val="-8"/>
          <w:position w:val="-4"/>
          <w:sz w:val="32"/>
          <w:szCs w:val="32"/>
        </w:rPr>
        <w:t>如果乙方提供服务或产品与合同约定不符的（包括未按照附件约定提供相关服务），根据甲方的催告或通知，乙方应自行纠正，直至提供的服务或产品符合合同约定。自甲方提出催告或通知起，以日计算履行期限的，乙方应每日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‰向甲方支付违约金，直至提供符合合同约定的服务为止；以小时计算履行期限的，乙方应每【1】小时按合同总金额的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‰向甲方支付违约金，直至提供符合本合同约定的服务为止。当乙方需支付的违约金累计达到合同总金额的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%时，甲方有权解除合同，并主张乙方向甲方支付违约金，违约金金额为合同总金额的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 xml:space="preserve">30 </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w:t>
      </w:r>
      <w:bookmarkStart w:id="10" w:name="_Hlk66968960"/>
      <w:r>
        <w:rPr>
          <w:rStyle w:val="35"/>
          <w:rFonts w:hint="eastAsia" w:ascii="仿宋_GB2312" w:hAnsi="仿宋" w:eastAsia="仿宋_GB2312"/>
          <w:color w:val="000000"/>
          <w:sz w:val="32"/>
          <w:szCs w:val="32"/>
          <w:u w:val="none"/>
        </w:rPr>
        <w:t>此外，由此给甲方造成的一切损失由乙方负责承担</w:t>
      </w:r>
      <w:r>
        <w:rPr>
          <w:rFonts w:hint="eastAsia" w:ascii="仿宋_GB2312" w:hAnsi="仿宋" w:eastAsia="仿宋_GB2312"/>
          <w:sz w:val="32"/>
          <w:szCs w:val="32"/>
        </w:rPr>
        <w:t>。</w:t>
      </w:r>
    </w:p>
    <w:p>
      <w:pPr>
        <w:shd w:val="clear" w:color="auto" w:fill="D9D9D9"/>
      </w:pPr>
      <w:r>
        <w:rPr>
          <w:rFonts w:ascii="仿宋_GB2312" w:hAnsi="仿宋_GB2312"/>
          <w:color w:val="000000"/>
          <w:sz w:val="32"/>
        </w:rPr>
        <w:t>应答：满足。我方承诺严格遵守合同约定，确保提供的服务和产品符合合同要求。如出现不符情况，我方将根据甲方的催告或通知，及时进行纠正，直至符合标准。同时，我方理解并接受违约责任条款，若未能按时履行，将按照合同约定支付相应的违约金，确保甲方的合法权益得到保障。我们将建立完善的内部管理机制，防止违约情况的发生。</w:t>
      </w:r>
    </w:p>
    <w:p w14:paraId="0375AEA7">
      <w:pPr>
        <w:adjustRightInd w:val="0"/>
        <w:snapToGrid w:val="0"/>
        <w:spacing w:line="560" w:lineRule="exact"/>
        <w:ind w:firstLine="640" w:firstLineChars="200"/>
        <w:rPr>
          <w:rFonts w:ascii="仿宋_GB2312" w:hAnsi="仿宋" w:eastAsia="仿宋_GB2312"/>
          <w:sz w:val="32"/>
        </w:rPr>
      </w:pPr>
      <w:r>
        <w:rPr>
          <w:rFonts w:hint="eastAsia" w:ascii="仿宋_GB2312" w:hAnsi="仿宋" w:eastAsia="仿宋_GB2312"/>
          <w:sz w:val="32"/>
          <w:szCs w:val="32"/>
          <w:lang w:val="en-US" w:eastAsia="zh-CN"/>
        </w:rPr>
        <w:t>10</w:t>
      </w:r>
      <w:r>
        <w:rPr>
          <w:rFonts w:ascii="仿宋_GB2312" w:hAnsi="仿宋" w:eastAsia="仿宋_GB2312"/>
          <w:sz w:val="32"/>
          <w:szCs w:val="32"/>
        </w:rPr>
        <w:t>.4</w:t>
      </w:r>
      <w:r>
        <w:rPr>
          <w:rFonts w:hint="eastAsia" w:ascii="仿宋_GB2312" w:hAnsi="仿宋" w:eastAsia="仿宋_GB2312"/>
          <w:sz w:val="32"/>
          <w:szCs w:val="36"/>
        </w:rPr>
        <w:t>乙方未按本合同约定的安全条款及时向甲方或其用户提供漏洞报送、风险处置和产品升级等服务时，乙方应当每次向甲方支付不低于合同总金额的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hint="eastAsia" w:ascii="仿宋_GB2312" w:hAnsi="仿宋" w:eastAsia="仿宋_GB2312"/>
          <w:sz w:val="32"/>
          <w:szCs w:val="36"/>
        </w:rPr>
        <w:t>‰的违约金。当乙方需支付的违约金累计达到合同总金额的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时，甲方有权解除合同，并主张乙方支付合同总金额</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30</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的违约金。此外，由此给甲方造成的一切损失由乙方承担。</w:t>
      </w:r>
    </w:p>
    <w:p>
      <w:pPr>
        <w:shd w:val="clear" w:color="auto" w:fill="D9D9D9"/>
      </w:pPr>
      <w:r>
        <w:rPr>
          <w:rFonts w:ascii="仿宋_GB2312" w:hAnsi="仿宋_GB2312"/>
          <w:color w:val="000000"/>
          <w:sz w:val="32"/>
        </w:rPr>
        <w:t>应答：满足。系统将严格遵循合同约定的安全条款，确保及时向甲方提供漏洞报送、风险处置和产品升级等服务。我们将建立完善的服务监控机制，确保在规定时间内完成相关服务，避免因违约而产生的经济损失。同时，针对可能的风险，我们将制定应急预案，确保及时响应，保障甲方的利益。</w:t>
      </w:r>
    </w:p>
    <w:bookmarkEnd w:id="10"/>
    <w:p w14:paraId="2C99AC73">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 xml:space="preserve">.5 </w:t>
      </w:r>
      <w:r>
        <w:rPr>
          <w:rFonts w:hint="eastAsia" w:ascii="仿宋_GB2312" w:hAnsi="仿宋" w:eastAsia="仿宋_GB2312"/>
          <w:sz w:val="32"/>
          <w:szCs w:val="32"/>
        </w:rPr>
        <w:t>乙方工作人员在服务</w:t>
      </w:r>
      <w:r>
        <w:rPr>
          <w:rFonts w:ascii="仿宋_GB2312" w:hAnsi="仿宋" w:eastAsia="仿宋_GB2312"/>
          <w:sz w:val="32"/>
          <w:szCs w:val="32"/>
        </w:rPr>
        <w:t>现场</w:t>
      </w:r>
      <w:r>
        <w:rPr>
          <w:rFonts w:hint="eastAsia" w:ascii="仿宋_GB2312" w:hAnsi="仿宋" w:eastAsia="仿宋_GB2312"/>
          <w:sz w:val="32"/>
          <w:szCs w:val="32"/>
        </w:rPr>
        <w:t>给甲方设施、材料或甲方客户、物品造成损坏的，由乙方承担赔偿责任。</w:t>
      </w:r>
    </w:p>
    <w:p>
      <w:pPr>
        <w:shd w:val="clear" w:color="auto" w:fill="D9D9D9"/>
      </w:pPr>
      <w:r>
        <w:rPr>
          <w:rFonts w:ascii="仿宋_GB2312" w:hAnsi="仿宋_GB2312"/>
          <w:color w:val="000000"/>
          <w:sz w:val="32"/>
        </w:rPr>
        <w:t>应答：满足。系统将严格遵循服务现场管理规范，确保乙方工作人员在服务过程中对甲方设施、材料及客户物品的安全负责。若发生任何损坏，乙方将承担相应的赔偿责任，并及时处理相关事宜，以维护甲方的合法权益。</w:t>
      </w:r>
    </w:p>
    <w:p w14:paraId="7698FA11">
      <w:pPr>
        <w:tabs>
          <w:tab w:val="right" w:pos="-36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Style w:val="35"/>
          <w:rFonts w:ascii="仿宋_GB2312" w:hAnsi="仿宋" w:eastAsia="仿宋_GB2312"/>
          <w:color w:val="000000"/>
          <w:sz w:val="32"/>
          <w:szCs w:val="32"/>
          <w:u w:val="none"/>
        </w:rPr>
        <w:t xml:space="preserve">.6 </w:t>
      </w:r>
      <w:r>
        <w:rPr>
          <w:rFonts w:hint="eastAsia" w:ascii="仿宋_GB2312" w:hAnsi="仿宋" w:eastAsia="仿宋_GB2312"/>
          <w:sz w:val="32"/>
          <w:szCs w:val="32"/>
        </w:rPr>
        <w:t>如果因乙方提供的服务或产品问题导致甲方使用该服务出现问题，影响甲方正常开展工作，甲方有权立即解除合同，不予支付后续款项，要求乙方立刻退还已支付的费用并赔偿由此造成的全部损失。</w:t>
      </w:r>
      <w:bookmarkStart w:id="11" w:name="_Hlk66564055"/>
    </w:p>
    <w:p>
      <w:pPr>
        <w:shd w:val="clear" w:color="auto" w:fill="D9D9D9"/>
      </w:pPr>
      <w:r>
        <w:rPr>
          <w:rFonts w:ascii="仿宋_GB2312" w:hAnsi="仿宋_GB2312"/>
          <w:color w:val="000000"/>
          <w:sz w:val="32"/>
        </w:rPr>
        <w:t>应答：满足。我方提供的服务和产品均经过严格的质量控制和测试，确保其稳定性和可靠性。若因我方服务或产品问题导致甲方工作受到影响，我方将积极配合甲方，及时处理并解决问题。同时，我方承诺在合同解除的情况下，及时退还已支付的费用，并承担由此产生的合理损失，确保甲方的合法权益得到保障。</w:t>
      </w:r>
    </w:p>
    <w:p w14:paraId="65BE4E1E">
      <w:pPr>
        <w:autoSpaceDE w:val="0"/>
        <w:autoSpaceDN w:val="0"/>
        <w:adjustRightInd w:val="0"/>
        <w:spacing w:line="560" w:lineRule="exact"/>
        <w:ind w:firstLine="640" w:firstLineChars="200"/>
        <w:rPr>
          <w:rFonts w:ascii="仿宋_GB2312" w:hAnsi="仿宋" w:eastAsia="仿宋_GB2312" w:cs="宋体"/>
          <w:spacing w:val="-8"/>
          <w:position w:val="-4"/>
          <w:sz w:val="32"/>
          <w:szCs w:val="32"/>
        </w:rPr>
      </w:pPr>
      <w:bookmarkStart w:id="12" w:name="_Hlk64625635"/>
      <w:r>
        <w:rPr>
          <w:rFonts w:hint="eastAsia" w:ascii="仿宋_GB2312" w:hAnsi="仿宋" w:eastAsia="仿宋_GB2312"/>
          <w:sz w:val="32"/>
          <w:szCs w:val="32"/>
          <w:lang w:val="en-US" w:eastAsia="zh-CN"/>
        </w:rPr>
        <w:t>10</w:t>
      </w: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w:t>
      </w:r>
      <w:r>
        <w:rPr>
          <w:rFonts w:hint="eastAsia" w:ascii="仿宋_GB2312" w:hAnsi="仿宋" w:eastAsia="仿宋_GB2312" w:cs="宋体"/>
          <w:spacing w:val="-8"/>
          <w:position w:val="-4"/>
          <w:sz w:val="32"/>
          <w:szCs w:val="32"/>
        </w:rPr>
        <w:t xml:space="preserve"> </w:t>
      </w:r>
      <w:r>
        <w:rPr>
          <w:rFonts w:hint="eastAsia" w:ascii="仿宋_GB2312" w:hAnsi="宋体" w:eastAsia="仿宋_GB2312" w:cs="Times New Roman"/>
          <w:sz w:val="32"/>
        </w:rPr>
        <w:t>乙方承诺不会通过本合同项下服务或通过其他方式获取甲方及其关联方以及甲方及其关联方用户的任何个人信息或其他数据。</w:t>
      </w:r>
      <w:r>
        <w:rPr>
          <w:rFonts w:hint="eastAsia" w:ascii="仿宋_GB2312" w:hAnsi="仿宋" w:eastAsia="仿宋_GB2312" w:cs="宋体"/>
          <w:spacing w:val="-8"/>
          <w:position w:val="-4"/>
          <w:sz w:val="32"/>
          <w:szCs w:val="32"/>
        </w:rPr>
        <w:t>如果甲方及其关联方以及甲方及其关联方的用户发现乙方通过后台性质的程序盗取、编辑、储存等方式非法收集、利用和篡改甲方及其关联方以及甲方及其关联方用户储存在本合同项下产品中的数据、信息，则构成乙方根本违约，甲方有权立即解除合同，乙方应全额退回甲方已经支付的合同款项，承担100%合同总金额的违约金，并应就由此导致的甲方及其关联方以及甲方及其关联方的用户的损失承担全部赔偿责任。</w:t>
      </w:r>
      <w:bookmarkEnd w:id="12"/>
    </w:p>
    <w:p>
      <w:pPr>
        <w:shd w:val="clear" w:color="auto" w:fill="D9D9D9"/>
      </w:pPr>
      <w:r>
        <w:rPr>
          <w:rFonts w:ascii="仿宋_GB2312" w:hAnsi="仿宋_GB2312"/>
          <w:color w:val="000000"/>
          <w:sz w:val="32"/>
        </w:rPr>
        <w:t>应答：满足。我方承诺在合同执行过程中严格遵循数据保护法律法规，确保不会通过任何方式非法获取甲方及其关联方及用户的个人信息或其他数据。系统设计中已内置多重安全机制，防止数据的盗取、编辑和篡改，确保数据的完整性与保密性。如发现任何违规行为，我方将承担相应的违约责任，并全额退还甲方已支付的合同款项，确保甲方的合法权益得到保障。</w:t>
      </w:r>
    </w:p>
    <w:p w14:paraId="53328AB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Adobe 仿宋 Std R"/>
          <w:spacing w:val="-8"/>
          <w:position w:val="-4"/>
          <w:sz w:val="32"/>
          <w:szCs w:val="32"/>
        </w:rPr>
        <w:t>10</w:t>
      </w:r>
      <w:r>
        <w:rPr>
          <w:rFonts w:ascii="仿宋_GB2312" w:hAnsi="仿宋" w:eastAsia="仿宋_GB2312" w:cs="宋体"/>
          <w:spacing w:val="-8"/>
          <w:position w:val="-4"/>
          <w:sz w:val="32"/>
          <w:szCs w:val="32"/>
        </w:rPr>
        <w:t>.</w:t>
      </w:r>
      <w:r>
        <w:rPr>
          <w:rFonts w:hint="eastAsia" w:ascii="仿宋_GB2312" w:hAnsi="仿宋" w:eastAsia="仿宋_GB2312" w:cs="宋体"/>
          <w:spacing w:val="-8"/>
          <w:position w:val="-4"/>
          <w:sz w:val="32"/>
          <w:szCs w:val="32"/>
          <w:lang w:val="en-US" w:eastAsia="zh-CN"/>
        </w:rPr>
        <w:t>8</w:t>
      </w:r>
      <w:r>
        <w:rPr>
          <w:rFonts w:ascii="仿宋_GB2312" w:hAnsi="仿宋" w:eastAsia="仿宋_GB2312" w:cs="宋体"/>
          <w:spacing w:val="-8"/>
          <w:position w:val="-4"/>
          <w:sz w:val="32"/>
          <w:szCs w:val="32"/>
        </w:rPr>
        <w:t xml:space="preserve"> </w:t>
      </w:r>
      <w:r>
        <w:rPr>
          <w:rFonts w:hint="eastAsia" w:ascii="仿宋_GB2312" w:hAnsi="仿宋" w:eastAsia="仿宋_GB2312" w:cs="宋体"/>
          <w:spacing w:val="-8"/>
          <w:position w:val="-4"/>
          <w:sz w:val="32"/>
          <w:szCs w:val="32"/>
        </w:rPr>
        <w:t>在服务使用期间</w:t>
      </w:r>
      <w:r>
        <w:rPr>
          <w:rFonts w:ascii="仿宋_GB2312" w:hAnsi="仿宋" w:eastAsia="仿宋_GB2312" w:cs="宋体"/>
          <w:spacing w:val="-8"/>
          <w:position w:val="-4"/>
          <w:sz w:val="32"/>
          <w:szCs w:val="32"/>
        </w:rPr>
        <w:t>,乙方负责</w:t>
      </w:r>
      <w:r>
        <w:rPr>
          <w:rFonts w:hint="eastAsia" w:ascii="仿宋_GB2312" w:hAnsi="仿宋" w:eastAsia="仿宋_GB2312" w:cs="宋体"/>
          <w:spacing w:val="-8"/>
          <w:position w:val="-4"/>
          <w:sz w:val="32"/>
          <w:szCs w:val="32"/>
        </w:rPr>
        <w:t>二次放号查询服务的维护工作，应尽量避免二次放号查询服务出现故障。乙方提供的二次放号查询服务出现非甲方端原因导致的故障，乙方应提供故障报告。甲方按照以下标准在支付费用时进行故障扣款：</w:t>
      </w:r>
    </w:p>
    <w:p>
      <w:pPr>
        <w:shd w:val="clear" w:color="auto" w:fill="D9D9D9"/>
      </w:pPr>
      <w:r>
        <w:rPr>
          <w:rFonts w:ascii="仿宋_GB2312" w:hAnsi="仿宋_GB2312"/>
          <w:color w:val="000000"/>
          <w:sz w:val="32"/>
        </w:rPr>
        <w:t>应答：满足。我方将提供全面的二次放号查询服务维护，确保系统稳定运行，最大限度减少故障发生。对于因非甲方端原因导致的故障，我方承诺及时提供详细的故障报告，内容包括故障原因、影响范围及解决方案。同时，我方将遵循甲方制定的故障扣款标准，确保费用透明和公正。</w:t>
      </w:r>
    </w:p>
    <w:p w14:paraId="5A68C1B2">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1）单次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30分钟减免该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10%。</w:t>
      </w:r>
    </w:p>
    <w:p>
      <w:pPr>
        <w:shd w:val="clear" w:color="auto" w:fill="D9D9D9"/>
      </w:pPr>
      <w:r>
        <w:rPr>
          <w:rFonts w:ascii="仿宋_GB2312" w:hAnsi="仿宋_GB2312"/>
          <w:color w:val="000000"/>
          <w:sz w:val="32"/>
        </w:rPr>
        <w:t>应答：满足。系统具备高可用性设计，采用冗余架构和自动故障转移机制，确保单次应用服务故障时间控制在30分钟以内。若发生不可用故障，我方承诺按照比选文件要求，减免该服务当月使用费的10%。</w:t>
      </w:r>
    </w:p>
    <w:p w14:paraId="3C0CE57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2）单次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1小时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20%。</w:t>
      </w:r>
    </w:p>
    <w:p>
      <w:pPr>
        <w:shd w:val="clear" w:color="auto" w:fill="D9D9D9"/>
      </w:pPr>
      <w:r>
        <w:rPr>
          <w:rFonts w:ascii="仿宋_GB2312" w:hAnsi="仿宋_GB2312"/>
          <w:color w:val="000000"/>
          <w:sz w:val="32"/>
        </w:rPr>
        <w:t>应答：满足。系统具备高可用性设计，确保单次应用服务故障恢复时间不超过1小时。若发生超过1小时的故障，我方将按照合同约定，减免该服务当月使用费的20%。我们承诺提供24/7的监控和快速响应机制，以保障服务的稳定性和可靠性。</w:t>
      </w:r>
    </w:p>
    <w:p w14:paraId="24B4803B">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3）单次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2小时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30%。</w:t>
      </w:r>
    </w:p>
    <w:p>
      <w:pPr>
        <w:shd w:val="clear" w:color="auto" w:fill="D9D9D9"/>
      </w:pPr>
      <w:r>
        <w:rPr>
          <w:rFonts w:ascii="仿宋_GB2312" w:hAnsi="仿宋_GB2312"/>
          <w:color w:val="000000"/>
          <w:sz w:val="32"/>
        </w:rPr>
        <w:t>应答：满足。系统具备高可用性设计，确保单次应用服务故障响应时间不超过2小时。若发生超过2小时的故障，我方将按照合同约定，自动减免该服务当月使用费的30%，以保障客户权益，体现我方对服务质量的承诺。</w:t>
      </w:r>
    </w:p>
    <w:p w14:paraId="5F8E4C2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4）单次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40%。</w:t>
      </w:r>
    </w:p>
    <w:p>
      <w:pPr>
        <w:shd w:val="clear" w:color="auto" w:fill="D9D9D9"/>
      </w:pPr>
      <w:r>
        <w:rPr>
          <w:rFonts w:ascii="仿宋_GB2312" w:hAnsi="仿宋_GB2312"/>
          <w:color w:val="000000"/>
          <w:sz w:val="32"/>
        </w:rPr>
        <w:t>应答：满足。系统具备高可用性设计，确保单次应用服务故障响应时间不超过3小时。若发生故障，我方将按照合同约定，自动减免该服务当月使用费的40%，以保障客户权益并提升服务满意度。</w:t>
      </w:r>
    </w:p>
    <w:p w14:paraId="5DAC0B1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5）单次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4小时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50%。</w:t>
      </w:r>
    </w:p>
    <w:p>
      <w:pPr>
        <w:shd w:val="clear" w:color="auto" w:fill="D9D9D9"/>
      </w:pPr>
      <w:r>
        <w:rPr>
          <w:rFonts w:ascii="仿宋_GB2312" w:hAnsi="仿宋_GB2312"/>
          <w:color w:val="000000"/>
          <w:sz w:val="32"/>
        </w:rPr>
        <w:t>应答：满足。系统具备高可用性设计，确保单次应用服务故障恢复时间不超过4小时。若发生故障，我方将按照约定减免该服务当月使用费的50%，并提供详细的故障报告及恢复措施，确保客户权益得到保障。</w:t>
      </w:r>
    </w:p>
    <w:p w14:paraId="6DDA076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6）单次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5小时</w:t>
      </w:r>
      <w:r>
        <w:rPr>
          <w:rFonts w:hint="eastAsia" w:ascii="仿宋_GB2312" w:hAnsi="仿宋" w:eastAsia="仿宋_GB2312" w:cs="宋体"/>
          <w:spacing w:val="-8"/>
          <w:position w:val="-4"/>
          <w:sz w:val="32"/>
          <w:szCs w:val="32"/>
        </w:rPr>
        <w:t>减免该服务当月使用费。</w:t>
      </w:r>
    </w:p>
    <w:p>
      <w:pPr>
        <w:shd w:val="clear" w:color="auto" w:fill="D9D9D9"/>
      </w:pPr>
      <w:r>
        <w:rPr>
          <w:rFonts w:ascii="仿宋_GB2312" w:hAnsi="仿宋_GB2312"/>
          <w:color w:val="000000"/>
          <w:sz w:val="32"/>
        </w:rPr>
        <w:t>应答：满足。系统具备高可用性设计，采用冗余架构和自动故障转移机制，确保单次应用服务故障时间控制在可接受范围内。若故障持续超过5小时，我方承诺根据比选文件要求，减免该服务当月使用费，确保客户权益得到保障。</w:t>
      </w:r>
    </w:p>
    <w:p w14:paraId="7A59C08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7）当月</w:t>
      </w:r>
      <w:r>
        <w:rPr>
          <w:rFonts w:hint="eastAsia" w:ascii="仿宋_GB2312" w:hAnsi="仿宋" w:eastAsia="仿宋_GB2312" w:cs="宋体"/>
          <w:spacing w:val="-8"/>
          <w:position w:val="-4"/>
          <w:sz w:val="32"/>
          <w:szCs w:val="32"/>
        </w:rPr>
        <w:t>应用服务故障累计不可用时间超过</w:t>
      </w:r>
      <w:r>
        <w:rPr>
          <w:rFonts w:ascii="仿宋_GB2312" w:hAnsi="仿宋" w:eastAsia="仿宋_GB2312" w:cs="宋体"/>
          <w:spacing w:val="-8"/>
          <w:position w:val="-4"/>
          <w:sz w:val="32"/>
          <w:szCs w:val="32"/>
        </w:rPr>
        <w:t>12小时减免该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25%。</w:t>
      </w:r>
    </w:p>
    <w:p>
      <w:pPr>
        <w:shd w:val="clear" w:color="auto" w:fill="D9D9D9"/>
      </w:pPr>
      <w:r>
        <w:rPr>
          <w:rFonts w:ascii="仿宋_GB2312" w:hAnsi="仿宋_GB2312"/>
          <w:color w:val="000000"/>
          <w:sz w:val="32"/>
        </w:rPr>
        <w:t>应答：满足。系统具备故障监测与报告功能，能够实时记录应用服务的可用性状态。当月应用服务故障累计不可用时间超过12小时时，系统将自动生成减免申请，并按照规定减免该服务当月使用费的25%。此机制确保用户权益，提升服务质量。</w:t>
      </w:r>
    </w:p>
    <w:p w14:paraId="4866C310">
      <w:pPr>
        <w:pStyle w:val="9"/>
        <w:spacing w:before="0" w:beforeAutospacing="0" w:after="0" w:afterAutospacing="0" w:line="560" w:lineRule="exact"/>
        <w:ind w:firstLine="640" w:firstLineChars="200"/>
        <w:rPr>
          <w:rFonts w:hint="eastAsia" w:ascii="仿宋_GB2312" w:hAnsi="仿宋" w:eastAsia="仿宋_GB2312"/>
          <w:sz w:val="32"/>
          <w:szCs w:val="36"/>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hint="default" w:ascii="仿宋_GB2312" w:hAnsi="仿宋" w:eastAsia="仿宋_GB2312"/>
          <w:sz w:val="32"/>
          <w:szCs w:val="32"/>
          <w:lang w:val="en-US" w:eastAsia="zh-CN"/>
        </w:rPr>
        <w:t>9</w:t>
      </w:r>
      <w:r>
        <w:rPr>
          <w:rFonts w:hint="eastAsia" w:ascii="仿宋_GB2312" w:hAnsi="仿宋" w:eastAsia="仿宋_GB2312"/>
          <w:sz w:val="32"/>
          <w:szCs w:val="32"/>
        </w:rPr>
        <w:t>乙方违反本合同约定的保密等其他义务或提供的服务</w:t>
      </w:r>
      <w:r>
        <w:rPr>
          <w:rFonts w:ascii="仿宋_GB2312" w:hAnsi="仿宋" w:eastAsia="仿宋_GB2312"/>
          <w:sz w:val="32"/>
          <w:szCs w:val="32"/>
        </w:rPr>
        <w:t>/产品给甲方造成重大声誉或经济损失</w:t>
      </w:r>
      <w:r>
        <w:rPr>
          <w:rFonts w:hint="eastAsia" w:ascii="仿宋_GB2312" w:hAnsi="仿宋" w:eastAsia="仿宋_GB2312"/>
          <w:sz w:val="32"/>
          <w:szCs w:val="32"/>
        </w:rPr>
        <w:t>的，甲方有权解除合同并主张乙方支付不低于合同总金额</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w:t>
      </w:r>
      <w:bookmarkStart w:id="13" w:name="_Hlk204693700"/>
      <w:r>
        <w:rPr>
          <w:rFonts w:hint="eastAsia" w:ascii="仿宋_GB2312" w:hAnsi="仿宋" w:eastAsia="仿宋_GB2312"/>
          <w:sz w:val="32"/>
          <w:szCs w:val="36"/>
        </w:rPr>
        <w:t>此外，由此给甲方造成的一切损失由乙方承担。</w:t>
      </w:r>
      <w:bookmarkEnd w:id="13"/>
    </w:p>
    <w:p>
      <w:pPr>
        <w:shd w:val="clear" w:color="auto" w:fill="D9D9D9"/>
      </w:pPr>
      <w:r>
        <w:rPr>
          <w:rFonts w:ascii="仿宋_GB2312" w:hAnsi="仿宋_GB2312"/>
          <w:color w:val="000000"/>
          <w:sz w:val="32"/>
        </w:rPr>
        <w:t>应答：满足。系统将严格遵循合同约定，确保保密义务的履行，避免因服务或产品问题给甲方造成声誉或经济损失。如发生违约，我方承诺承担不低于合同总金额30%的违约金，并对甲方因此产生的所有损失负责，确保甲方权益得到充分保障。</w:t>
      </w:r>
    </w:p>
    <w:p w14:paraId="3DFE669F">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.10</w:t>
      </w:r>
      <w:r>
        <w:rPr>
          <w:rFonts w:hint="eastAsia" w:ascii="仿宋_GB2312" w:hAnsi="仿宋" w:eastAsia="仿宋_GB2312"/>
          <w:sz w:val="32"/>
          <w:szCs w:val="32"/>
        </w:rPr>
        <w:t>甲方有权在付款时将违约金予以扣除。</w:t>
      </w:r>
    </w:p>
    <w:p>
      <w:pPr>
        <w:shd w:val="clear" w:color="auto" w:fill="D9D9D9"/>
      </w:pPr>
      <w:r>
        <w:rPr>
          <w:rFonts w:ascii="仿宋_GB2312" w:hAnsi="仿宋_GB2312"/>
          <w:color w:val="000000"/>
          <w:sz w:val="32"/>
        </w:rPr>
        <w:t>应答：满足。系统支持在付款流程中自动计算并扣除违约金，确保合同条款的合规执行。通过设置违约金参数，系统能够实时监控合同履行情况，并在付款时自动调整应付款项，确保甲方权益得到有效保障。</w:t>
      </w:r>
    </w:p>
    <w:p w14:paraId="47BC9825">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无正当理由的情况下，甲方逾期支付应付合同价款，经乙方书面催告后的合理期限内仍未支付的，应每日按逾期应付合同价款金额的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‰向乙方支付违约金，直至实际支付应付合同价款之日为止，甲方需支付的违约金最多不得超过逾期应付合同价款的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%；违约金达到合同总金额的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%时，乙方有权解除合同。</w:t>
      </w:r>
    </w:p>
    <w:p>
      <w:pPr>
        <w:shd w:val="clear" w:color="auto" w:fill="D9D9D9"/>
      </w:pPr>
      <w:r>
        <w:rPr>
          <w:rFonts w:ascii="仿宋_GB2312" w:hAnsi="仿宋_GB2312"/>
          <w:color w:val="000000"/>
          <w:sz w:val="32"/>
        </w:rPr>
        <w:t>应答：满足。系统支持合同管理模块，能够自动计算逾期支付的违约金，并根据合同条款设定的比例进行实时更新。系统将提供书面催告功能，确保在合理期限内进行催告记录，支持违约金的上限控制，确保不超过合同总金额的30%。同时，系统具备合同解除的自动提示功能，保障乙方的合法权益。</w:t>
      </w:r>
    </w:p>
    <w:p w14:paraId="50C7BD1F">
      <w:pPr>
        <w:tabs>
          <w:tab w:val="left" w:pos="1640"/>
        </w:tabs>
        <w:spacing w:line="560" w:lineRule="exact"/>
        <w:ind w:firstLine="640" w:firstLineChars="200"/>
        <w:rPr>
          <w:rFonts w:ascii="仿宋_GB2312" w:hAnsi="仿宋" w:eastAsia="仿宋_GB2312"/>
          <w:sz w:val="32"/>
          <w:szCs w:val="32"/>
        </w:rPr>
      </w:pPr>
      <w:bookmarkStart w:id="14" w:name="_Hlk66969051"/>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12</w:t>
      </w:r>
      <w:r>
        <w:rPr>
          <w:rFonts w:hint="eastAsia" w:ascii="仿宋_GB2312" w:hAnsi="仿宋" w:eastAsia="仿宋_GB2312"/>
          <w:sz w:val="32"/>
          <w:szCs w:val="32"/>
        </w:rPr>
        <w:t xml:space="preserve"> 在合同未解除的情况下，违约方承担违约责任并不免除其继续履行合同的义务。</w:t>
      </w:r>
      <w:bookmarkEnd w:id="14"/>
    </w:p>
    <w:p>
      <w:pPr>
        <w:shd w:val="clear" w:color="auto" w:fill="D9D9D9"/>
      </w:pPr>
      <w:r>
        <w:rPr>
          <w:rFonts w:ascii="仿宋_GB2312" w:hAnsi="仿宋_GB2312"/>
          <w:color w:val="000000"/>
          <w:sz w:val="32"/>
        </w:rPr>
        <w:t>应答：满足。系统支持合同管理模块，能够实时监控合同履行状态，确保违约方在合同未解除的情况下仍需履行合同义务。同时，系统提供违约责任追踪功能，确保相关责任能够被及时识别和处理，维护合同的有效性和合规性。</w:t>
      </w:r>
    </w:p>
    <w:bookmarkEnd w:id="11"/>
    <w:p w14:paraId="19AF4181">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1</w:t>
      </w:r>
      <w:r>
        <w:rPr>
          <w:rFonts w:hint="eastAsia" w:ascii="仿宋_GB2312" w:hAnsi="仿宋" w:eastAsia="仿宋_GB2312"/>
          <w:b/>
          <w:bCs/>
          <w:sz w:val="32"/>
          <w:szCs w:val="32"/>
        </w:rPr>
        <w:t>、不可抗力</w:t>
      </w:r>
    </w:p>
    <w:p w14:paraId="7370B346">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.1本条所述的“不可抗力”系指双方缔结合同时不能预见、不能克服或不能避免的客观情况，</w:t>
      </w:r>
      <w:bookmarkStart w:id="15" w:name="_Hlk204693722"/>
      <w:r>
        <w:rPr>
          <w:rFonts w:hint="eastAsia" w:ascii="仿宋_GB2312" w:hAnsi="仿宋" w:eastAsia="仿宋_GB2312" w:cs="宋体"/>
          <w:spacing w:val="-8"/>
          <w:position w:val="-4"/>
          <w:sz w:val="32"/>
          <w:szCs w:val="32"/>
        </w:rPr>
        <w:t>包括但不限于战争、严重火灾、洪水、台风、地震等情形，</w:t>
      </w:r>
      <w:bookmarkEnd w:id="15"/>
      <w:r>
        <w:rPr>
          <w:rFonts w:hint="eastAsia" w:ascii="仿宋_GB2312" w:hAnsi="仿宋" w:eastAsia="仿宋_GB2312" w:cs="宋体"/>
          <w:spacing w:val="-8"/>
          <w:position w:val="-4"/>
          <w:sz w:val="32"/>
          <w:szCs w:val="32"/>
        </w:rPr>
        <w:t>但不包括乙方的违约或疏忽。</w:t>
      </w:r>
    </w:p>
    <w:p>
      <w:pPr>
        <w:shd w:val="clear" w:color="auto" w:fill="D9D9D9"/>
      </w:pPr>
      <w:r>
        <w:rPr>
          <w:rFonts w:ascii="仿宋_GB2312" w:hAnsi="仿宋_GB2312"/>
          <w:color w:val="000000"/>
          <w:sz w:val="32"/>
        </w:rPr>
        <w:t>应答：满足。系统具备完善的不可抗力事件管理机制，能够实时监测和记录不可抗力事件的发生，包括但不限于自然灾害和社会动荡等情况。系统将自动生成事件报告，并提供应急响应方案，以确保在不可抗力事件发生时，业务连续性和数据安全得到有效保障。</w:t>
      </w:r>
    </w:p>
    <w:p w14:paraId="459A7439">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.2 如果出现不可抗力，双方在本合同中的义务在不可抗力影响范围及其持续期间将中止履行。经另一方确定的不可抗力影响时间，不计入本合同执行时间，本合同执行时间相应顺延。任何一方均不会因此而承担责任。但是，一方延迟履行本合同同时发生了不可抗力，延迟方的违约责任不能免除。</w:t>
      </w:r>
    </w:p>
    <w:p>
      <w:pPr>
        <w:shd w:val="clear" w:color="auto" w:fill="D9D9D9"/>
      </w:pPr>
      <w:r>
        <w:rPr>
          <w:rFonts w:ascii="仿宋_GB2312" w:hAnsi="仿宋_GB2312"/>
          <w:color w:val="000000"/>
          <w:sz w:val="32"/>
        </w:rPr>
        <w:t>应答：满足。系统支持在不可抗力情况下的合同履行管理，能够自动识别并记录不可抗力事件的发生时间及影响范围。合同执行时间将根据不可抗力影响进行相应的顺延，确保各方的权利与义务得到合理调整。同时，系统将明确记录延迟履行的情况，确保违约责任的透明化与合规性，维护合同的严肃性与有效性。</w:t>
      </w:r>
    </w:p>
    <w:p w14:paraId="516988D8">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.3 受不可抗力影响的一方，应当尽可能采取合理的行为和适当的措施减轻不可抗力对履行合同所造成的影响。没有采取合理的行为和适当的措施致使损失扩大的，该方不能就扩大损失的部分要求免责，仍需就扩大损失的部分承担赔偿责任。</w:t>
      </w:r>
    </w:p>
    <w:p>
      <w:pPr>
        <w:shd w:val="clear" w:color="auto" w:fill="D9D9D9"/>
      </w:pPr>
      <w:r>
        <w:rPr>
          <w:rFonts w:ascii="仿宋_GB2312" w:hAnsi="仿宋_GB2312"/>
          <w:color w:val="000000"/>
          <w:sz w:val="32"/>
        </w:rPr>
        <w:t>应答：满足。系统具备完善的风险管理机制，能够在不可抗力事件发生时，及时识别并评估影响，支持自动化的应急响应流程。通过数据分析和实时监控，系统将提供合理的行为建议，帮助用户采取适当措施以减轻损失。同时，系统记录所有应对措施的执行情况，确保在损失扩大时，能够明确责任，避免不必要的免责争议。</w:t>
      </w:r>
    </w:p>
    <w:p w14:paraId="58B3B403">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.4 受不可抗力影响的一方应在不可抗力发生后5个工作日内将不能履行合同的原因书面告知对方，并提供有效的证明文件。不可抗力影响结束后，受影响方应在5个工作日内书面通知对方。如果不可抗力影响超过30日，双方可以通过友好协商确定是否继续履行本合同或者解除本合同。</w:t>
      </w:r>
    </w:p>
    <w:p>
      <w:pPr>
        <w:shd w:val="clear" w:color="auto" w:fill="D9D9D9"/>
      </w:pPr>
      <w:r>
        <w:rPr>
          <w:rFonts w:ascii="仿宋_GB2312" w:hAnsi="仿宋_GB2312"/>
          <w:color w:val="000000"/>
          <w:sz w:val="32"/>
        </w:rPr>
        <w:t>应答：满足。系统支持自动化通知功能，能够在不可抗力事件发生后5个工作日内生成并发送书面通知，确保及时告知对方。同时，系统可记录不可抗力的相关证明文件，并在影响结束后自动提醒受影响方在5个工作日内进行书面通知。此外，系统提供友好协商模块，以便在不可抗力影响超过30日时，双方能够高效沟通，决定是否继续履行或解除合同。</w:t>
      </w:r>
    </w:p>
    <w:p w14:paraId="010DC65D">
      <w:pPr>
        <w:pStyle w:val="9"/>
        <w:spacing w:before="0" w:beforeAutospacing="0" w:after="0" w:afterAutospacing="0" w:line="560" w:lineRule="exact"/>
        <w:ind w:firstLine="640" w:firstLineChars="200"/>
        <w:jc w:val="both"/>
        <w:rPr>
          <w:rFonts w:ascii="仿宋_GB2312" w:hAnsi="仿宋" w:eastAsia="仿宋_GB2312"/>
          <w:b/>
          <w:bCs/>
          <w:sz w:val="32"/>
          <w:szCs w:val="32"/>
        </w:rPr>
      </w:pPr>
      <w:r>
        <w:rPr>
          <w:rFonts w:hint="eastAsia" w:ascii="仿宋_GB2312" w:hAnsi="仿宋" w:eastAsia="仿宋_GB2312"/>
          <w:sz w:val="32"/>
          <w:szCs w:val="32"/>
        </w:rPr>
        <w:t>1</w:t>
      </w:r>
      <w:r>
        <w:rPr>
          <w:rFonts w:hint="eastAsia" w:ascii="仿宋_GB2312" w:hAnsi="仿宋" w:eastAsia="仿宋_GB2312"/>
          <w:b/>
          <w:bCs/>
          <w:sz w:val="32"/>
          <w:szCs w:val="32"/>
          <w:lang w:val="en-US" w:eastAsia="zh-CN"/>
        </w:rPr>
        <w:t>2</w:t>
      </w:r>
      <w:r>
        <w:rPr>
          <w:rFonts w:hint="eastAsia" w:ascii="仿宋_GB2312" w:hAnsi="仿宋" w:eastAsia="仿宋_GB2312"/>
          <w:b/>
          <w:bCs/>
          <w:sz w:val="32"/>
          <w:szCs w:val="32"/>
        </w:rPr>
        <w:t>、 税费</w:t>
      </w:r>
    </w:p>
    <w:p w14:paraId="087F872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.1 中国政府根据现行税法对乙方征收的与本合同有关的一切税费均由乙方负担。在中国境外发生的与本合同执行有关的一切税费均由乙方负担。</w:t>
      </w:r>
    </w:p>
    <w:p>
      <w:pPr>
        <w:shd w:val="clear" w:color="auto" w:fill="D9D9D9"/>
      </w:pPr>
      <w:r>
        <w:rPr>
          <w:rFonts w:ascii="仿宋_GB2312" w:hAnsi="仿宋_GB2312"/>
          <w:color w:val="000000"/>
          <w:sz w:val="32"/>
        </w:rPr>
        <w:t>应答：满足。系统支持乙方全面承担与本合同相关的所有税费，包括中国政府根据现行税法征收的税费及在中国境外发生的相关税费，确保合同执行过程中的合规性和透明度。</w:t>
      </w:r>
    </w:p>
    <w:p w14:paraId="1F707A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.2 中国政府依据现行税法对甲方征收的与本合同有关的一切税费均由甲方负担。</w:t>
      </w:r>
    </w:p>
    <w:p>
      <w:pPr>
        <w:shd w:val="clear" w:color="auto" w:fill="D9D9D9"/>
      </w:pPr>
      <w:r>
        <w:rPr>
          <w:rFonts w:ascii="仿宋_GB2312" w:hAnsi="仿宋_GB2312"/>
          <w:color w:val="000000"/>
          <w:sz w:val="32"/>
        </w:rPr>
        <w:t>应答：满足。系统将严格遵循中国政府现行税法的相关规定，确保甲方承担与本合同相关的所有税费。我们将提供清晰的财务管理模块，帮助甲方实时监控和管理税务负担，确保合规性和透明度。</w:t>
      </w:r>
    </w:p>
    <w:p w14:paraId="391745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3</w:t>
      </w:r>
      <w:r>
        <w:rPr>
          <w:rFonts w:hint="eastAsia" w:ascii="仿宋_GB2312" w:hAnsi="仿宋" w:eastAsia="仿宋_GB2312"/>
          <w:b/>
          <w:bCs/>
          <w:sz w:val="32"/>
          <w:szCs w:val="32"/>
        </w:rPr>
        <w:t>、合同的转让</w:t>
      </w:r>
    </w:p>
    <w:p w14:paraId="08D85D9F">
      <w:pPr>
        <w:spacing w:line="560" w:lineRule="exact"/>
        <w:ind w:firstLine="640" w:firstLineChars="200"/>
        <w:rPr>
          <w:rFonts w:ascii="仿宋_GB2312" w:hAnsi="仿宋" w:eastAsia="仿宋_GB2312"/>
          <w:sz w:val="32"/>
          <w:szCs w:val="32"/>
        </w:rPr>
      </w:pPr>
      <w:bookmarkStart w:id="16" w:name="_Hlk66969821"/>
      <w:r>
        <w:rPr>
          <w:rFonts w:hint="eastAsia" w:ascii="仿宋_GB2312" w:hAnsi="仿宋" w:eastAsia="仿宋_GB2312"/>
          <w:sz w:val="32"/>
          <w:szCs w:val="32"/>
        </w:rPr>
        <w:t>未经甲方书面同意，乙方不得将其在本合同项下的全部或部分权利义务转让或分包给第三方。甲方有权根据需要通知乙方向甲方指定的第三方履行，或将甲方全部或部分权利转让给第三方。</w:t>
      </w:r>
    </w:p>
    <w:p>
      <w:pPr>
        <w:shd w:val="clear" w:color="auto" w:fill="D9D9D9"/>
      </w:pPr>
      <w:r>
        <w:rPr>
          <w:rFonts w:ascii="仿宋_GB2312" w:hAnsi="仿宋_GB2312"/>
          <w:color w:val="000000"/>
          <w:sz w:val="32"/>
        </w:rPr>
        <w:t>应答：满足。系统支持合同权利义务的严格管理，确保未经甲方书面同意，乙方不得将其在本合同项下的全部或部分权利义务转让或分包给第三方。同时，系统具备权限控制功能，确保甲方能够根据需要通知乙方履行合同，或将甲方的全部或部分权利转让给指定的第三方，保障合同的合规性与安全性。</w:t>
      </w:r>
    </w:p>
    <w:bookmarkEnd w:id="16"/>
    <w:p w14:paraId="1632C6D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4</w:t>
      </w:r>
      <w:r>
        <w:rPr>
          <w:rFonts w:hint="eastAsia" w:ascii="仿宋_GB2312" w:hAnsi="仿宋" w:eastAsia="仿宋_GB2312"/>
          <w:b/>
          <w:bCs/>
          <w:sz w:val="32"/>
          <w:szCs w:val="32"/>
        </w:rPr>
        <w:t>、合同的解除</w:t>
      </w:r>
    </w:p>
    <w:p w14:paraId="3502E2B9">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.1  甲乙双方协商一致，可以解除本合同。</w:t>
      </w:r>
    </w:p>
    <w:p>
      <w:pPr>
        <w:shd w:val="clear" w:color="auto" w:fill="D9D9D9"/>
      </w:pPr>
      <w:r>
        <w:rPr>
          <w:rFonts w:ascii="仿宋_GB2312" w:hAnsi="仿宋_GB2312"/>
          <w:color w:val="000000"/>
          <w:sz w:val="32"/>
        </w:rPr>
        <w:t>应答：满足。系统支持合同管理模块，允许甲乙双方通过系统界面进行合同的协商与解除操作，确保合同变更记录的完整性和可追溯性。同时，系统提供权限控制，确保只有授权用户可以进行合同解除操作，保障双方权益。</w:t>
      </w:r>
    </w:p>
    <w:p w14:paraId="4AC0AB0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.2  一方违约，致使另一方合同目的无法实现的，另一方可以解除本合同；合同的解除不影响合同中有关保密条款、违约责任承担、损害赔偿条款及争议解决条款的效力。</w:t>
      </w:r>
    </w:p>
    <w:p>
      <w:pPr>
        <w:shd w:val="clear" w:color="auto" w:fill="D9D9D9"/>
      </w:pPr>
      <w:r>
        <w:rPr>
          <w:rFonts w:ascii="仿宋_GB2312" w:hAnsi="仿宋_GB2312"/>
          <w:color w:val="000000"/>
          <w:sz w:val="32"/>
        </w:rPr>
        <w:t>应答：满足。系统支持合同管理功能，能够自动识别违约情形并生成相应的解除合同流程。同时，系统确保保密条款、违约责任、损害赔偿及争议解决条款在合同解除后依然有效，保障合同各方的合法权益。</w:t>
      </w:r>
    </w:p>
    <w:p w14:paraId="5C6DDA8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bookmarkStart w:id="17" w:name="_Hlk66976685"/>
      <w:r>
        <w:rPr>
          <w:rFonts w:hint="eastAsia" w:ascii="仿宋_GB2312" w:hAnsi="仿宋" w:eastAsia="仿宋_GB2312"/>
          <w:sz w:val="32"/>
          <w:szCs w:val="32"/>
        </w:rPr>
        <w:t>1</w:t>
      </w:r>
      <w:r>
        <w:rPr>
          <w:rFonts w:hint="eastAsia" w:ascii="仿宋_GB2312" w:hAnsi="仿宋" w:eastAsia="仿宋_GB2312"/>
          <w:sz w:val="32"/>
          <w:szCs w:val="32"/>
          <w:lang w:val="en-US" w:eastAsia="zh-CN"/>
        </w:rPr>
        <w:t>4</w:t>
      </w:r>
      <w:r>
        <w:rPr>
          <w:rFonts w:hint="eastAsia" w:ascii="仿宋_GB2312" w:hAnsi="仿宋" w:eastAsia="仿宋_GB2312"/>
          <w:sz w:val="32"/>
          <w:szCs w:val="32"/>
        </w:rPr>
        <w:t>.3 因不可抗力致使合同目的无法实现的，双方均有权解除合同。</w:t>
      </w:r>
    </w:p>
    <w:p>
      <w:pPr>
        <w:shd w:val="clear" w:color="auto" w:fill="D9D9D9"/>
      </w:pPr>
      <w:r>
        <w:rPr>
          <w:rFonts w:ascii="仿宋_GB2312" w:hAnsi="仿宋_GB2312"/>
          <w:color w:val="000000"/>
          <w:sz w:val="32"/>
        </w:rPr>
        <w:t>应答：满足。系统支持在不可抗力情况下的合同管理功能，能够自动识别并记录不可抗力事件，确保合同目的无法实现时，双方均可通过系统发起解除合同的申请。同时，系统提供相关文档上传和审批流程，确保解除合同的合规性和透明性。</w:t>
      </w:r>
    </w:p>
    <w:bookmarkEnd w:id="17"/>
    <w:p w14:paraId="7D651C3F">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.4</w:t>
      </w:r>
      <w:r>
        <w:rPr>
          <w:rStyle w:val="35"/>
          <w:rFonts w:ascii="仿宋_GB2312" w:hAnsi="仿宋" w:eastAsia="仿宋_GB2312"/>
          <w:color w:val="000000"/>
          <w:sz w:val="32"/>
          <w:szCs w:val="32"/>
          <w:u w:val="none"/>
        </w:rPr>
        <w:t xml:space="preserve"> </w:t>
      </w:r>
      <w:r>
        <w:rPr>
          <w:rStyle w:val="35"/>
          <w:rFonts w:hint="eastAsia" w:ascii="仿宋_GB2312" w:hAnsi="仿宋" w:eastAsia="仿宋_GB2312"/>
          <w:color w:val="000000"/>
          <w:sz w:val="32"/>
          <w:szCs w:val="32"/>
          <w:u w:val="none"/>
        </w:rPr>
        <w:t>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2</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3</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4</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.6</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.7</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.8</w:t>
      </w:r>
      <w:r>
        <w:rPr>
          <w:rStyle w:val="35"/>
          <w:rFonts w:hint="eastAsia" w:ascii="仿宋_GB2312" w:hAnsi="仿宋" w:eastAsia="仿宋_GB2312"/>
          <w:color w:val="000000"/>
          <w:sz w:val="32"/>
          <w:szCs w:val="32"/>
          <w:u w:val="none"/>
        </w:rPr>
        <w:t>条约定，甲方可以解除合同。</w:t>
      </w:r>
      <w:bookmarkStart w:id="18" w:name="_Hlk204693752"/>
      <w:bookmarkStart w:id="19" w:name="_Hlk204695965"/>
      <w:r>
        <w:rPr>
          <w:rStyle w:val="35"/>
          <w:rFonts w:hint="eastAsia" w:ascii="仿宋_GB2312" w:hAnsi="仿宋" w:eastAsia="仿宋_GB2312"/>
          <w:color w:val="000000"/>
          <w:sz w:val="32"/>
          <w:szCs w:val="32"/>
          <w:u w:val="none"/>
        </w:rPr>
        <w:t>甲方因乙方违约解除合同的，甲方有权要求乙方退还已支付的款项并根据本合同第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条约定追究乙方违约责任。</w:t>
      </w:r>
      <w:bookmarkEnd w:id="18"/>
    </w:p>
    <w:p>
      <w:pPr>
        <w:shd w:val="clear" w:color="auto" w:fill="D9D9D9"/>
      </w:pPr>
      <w:r>
        <w:rPr>
          <w:rFonts w:ascii="仿宋_GB2312" w:hAnsi="仿宋_GB2312"/>
          <w:color w:val="000000"/>
          <w:sz w:val="32"/>
        </w:rPr>
        <w:t>应答：满足。系统支持合同管理功能，能够自动跟踪合同条款的执行情况，并在违约情况下自动生成通知。系统还具备财务管理模块，确保甲方能够及时追踪已支付款项，并依据合同条款进行相应的退款和违约责任追究，确保合规性和透明度。</w:t>
      </w:r>
    </w:p>
    <w:bookmarkEnd w:id="19"/>
    <w:p w14:paraId="2AF9875D">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.5 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1</w:t>
      </w:r>
      <w:r>
        <w:rPr>
          <w:rStyle w:val="35"/>
          <w:rFonts w:hint="default" w:ascii="仿宋_GB2312" w:hAnsi="仿宋" w:eastAsia="仿宋_GB2312"/>
          <w:color w:val="000000"/>
          <w:sz w:val="32"/>
          <w:szCs w:val="32"/>
          <w:u w:val="none"/>
          <w:lang w:val="en-US"/>
        </w:rPr>
        <w:t>1</w:t>
      </w:r>
      <w:r>
        <w:rPr>
          <w:rStyle w:val="35"/>
          <w:rFonts w:hint="eastAsia" w:ascii="仿宋_GB2312" w:hAnsi="仿宋" w:eastAsia="仿宋_GB2312"/>
          <w:color w:val="000000"/>
          <w:sz w:val="32"/>
          <w:szCs w:val="32"/>
          <w:u w:val="none"/>
        </w:rPr>
        <w:t>条约定，乙方可以解除合同。</w:t>
      </w:r>
    </w:p>
    <w:p>
      <w:pPr>
        <w:shd w:val="clear" w:color="auto" w:fill="D9D9D9"/>
      </w:pPr>
      <w:r>
        <w:rPr>
          <w:rFonts w:ascii="仿宋_GB2312" w:hAnsi="仿宋_GB2312"/>
          <w:color w:val="000000"/>
          <w:sz w:val="32"/>
        </w:rPr>
        <w:t>应答：满足。系统支持合同管理功能，允许乙方根据合同第10.11条的约定进行合同解除操作。该功能包括合同状态监控、解除申请记录、审批流程管理等，确保合同解除过程的合规性和透明性。</w:t>
      </w:r>
    </w:p>
    <w:p w14:paraId="1832CA83">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.6</w:t>
      </w:r>
      <w:bookmarkStart w:id="20" w:name="_Hlk66969841"/>
      <w:r>
        <w:rPr>
          <w:rFonts w:hint="eastAsia" w:ascii="仿宋_GB2312" w:hAnsi="仿宋" w:eastAsia="仿宋_GB2312" w:cstheme="minorBidi"/>
          <w:kern w:val="2"/>
          <w:sz w:val="32"/>
          <w:szCs w:val="32"/>
        </w:rPr>
        <w:t>合同的解除不免除违约方对违约责任的承担，亦不影响本合同中有关清理结算条款及争议解决条款的效力。</w:t>
      </w:r>
    </w:p>
    <w:p>
      <w:pPr>
        <w:shd w:val="clear" w:color="auto" w:fill="D9D9D9"/>
      </w:pPr>
      <w:r>
        <w:rPr>
          <w:rFonts w:ascii="仿宋_GB2312" w:hAnsi="仿宋_GB2312"/>
          <w:color w:val="000000"/>
          <w:sz w:val="32"/>
        </w:rPr>
        <w:t>应答：满足。系统支持合同解除后的违约责任追溯机制，确保违约方仍需承担相应的违约责任。同时，系统将持续有效地维护清理结算条款及争议解决条款，确保在合同解除后相关条款的执行不受影响，保障各方权益。</w:t>
      </w:r>
    </w:p>
    <w:bookmarkEnd w:id="20"/>
    <w:p w14:paraId="6F8FD423">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5</w:t>
      </w:r>
      <w:r>
        <w:rPr>
          <w:rFonts w:hint="eastAsia" w:ascii="仿宋_GB2312" w:hAnsi="仿宋" w:eastAsia="仿宋_GB2312"/>
          <w:b/>
          <w:bCs/>
          <w:sz w:val="32"/>
          <w:szCs w:val="32"/>
        </w:rPr>
        <w:t>.适用法律和争议的解决</w:t>
      </w:r>
    </w:p>
    <w:p>
      <w:pPr>
        <w:shd w:val="clear" w:color="auto" w:fill="D9D9D9"/>
      </w:pPr>
      <w:r>
        <w:rPr>
          <w:rFonts w:ascii="仿宋_GB2312" w:hAnsi="仿宋_GB2312"/>
          <w:b/>
          <w:color w:val="000000"/>
          <w:sz w:val="32"/>
        </w:rPr>
        <w:t>应答：满足。系统遵循中华人民共和国相关法律法规，确保所有操作和数据处理符合国家法律要求。针对争议的解决，我方承诺通过友好协商解决，如协商不成，将提交至合同签署地的仲裁机构进行仲裁，以确保各方权益得到有效维护。</w:t>
      </w:r>
    </w:p>
    <w:p w14:paraId="7BCA26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本合同适用中华人民共和国法律。凡有关本合同或执行本合同所发生的一切争议，合同各方应通过友好协商解决。协商不成的，可向合同签订地的有管辖权的人民法院起诉。  </w:t>
      </w:r>
    </w:p>
    <w:p>
      <w:pPr>
        <w:shd w:val="clear" w:color="auto" w:fill="D9D9D9"/>
      </w:pPr>
      <w:r>
        <w:rPr>
          <w:rFonts w:ascii="仿宋_GB2312" w:hAnsi="仿宋_GB2312"/>
          <w:color w:val="000000"/>
          <w:sz w:val="32"/>
        </w:rPr>
        <w:t>应答：满足。系统遵循中华人民共和国法律法规，确保合同执行过程中的合规性。针对合同争议，我方将提供专业的法律支持，协助各方通过友好协商解决问题。如协商未果，我方将支持向合同签订地的有管辖权的人民法院提起诉讼，确保合法权益得到维护。</w:t>
      </w:r>
    </w:p>
    <w:p w14:paraId="153A53F4">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6</w:t>
      </w:r>
      <w:r>
        <w:rPr>
          <w:rFonts w:hint="eastAsia" w:ascii="仿宋_GB2312" w:hAnsi="仿宋" w:eastAsia="仿宋_GB2312"/>
          <w:b/>
          <w:bCs/>
          <w:sz w:val="32"/>
          <w:szCs w:val="32"/>
        </w:rPr>
        <w:t>、其他</w:t>
      </w:r>
    </w:p>
    <w:p w14:paraId="79B3656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.1 本合同如有未尽事宜，须经甲乙双方共同协商并签订补充协议，补充协议与本合同具有同等法律效力。</w:t>
      </w:r>
    </w:p>
    <w:p>
      <w:pPr>
        <w:shd w:val="clear" w:color="auto" w:fill="D9D9D9"/>
      </w:pPr>
      <w:r>
        <w:rPr>
          <w:rFonts w:ascii="仿宋_GB2312" w:hAnsi="仿宋_GB2312"/>
          <w:color w:val="000000"/>
          <w:sz w:val="32"/>
        </w:rPr>
        <w:t>应答：满足。系统支持合同管理模块，能够对未尽事宜进行记录和跟踪，确保甲乙双方的协商过程透明可控。补充协议的生成与管理功能完备，确保补充协议与主合同具有同等法律效力，便于后续的合规审查和执行。</w:t>
      </w:r>
    </w:p>
    <w:p w14:paraId="7246B96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.2本合同附件均为本合同不可分割的部分，与本合同正文具有同等法律效力。</w:t>
      </w:r>
    </w:p>
    <w:p>
      <w:pPr>
        <w:shd w:val="clear" w:color="auto" w:fill="D9D9D9"/>
      </w:pPr>
      <w:r>
        <w:rPr>
          <w:rFonts w:ascii="仿宋_GB2312" w:hAnsi="仿宋_GB2312"/>
          <w:color w:val="000000"/>
          <w:sz w:val="32"/>
        </w:rPr>
        <w:t>应答：满足。系统支持合同附件的完整性管理，确保所有附件与合同正文的关联性和一致性。附件的版本控制和变更记录功能可确保法律效力的可追溯性，保障合同执行过程中的合规性和透明度。</w:t>
      </w:r>
    </w:p>
    <w:p w14:paraId="1E435DE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.3 本合同一式肆份，双方各持贰份，具有同等法律效力。经甲、乙双方加盖公章或合同专用章后生效。</w:t>
      </w:r>
    </w:p>
    <w:p>
      <w:pPr>
        <w:shd w:val="clear" w:color="auto" w:fill="D9D9D9"/>
      </w:pPr>
      <w:r>
        <w:rPr>
          <w:rFonts w:ascii="仿宋_GB2312" w:hAnsi="仿宋_GB2312"/>
          <w:color w:val="000000"/>
          <w:sz w:val="32"/>
        </w:rPr>
        <w:t>应答：满足。系统支持合同文本的电子化管理，确保合同一式肆份的生成与存储，双方各持贰份的记录与追踪。合同在经甲、乙双方加盖公章或合同专用章后生效的流程可通过系统自动化处理，确保法律效力的合规性与可追溯性。</w:t>
      </w:r>
    </w:p>
    <w:p w14:paraId="1975B398">
      <w:pPr>
        <w:spacing w:line="560" w:lineRule="exact"/>
        <w:ind w:firstLine="640" w:firstLineChars="200"/>
        <w:rPr>
          <w:rFonts w:ascii="仿宋_GB2312" w:hAnsi="仿宋" w:eastAsia="仿宋_GB2312"/>
          <w:kern w:val="0"/>
          <w:sz w:val="32"/>
          <w:szCs w:val="32"/>
        </w:rPr>
      </w:pPr>
    </w:p>
    <w:p w14:paraId="235983FF">
      <w:pPr>
        <w:spacing w:line="560" w:lineRule="exact"/>
        <w:ind w:firstLine="640" w:firstLineChars="200"/>
        <w:rPr>
          <w:rFonts w:ascii="仿宋_GB2312" w:hAnsi="仿宋" w:eastAsia="仿宋_GB2312"/>
          <w:kern w:val="0"/>
          <w:sz w:val="32"/>
          <w:szCs w:val="32"/>
        </w:rPr>
      </w:pPr>
    </w:p>
    <w:p w14:paraId="537797CC">
      <w:pPr>
        <w:spacing w:line="560" w:lineRule="exact"/>
        <w:ind w:firstLine="643" w:firstLineChars="200"/>
        <w:rPr>
          <w:rFonts w:ascii="仿宋_GB2312" w:hAnsi="仿宋" w:eastAsia="仿宋_GB2312"/>
          <w:kern w:val="0"/>
          <w:sz w:val="32"/>
          <w:szCs w:val="32"/>
        </w:rPr>
      </w:pPr>
      <w:r>
        <w:rPr>
          <w:rFonts w:hint="eastAsia" w:ascii="仿宋_GB2312" w:hAnsi="仿宋" w:eastAsia="仿宋_GB2312"/>
          <w:b/>
          <w:bCs/>
          <w:kern w:val="0"/>
          <w:sz w:val="32"/>
          <w:szCs w:val="32"/>
        </w:rPr>
        <w:t>本合同附件目录如下：</w:t>
      </w:r>
    </w:p>
    <w:p w14:paraId="6A5BD160">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附件一：服务价格清单</w:t>
      </w:r>
    </w:p>
    <w:p w14:paraId="5F7C3FE4">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API及NoSQL等。用户可通过友好的界面进行数据源的配置管理，支持新增、修改、删除等操作，并具备高效的搜索功能，确保数据源管理的灵活性与便捷性。</w:t>
      </w:r>
    </w:p>
    <w:p w14:paraId="342C36E9">
      <w:pPr>
        <w:spacing w:line="560" w:lineRule="exact"/>
        <w:ind w:firstLine="640" w:firstLineChars="200"/>
        <w:rPr>
          <w:rFonts w:hint="eastAsia" w:ascii="仿宋_GB2312" w:hAnsi="仿宋" w:eastAsia="仿宋_GB2312"/>
          <w:color w:val="000000"/>
          <w:kern w:val="0"/>
          <w:sz w:val="32"/>
          <w:szCs w:val="32"/>
          <w:lang w:val="en-US" w:eastAsia="zh-CN"/>
        </w:rPr>
      </w:pPr>
      <w:r>
        <w:rPr>
          <w:rFonts w:hint="eastAsia" w:ascii="仿宋_GB2312" w:hAnsi="仿宋" w:eastAsia="仿宋_GB2312"/>
          <w:color w:val="000000"/>
          <w:kern w:val="0"/>
          <w:sz w:val="32"/>
          <w:szCs w:val="32"/>
        </w:rPr>
        <w:t>附件三：</w:t>
      </w:r>
      <w:r>
        <w:rPr>
          <w:rFonts w:hint="eastAsia" w:ascii="仿宋_GB2312" w:hAnsi="仿宋" w:eastAsia="仿宋_GB2312"/>
          <w:color w:val="000000"/>
          <w:kern w:val="0"/>
          <w:sz w:val="32"/>
          <w:szCs w:val="32"/>
          <w:lang w:val="en-US" w:eastAsia="zh-CN"/>
        </w:rPr>
        <w:t>服务开通验收合格单</w:t>
      </w:r>
    </w:p>
    <w:p w14:paraId="47F85937">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3272B8AE">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1A1E483">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119E779">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00DC9EE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2DF2E9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335E72C">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D7A706A">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4F9842C8">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6EE7FBF">
      <w:pPr>
        <w:spacing w:line="560" w:lineRule="exact"/>
        <w:ind w:firstLine="480"/>
        <w:rPr>
          <w:rFonts w:ascii="仿宋_GB2312" w:hAnsi="仿宋" w:eastAsia="仿宋_GB2312"/>
          <w:sz w:val="32"/>
          <w:szCs w:val="32"/>
        </w:rPr>
      </w:pPr>
      <w:r>
        <w:rPr>
          <w:rFonts w:hint="eastAsia" w:ascii="仿宋_GB2312" w:hAnsi="仿宋" w:eastAsia="仿宋_GB2312"/>
          <w:sz w:val="32"/>
          <w:szCs w:val="32"/>
        </w:rPr>
        <w:t>（以下无正文）</w:t>
      </w:r>
    </w:p>
    <w:p w14:paraId="5B203349">
      <w:pPr>
        <w:spacing w:line="560" w:lineRule="exact"/>
        <w:ind w:firstLine="480"/>
        <w:rPr>
          <w:rFonts w:ascii="仿宋_GB2312" w:hAnsi="仿宋" w:eastAsia="仿宋_GB2312"/>
          <w:sz w:val="32"/>
          <w:szCs w:val="32"/>
        </w:rPr>
      </w:pPr>
    </w:p>
    <w:p w14:paraId="7D5C68CF">
      <w:pPr>
        <w:spacing w:line="560" w:lineRule="exact"/>
        <w:ind w:firstLine="480"/>
        <w:rPr>
          <w:rFonts w:ascii="仿宋_GB2312" w:hAnsi="仿宋" w:eastAsia="仿宋_GB2312"/>
          <w:sz w:val="32"/>
          <w:szCs w:val="32"/>
        </w:rPr>
      </w:pPr>
    </w:p>
    <w:p w14:paraId="5D2DBF9D">
      <w:pPr>
        <w:widowControl/>
        <w:spacing w:line="560" w:lineRule="exact"/>
        <w:jc w:val="left"/>
        <w:rPr>
          <w:rFonts w:ascii="仿宋_GB2312" w:hAnsi="仿宋" w:eastAsia="仿宋_GB2312"/>
          <w:sz w:val="32"/>
          <w:szCs w:val="32"/>
        </w:rPr>
      </w:pPr>
      <w:r>
        <w:rPr>
          <w:rFonts w:hint="eastAsia" w:ascii="仿宋_GB2312" w:hAnsi="仿宋" w:eastAsia="仿宋_GB2312"/>
          <w:sz w:val="32"/>
          <w:szCs w:val="32"/>
        </w:rPr>
        <w:t>（以下为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服务采购合同盖章部分）</w:t>
      </w:r>
    </w:p>
    <w:p w14:paraId="3F1CD1F6">
      <w:pPr>
        <w:tabs>
          <w:tab w:val="left" w:pos="4360"/>
        </w:tabs>
        <w:spacing w:line="560" w:lineRule="exact"/>
        <w:rPr>
          <w:rFonts w:ascii="仿宋_GB2312" w:hAnsi="仿宋" w:eastAsia="仿宋_GB2312" w:cs="Adobe 仿宋 Std R"/>
          <w:spacing w:val="-8"/>
          <w:sz w:val="32"/>
          <w:szCs w:val="32"/>
        </w:rPr>
      </w:pPr>
    </w:p>
    <w:tbl>
      <w:tblPr>
        <w:tblStyle w:val="11"/>
        <w:tblW w:w="0" w:type="auto"/>
        <w:tblInd w:w="0" w:type="dxa"/>
        <w:tblLayout w:type="fixed"/>
        <w:tblCellMar>
          <w:top w:w="0" w:type="dxa"/>
          <w:left w:w="108" w:type="dxa"/>
          <w:bottom w:w="0" w:type="dxa"/>
          <w:right w:w="108" w:type="dxa"/>
        </w:tblCellMar>
      </w:tblPr>
      <w:tblGrid>
        <w:gridCol w:w="4261"/>
        <w:gridCol w:w="4670"/>
      </w:tblGrid>
      <w:tr w14:paraId="182EEDCB">
        <w:tblPrEx>
          <w:tblCellMar>
            <w:top w:w="0" w:type="dxa"/>
            <w:left w:w="108" w:type="dxa"/>
            <w:bottom w:w="0" w:type="dxa"/>
            <w:right w:w="108" w:type="dxa"/>
          </w:tblCellMar>
        </w:tblPrEx>
        <w:trPr>
          <w:trHeight w:val="1052" w:hRule="atLeast"/>
        </w:trPr>
        <w:tc>
          <w:tcPr>
            <w:tcW w:w="4261" w:type="dxa"/>
            <w:tcBorders>
              <w:top w:val="nil"/>
              <w:left w:val="nil"/>
              <w:bottom w:val="nil"/>
              <w:right w:val="nil"/>
            </w:tcBorders>
          </w:tcPr>
          <w:p w14:paraId="4FAFA1BC">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甲    方：</w:t>
            </w:r>
          </w:p>
          <w:p w14:paraId="1FDC7B3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c>
          <w:tcPr>
            <w:tcW w:w="4670" w:type="dxa"/>
            <w:tcBorders>
              <w:top w:val="nil"/>
              <w:left w:val="nil"/>
              <w:bottom w:val="nil"/>
              <w:right w:val="nil"/>
            </w:tcBorders>
          </w:tcPr>
          <w:p w14:paraId="686EF51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乙    方：</w:t>
            </w:r>
            <w:r>
              <w:rPr>
                <w:rFonts w:hint="eastAsia" w:ascii="仿宋_GB2312" w:hAnsi="仿宋" w:eastAsia="仿宋_GB2312"/>
                <w:spacing w:val="-7"/>
                <w:sz w:val="32"/>
                <w:szCs w:val="32"/>
              </w:rPr>
              <w:t xml:space="preserve">        </w:t>
            </w:r>
          </w:p>
          <w:p w14:paraId="03BD81F3">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r>
      <w:tr w14:paraId="66CDAEA6">
        <w:tblPrEx>
          <w:tblCellMar>
            <w:top w:w="0" w:type="dxa"/>
            <w:left w:w="108" w:type="dxa"/>
            <w:bottom w:w="0" w:type="dxa"/>
            <w:right w:w="108" w:type="dxa"/>
          </w:tblCellMar>
        </w:tblPrEx>
        <w:tc>
          <w:tcPr>
            <w:tcW w:w="4261" w:type="dxa"/>
            <w:tcBorders>
              <w:top w:val="nil"/>
              <w:left w:val="nil"/>
              <w:bottom w:val="nil"/>
              <w:right w:val="nil"/>
            </w:tcBorders>
          </w:tcPr>
          <w:p w14:paraId="5B654628">
            <w:pPr>
              <w:spacing w:line="560" w:lineRule="exact"/>
              <w:rPr>
                <w:rFonts w:ascii="仿宋_GB2312" w:hAnsi="仿宋" w:eastAsia="仿宋_GB2312" w:cs="Adobe 仿宋 Std R"/>
                <w:b/>
                <w:spacing w:val="-8"/>
                <w:sz w:val="32"/>
                <w:szCs w:val="32"/>
              </w:rPr>
            </w:pPr>
          </w:p>
          <w:p w14:paraId="017FB64C">
            <w:pPr>
              <w:spacing w:line="560" w:lineRule="exact"/>
              <w:rPr>
                <w:rFonts w:ascii="仿宋_GB2312" w:hAnsi="仿宋" w:eastAsia="仿宋_GB2312" w:cs="Adobe 仿宋 Std R"/>
                <w:b/>
                <w:spacing w:val="-8"/>
                <w:sz w:val="32"/>
                <w:szCs w:val="32"/>
              </w:rPr>
            </w:pPr>
          </w:p>
        </w:tc>
        <w:tc>
          <w:tcPr>
            <w:tcW w:w="4670" w:type="dxa"/>
            <w:tcBorders>
              <w:top w:val="nil"/>
              <w:left w:val="nil"/>
              <w:bottom w:val="nil"/>
              <w:right w:val="nil"/>
            </w:tcBorders>
          </w:tcPr>
          <w:p w14:paraId="1B81226E">
            <w:pPr>
              <w:spacing w:line="560" w:lineRule="exact"/>
              <w:rPr>
                <w:rFonts w:ascii="仿宋_GB2312" w:hAnsi="仿宋" w:eastAsia="仿宋_GB2312" w:cs="Adobe 仿宋 Std R"/>
                <w:b/>
                <w:spacing w:val="-8"/>
                <w:sz w:val="32"/>
                <w:szCs w:val="32"/>
              </w:rPr>
            </w:pPr>
          </w:p>
          <w:p w14:paraId="196585E0">
            <w:pPr>
              <w:spacing w:line="560" w:lineRule="exact"/>
              <w:rPr>
                <w:rFonts w:ascii="仿宋_GB2312" w:hAnsi="仿宋" w:eastAsia="仿宋_GB2312" w:cs="Adobe 仿宋 Std R"/>
                <w:b/>
                <w:spacing w:val="-17"/>
                <w:sz w:val="32"/>
                <w:szCs w:val="32"/>
              </w:rPr>
            </w:pPr>
          </w:p>
        </w:tc>
      </w:tr>
      <w:tr w14:paraId="542329CD">
        <w:tc>
          <w:tcPr>
            <w:tcW w:w="4261" w:type="dxa"/>
            <w:tcBorders>
              <w:top w:val="nil"/>
              <w:left w:val="nil"/>
              <w:bottom w:val="nil"/>
              <w:right w:val="nil"/>
            </w:tcBorders>
          </w:tcPr>
          <w:p w14:paraId="7BB2130F">
            <w:pPr>
              <w:spacing w:line="560" w:lineRule="exact"/>
              <w:rPr>
                <w:rFonts w:ascii="仿宋_GB2312" w:hAnsi="仿宋" w:eastAsia="仿宋_GB2312" w:cs="Adobe 仿宋 Std R"/>
                <w:b/>
                <w:spacing w:val="-8"/>
                <w:sz w:val="32"/>
                <w:szCs w:val="32"/>
              </w:rPr>
            </w:pPr>
          </w:p>
          <w:p w14:paraId="799210D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c>
          <w:tcPr>
            <w:tcW w:w="4670" w:type="dxa"/>
            <w:tcBorders>
              <w:top w:val="nil"/>
              <w:left w:val="nil"/>
              <w:bottom w:val="nil"/>
              <w:right w:val="nil"/>
            </w:tcBorders>
          </w:tcPr>
          <w:p w14:paraId="739D2BF9">
            <w:pPr>
              <w:spacing w:line="560" w:lineRule="exact"/>
              <w:rPr>
                <w:rFonts w:ascii="仿宋_GB2312" w:hAnsi="仿宋" w:eastAsia="仿宋_GB2312" w:cs="Adobe 仿宋 Std R"/>
                <w:b/>
                <w:spacing w:val="-8"/>
                <w:sz w:val="32"/>
                <w:szCs w:val="32"/>
              </w:rPr>
            </w:pPr>
          </w:p>
          <w:p w14:paraId="6FACD2E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r>
    </w:tbl>
    <w:p w14:paraId="0B620766">
      <w:pPr>
        <w:widowControl/>
        <w:jc w:val="left"/>
        <w:rPr>
          <w:rFonts w:hint="eastAsia" w:ascii="仿宋_GB2312" w:hAnsi="仿宋" w:eastAsia="仿宋_GB2312"/>
          <w:sz w:val="32"/>
          <w:szCs w:val="32"/>
        </w:rPr>
      </w:pPr>
    </w:p>
    <w:p w14:paraId="02E0A313">
      <w:pPr>
        <w:widowControl/>
        <w:jc w:val="left"/>
        <w:rPr>
          <w:rFonts w:ascii="仿宋_GB2312" w:hAnsi="仿宋" w:eastAsia="仿宋_GB2312"/>
          <w:sz w:val="32"/>
          <w:szCs w:val="32"/>
        </w:rPr>
      </w:pPr>
      <w:r>
        <w:rPr>
          <w:rFonts w:hint="eastAsia" w:ascii="仿宋_GB2312" w:hAnsi="仿宋" w:eastAsia="仿宋_GB2312"/>
          <w:sz w:val="32"/>
          <w:szCs w:val="32"/>
        </w:rPr>
        <w:t>附件一：服务价格清单</w:t>
      </w:r>
    </w:p>
    <w:p w14:paraId="42A4EF0C">
      <w:pPr>
        <w:spacing w:line="560" w:lineRule="exact"/>
        <w:jc w:val="left"/>
        <w:rPr>
          <w:rFonts w:ascii="仿宋_GB2312" w:hAnsi="宋体" w:eastAsia="仿宋_GB2312"/>
          <w:sz w:val="24"/>
        </w:rPr>
      </w:pPr>
      <w:r>
        <w:rPr>
          <w:rFonts w:hint="eastAsia" w:ascii="仿宋_GB2312" w:hAnsi="仿宋" w:eastAsia="仿宋_GB2312"/>
          <w:sz w:val="32"/>
          <w:szCs w:val="32"/>
        </w:rPr>
        <w:t>附件二：甲方业务需求及技术规范</w:t>
      </w:r>
    </w:p>
    <w:p>
      <w:pPr>
        <w:shd w:val="clear" w:color="auto" w:fill="D9D9D9"/>
      </w:pPr>
      <w:r>
        <w:rPr>
          <w:rFonts w:ascii="仿宋_GB2312" w:hAnsi="仿宋_GB2312"/>
          <w:color w:val="000000"/>
          <w:sz w:val="32"/>
        </w:rPr>
        <w:t>应答：满足。系统支持可视化创建多种类型的数据源，包括传统数据库、文件系统、消息队列、SaaS API和NoSQL等。用户可以通过界面化管理进行数据源的新增、修改和删除操作，同时系统提供强大的搜索功能，以便于快速定位和管理数据源信息。</w:t>
      </w:r>
    </w:p>
    <w:p w14:paraId="680C6ABC">
      <w:pPr>
        <w:spacing w:line="560" w:lineRule="exact"/>
        <w:jc w:val="left"/>
        <w:rPr>
          <w:rFonts w:ascii="仿宋_GB2312" w:hAnsi="仿宋" w:eastAsia="仿宋_GB2312"/>
          <w:kern w:val="0"/>
          <w:sz w:val="32"/>
          <w:szCs w:val="32"/>
        </w:rPr>
      </w:pPr>
      <w:r>
        <w:rPr>
          <w:rFonts w:hint="eastAsia" w:ascii="仿宋_GB2312" w:hAnsi="仿宋" w:eastAsia="仿宋_GB2312"/>
          <w:sz w:val="32"/>
          <w:szCs w:val="32"/>
        </w:rPr>
        <w:t>附件三：</w:t>
      </w:r>
      <w:r>
        <w:rPr>
          <w:rFonts w:hint="eastAsia" w:ascii="仿宋_GB2312" w:hAnsi="仿宋" w:eastAsia="仿宋_GB2312"/>
          <w:sz w:val="32"/>
          <w:szCs w:val="32"/>
          <w:lang w:val="en-US" w:eastAsia="zh-CN"/>
        </w:rPr>
        <w:t>服务开通</w:t>
      </w:r>
      <w:r>
        <w:rPr>
          <w:rFonts w:hint="eastAsia" w:ascii="仿宋_GB2312" w:hAnsi="仿宋" w:eastAsia="仿宋_GB2312"/>
          <w:sz w:val="32"/>
          <w:szCs w:val="32"/>
        </w:rPr>
        <w:t>验收合格单</w:t>
      </w:r>
      <w:r>
        <w:rPr>
          <w:rFonts w:hint="eastAsia" w:ascii="仿宋_GB2312" w:hAnsi="仿宋" w:eastAsia="仿宋_GB2312"/>
          <w:color w:val="000000" w:themeColor="text1"/>
          <w:sz w:val="32"/>
          <w:szCs w:val="32"/>
          <w14:textFill>
            <w14:solidFill>
              <w14:schemeClr w14:val="tx1"/>
            </w14:solidFill>
          </w14:textFill>
        </w:rPr>
        <w:t>（样表）</w:t>
      </w:r>
    </w:p>
    <w:tbl>
      <w:tblPr>
        <w:tblStyle w:val="11"/>
        <w:tblW w:w="8505" w:type="dxa"/>
        <w:tblInd w:w="0" w:type="dxa"/>
        <w:tblLayout w:type="fixed"/>
        <w:tblCellMar>
          <w:top w:w="0" w:type="dxa"/>
          <w:left w:w="108" w:type="dxa"/>
          <w:bottom w:w="0" w:type="dxa"/>
          <w:right w:w="108" w:type="dxa"/>
        </w:tblCellMar>
      </w:tblPr>
      <w:tblGrid>
        <w:gridCol w:w="1418"/>
        <w:gridCol w:w="2693"/>
        <w:gridCol w:w="1418"/>
        <w:gridCol w:w="2976"/>
      </w:tblGrid>
      <w:tr w14:paraId="241DA281">
        <w:tblPrEx>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vAlign w:val="center"/>
          </w:tcPr>
          <w:p w14:paraId="3F67AA14">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合同编号</w:t>
            </w:r>
          </w:p>
        </w:tc>
        <w:tc>
          <w:tcPr>
            <w:tcW w:w="2693" w:type="dxa"/>
            <w:tcBorders>
              <w:top w:val="single" w:color="auto" w:sz="4" w:space="0"/>
              <w:left w:val="nil"/>
              <w:bottom w:val="single" w:color="auto" w:sz="4" w:space="0"/>
              <w:right w:val="single" w:color="auto" w:sz="4" w:space="0"/>
            </w:tcBorders>
            <w:vAlign w:val="center"/>
          </w:tcPr>
          <w:p w14:paraId="06F49DCE">
            <w:pPr>
              <w:spacing w:line="560" w:lineRule="exact"/>
              <w:jc w:val="left"/>
              <w:rPr>
                <w:rFonts w:ascii="仿宋_GB2312" w:hAnsi="仿宋" w:eastAsia="仿宋_GB2312" w:cs="宋体"/>
                <w:kern w:val="0"/>
                <w:sz w:val="24"/>
                <w:szCs w:val="36"/>
              </w:rPr>
            </w:pPr>
          </w:p>
        </w:tc>
        <w:tc>
          <w:tcPr>
            <w:tcW w:w="1418" w:type="dxa"/>
            <w:tcBorders>
              <w:top w:val="single" w:color="auto" w:sz="4" w:space="0"/>
              <w:left w:val="nil"/>
              <w:bottom w:val="single" w:color="auto" w:sz="4" w:space="0"/>
              <w:right w:val="single" w:color="auto" w:sz="4" w:space="0"/>
            </w:tcBorders>
            <w:vAlign w:val="center"/>
          </w:tcPr>
          <w:p w14:paraId="7156A7D2">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合同名称</w:t>
            </w:r>
          </w:p>
        </w:tc>
        <w:tc>
          <w:tcPr>
            <w:tcW w:w="2976" w:type="dxa"/>
            <w:tcBorders>
              <w:top w:val="single" w:color="auto" w:sz="4" w:space="0"/>
              <w:left w:val="nil"/>
              <w:bottom w:val="single" w:color="auto" w:sz="4" w:space="0"/>
              <w:right w:val="single" w:color="auto" w:sz="4" w:space="0"/>
            </w:tcBorders>
            <w:vAlign w:val="center"/>
          </w:tcPr>
          <w:p w14:paraId="24712824">
            <w:pPr>
              <w:spacing w:line="560" w:lineRule="exact"/>
              <w:jc w:val="left"/>
              <w:rPr>
                <w:rFonts w:ascii="仿宋_GB2312" w:hAnsi="仿宋" w:eastAsia="仿宋_GB2312" w:cs="宋体"/>
                <w:kern w:val="0"/>
                <w:sz w:val="24"/>
                <w:szCs w:val="36"/>
              </w:rPr>
            </w:pPr>
          </w:p>
        </w:tc>
      </w:tr>
      <w:tr w14:paraId="1798AC0A">
        <w:tblPrEx>
          <w:tblCellMar>
            <w:top w:w="0" w:type="dxa"/>
            <w:left w:w="108" w:type="dxa"/>
            <w:bottom w:w="0" w:type="dxa"/>
            <w:right w:w="108" w:type="dxa"/>
          </w:tblCellMar>
        </w:tblPrEx>
        <w:trPr>
          <w:trHeight w:val="413" w:hRule="atLeast"/>
        </w:trPr>
        <w:tc>
          <w:tcPr>
            <w:tcW w:w="1418" w:type="dxa"/>
            <w:tcBorders>
              <w:top w:val="nil"/>
              <w:left w:val="single" w:color="auto" w:sz="4" w:space="0"/>
              <w:bottom w:val="single" w:color="auto" w:sz="4" w:space="0"/>
              <w:right w:val="single" w:color="auto" w:sz="4" w:space="0"/>
            </w:tcBorders>
            <w:vAlign w:val="center"/>
          </w:tcPr>
          <w:p w14:paraId="1FEFF5E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甲方名称</w:t>
            </w:r>
          </w:p>
        </w:tc>
        <w:tc>
          <w:tcPr>
            <w:tcW w:w="2693" w:type="dxa"/>
            <w:tcBorders>
              <w:top w:val="nil"/>
              <w:left w:val="nil"/>
              <w:bottom w:val="single" w:color="auto" w:sz="4" w:space="0"/>
              <w:right w:val="single" w:color="auto" w:sz="4" w:space="0"/>
            </w:tcBorders>
            <w:vAlign w:val="center"/>
          </w:tcPr>
          <w:p w14:paraId="53B93386">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02FA73A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乙方名称</w:t>
            </w:r>
          </w:p>
        </w:tc>
        <w:tc>
          <w:tcPr>
            <w:tcW w:w="2976" w:type="dxa"/>
            <w:tcBorders>
              <w:top w:val="nil"/>
              <w:left w:val="nil"/>
              <w:bottom w:val="single" w:color="auto" w:sz="4" w:space="0"/>
              <w:right w:val="single" w:color="auto" w:sz="4" w:space="0"/>
            </w:tcBorders>
            <w:vAlign w:val="center"/>
          </w:tcPr>
          <w:p w14:paraId="5D336438">
            <w:pPr>
              <w:spacing w:line="560" w:lineRule="exact"/>
              <w:jc w:val="left"/>
              <w:rPr>
                <w:rFonts w:ascii="仿宋_GB2312" w:hAnsi="仿宋" w:eastAsia="仿宋_GB2312" w:cs="宋体"/>
                <w:kern w:val="0"/>
                <w:sz w:val="24"/>
                <w:szCs w:val="36"/>
              </w:rPr>
            </w:pPr>
          </w:p>
        </w:tc>
      </w:tr>
      <w:tr w14:paraId="109A3F86">
        <w:tblPrEx>
          <w:tblCellMar>
            <w:top w:w="0" w:type="dxa"/>
            <w:left w:w="108" w:type="dxa"/>
            <w:bottom w:w="0" w:type="dxa"/>
            <w:right w:w="108" w:type="dxa"/>
          </w:tblCellMar>
        </w:tblPrEx>
        <w:trPr>
          <w:trHeight w:val="419" w:hRule="atLeast"/>
        </w:trPr>
        <w:tc>
          <w:tcPr>
            <w:tcW w:w="1418" w:type="dxa"/>
            <w:tcBorders>
              <w:top w:val="nil"/>
              <w:left w:val="single" w:color="auto" w:sz="4" w:space="0"/>
              <w:bottom w:val="single" w:color="auto" w:sz="4" w:space="0"/>
              <w:right w:val="single" w:color="auto" w:sz="4" w:space="0"/>
            </w:tcBorders>
            <w:vAlign w:val="center"/>
          </w:tcPr>
          <w:p w14:paraId="570CB121">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甲方地址</w:t>
            </w:r>
          </w:p>
        </w:tc>
        <w:tc>
          <w:tcPr>
            <w:tcW w:w="2693" w:type="dxa"/>
            <w:tcBorders>
              <w:top w:val="nil"/>
              <w:left w:val="nil"/>
              <w:bottom w:val="single" w:color="auto" w:sz="4" w:space="0"/>
              <w:right w:val="single" w:color="auto" w:sz="4" w:space="0"/>
            </w:tcBorders>
            <w:vAlign w:val="center"/>
          </w:tcPr>
          <w:p w14:paraId="1CF4335B">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5F62E0E8">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乙方地址</w:t>
            </w:r>
          </w:p>
        </w:tc>
        <w:tc>
          <w:tcPr>
            <w:tcW w:w="2976" w:type="dxa"/>
            <w:tcBorders>
              <w:top w:val="nil"/>
              <w:left w:val="nil"/>
              <w:bottom w:val="single" w:color="auto" w:sz="4" w:space="0"/>
              <w:right w:val="single" w:color="auto" w:sz="4" w:space="0"/>
            </w:tcBorders>
            <w:vAlign w:val="center"/>
          </w:tcPr>
          <w:p w14:paraId="6F5AFC9F">
            <w:pPr>
              <w:spacing w:line="560" w:lineRule="exact"/>
              <w:jc w:val="left"/>
              <w:rPr>
                <w:rFonts w:ascii="仿宋_GB2312" w:hAnsi="仿宋" w:eastAsia="仿宋_GB2312" w:cs="宋体"/>
                <w:kern w:val="0"/>
                <w:sz w:val="24"/>
                <w:szCs w:val="36"/>
              </w:rPr>
            </w:pPr>
          </w:p>
        </w:tc>
      </w:tr>
      <w:tr w14:paraId="23ECB4EC">
        <w:tblPrEx>
          <w:tblCellMar>
            <w:top w:w="0" w:type="dxa"/>
            <w:left w:w="108" w:type="dxa"/>
            <w:bottom w:w="0" w:type="dxa"/>
            <w:right w:w="108" w:type="dxa"/>
          </w:tblCellMar>
        </w:tblPrEx>
        <w:trPr>
          <w:trHeight w:val="425" w:hRule="atLeast"/>
        </w:trPr>
        <w:tc>
          <w:tcPr>
            <w:tcW w:w="1418" w:type="dxa"/>
            <w:tcBorders>
              <w:top w:val="nil"/>
              <w:left w:val="single" w:color="auto" w:sz="4" w:space="0"/>
              <w:bottom w:val="single" w:color="auto" w:sz="4" w:space="0"/>
              <w:right w:val="single" w:color="auto" w:sz="4" w:space="0"/>
            </w:tcBorders>
            <w:vAlign w:val="center"/>
          </w:tcPr>
          <w:p w14:paraId="0883B08E">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p>
        </w:tc>
        <w:tc>
          <w:tcPr>
            <w:tcW w:w="2693" w:type="dxa"/>
            <w:tcBorders>
              <w:top w:val="nil"/>
              <w:left w:val="nil"/>
              <w:bottom w:val="single" w:color="auto" w:sz="4" w:space="0"/>
              <w:right w:val="single" w:color="auto" w:sz="4" w:space="0"/>
            </w:tcBorders>
            <w:vAlign w:val="center"/>
          </w:tcPr>
          <w:p w14:paraId="3F18E5E4">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39383F69">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乙方联系人</w:t>
            </w:r>
          </w:p>
        </w:tc>
        <w:tc>
          <w:tcPr>
            <w:tcW w:w="2976" w:type="dxa"/>
            <w:tcBorders>
              <w:top w:val="nil"/>
              <w:left w:val="nil"/>
              <w:bottom w:val="single" w:color="auto" w:sz="4" w:space="0"/>
              <w:right w:val="single" w:color="auto" w:sz="4" w:space="0"/>
            </w:tcBorders>
            <w:vAlign w:val="center"/>
          </w:tcPr>
          <w:p w14:paraId="3DE561FB">
            <w:pPr>
              <w:spacing w:line="560" w:lineRule="exact"/>
              <w:jc w:val="left"/>
              <w:rPr>
                <w:rFonts w:ascii="仿宋_GB2312" w:hAnsi="仿宋" w:eastAsia="仿宋_GB2312" w:cs="宋体"/>
                <w:kern w:val="0"/>
                <w:sz w:val="24"/>
                <w:szCs w:val="36"/>
              </w:rPr>
            </w:pPr>
          </w:p>
        </w:tc>
      </w:tr>
      <w:tr w14:paraId="3A922970">
        <w:tblPrEx>
          <w:tblCellMar>
            <w:top w:w="0" w:type="dxa"/>
            <w:left w:w="108" w:type="dxa"/>
            <w:bottom w:w="0" w:type="dxa"/>
            <w:right w:w="108" w:type="dxa"/>
          </w:tblCellMar>
        </w:tblPrEx>
        <w:trPr>
          <w:trHeight w:val="402" w:hRule="atLeast"/>
        </w:trPr>
        <w:tc>
          <w:tcPr>
            <w:tcW w:w="1418" w:type="dxa"/>
            <w:tcBorders>
              <w:top w:val="nil"/>
              <w:left w:val="single" w:color="auto" w:sz="4" w:space="0"/>
              <w:bottom w:val="single" w:color="auto" w:sz="4" w:space="0"/>
              <w:right w:val="single" w:color="auto" w:sz="4" w:space="0"/>
            </w:tcBorders>
            <w:vAlign w:val="center"/>
          </w:tcPr>
          <w:p w14:paraId="4AE59A4D">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693" w:type="dxa"/>
            <w:tcBorders>
              <w:top w:val="nil"/>
              <w:left w:val="nil"/>
              <w:bottom w:val="single" w:color="auto" w:sz="4" w:space="0"/>
              <w:right w:val="single" w:color="auto" w:sz="4" w:space="0"/>
            </w:tcBorders>
            <w:vAlign w:val="center"/>
          </w:tcPr>
          <w:p w14:paraId="655D4A45">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46F73227">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976" w:type="dxa"/>
            <w:tcBorders>
              <w:top w:val="nil"/>
              <w:left w:val="nil"/>
              <w:bottom w:val="single" w:color="auto" w:sz="4" w:space="0"/>
              <w:right w:val="single" w:color="auto" w:sz="4" w:space="0"/>
            </w:tcBorders>
            <w:vAlign w:val="center"/>
          </w:tcPr>
          <w:p w14:paraId="144BCA07">
            <w:pPr>
              <w:spacing w:line="560" w:lineRule="exact"/>
              <w:jc w:val="left"/>
              <w:rPr>
                <w:rFonts w:ascii="仿宋_GB2312" w:hAnsi="仿宋" w:eastAsia="仿宋_GB2312" w:cs="宋体"/>
                <w:kern w:val="0"/>
                <w:sz w:val="24"/>
                <w:szCs w:val="36"/>
              </w:rPr>
            </w:pPr>
          </w:p>
        </w:tc>
      </w:tr>
      <w:tr w14:paraId="323DD1C6">
        <w:tblPrEx>
          <w:tblCellMar>
            <w:top w:w="0" w:type="dxa"/>
            <w:left w:w="108" w:type="dxa"/>
            <w:bottom w:w="0" w:type="dxa"/>
            <w:right w:w="108" w:type="dxa"/>
          </w:tblCellMar>
        </w:tblPrEx>
        <w:trPr>
          <w:trHeight w:val="1411" w:hRule="atLeast"/>
        </w:trPr>
        <w:tc>
          <w:tcPr>
            <w:tcW w:w="1418" w:type="dxa"/>
            <w:tcBorders>
              <w:top w:val="nil"/>
              <w:left w:val="single" w:color="auto" w:sz="4" w:space="0"/>
              <w:bottom w:val="nil"/>
              <w:right w:val="single" w:color="auto" w:sz="4" w:space="0"/>
            </w:tcBorders>
            <w:vAlign w:val="center"/>
          </w:tcPr>
          <w:p w14:paraId="144C7EB0">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服务内容</w:t>
            </w:r>
          </w:p>
        </w:tc>
        <w:tc>
          <w:tcPr>
            <w:tcW w:w="7087" w:type="dxa"/>
            <w:gridSpan w:val="3"/>
            <w:tcBorders>
              <w:top w:val="nil"/>
              <w:left w:val="nil"/>
              <w:bottom w:val="single" w:color="auto" w:sz="4" w:space="0"/>
              <w:right w:val="single" w:color="auto" w:sz="4" w:space="0"/>
            </w:tcBorders>
            <w:vAlign w:val="center"/>
          </w:tcPr>
          <w:p w14:paraId="55A4E6F9">
            <w:pPr>
              <w:spacing w:line="560" w:lineRule="exact"/>
              <w:jc w:val="center"/>
              <w:rPr>
                <w:rFonts w:ascii="仿宋_GB2312" w:hAnsi="仿宋" w:eastAsia="仿宋_GB2312" w:cs="宋体"/>
                <w:kern w:val="0"/>
                <w:sz w:val="24"/>
                <w:szCs w:val="36"/>
              </w:rPr>
            </w:pPr>
          </w:p>
        </w:tc>
      </w:tr>
      <w:tr w14:paraId="645EE296">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640D1155">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验收地点： </w:t>
            </w:r>
          </w:p>
        </w:tc>
      </w:tr>
      <w:tr w14:paraId="32557B4C">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2727863C">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验收内容： </w:t>
            </w:r>
          </w:p>
        </w:tc>
      </w:tr>
      <w:tr w14:paraId="704BBBF1">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1467E1B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验收标准：</w:t>
            </w:r>
          </w:p>
        </w:tc>
      </w:tr>
      <w:tr w14:paraId="4B92FF5F">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08A5615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验收结论： </w:t>
            </w:r>
          </w:p>
        </w:tc>
      </w:tr>
      <w:tr w14:paraId="16FC6235">
        <w:tblPrEx>
          <w:tblCellMar>
            <w:top w:w="0" w:type="dxa"/>
            <w:left w:w="108" w:type="dxa"/>
            <w:bottom w:w="0" w:type="dxa"/>
            <w:right w:w="108" w:type="dxa"/>
          </w:tblCellMar>
        </w:tblPrEx>
        <w:trPr>
          <w:trHeight w:val="959" w:hRule="atLeast"/>
        </w:trPr>
        <w:tc>
          <w:tcPr>
            <w:tcW w:w="8505" w:type="dxa"/>
            <w:gridSpan w:val="4"/>
            <w:tcBorders>
              <w:top w:val="single" w:color="auto" w:sz="4" w:space="0"/>
              <w:left w:val="single" w:color="auto" w:sz="4" w:space="0"/>
              <w:bottom w:val="single" w:color="auto" w:sz="4" w:space="0"/>
              <w:right w:val="single" w:color="000000" w:sz="4" w:space="0"/>
            </w:tcBorders>
          </w:tcPr>
          <w:p w14:paraId="615BBA06">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备注：</w:t>
            </w:r>
          </w:p>
        </w:tc>
      </w:tr>
      <w:tr w14:paraId="07B16993">
        <w:tblPrEx>
          <w:tblCellMar>
            <w:top w:w="0" w:type="dxa"/>
            <w:left w:w="108" w:type="dxa"/>
            <w:bottom w:w="0" w:type="dxa"/>
            <w:right w:w="108" w:type="dxa"/>
          </w:tblCellMar>
        </w:tblPrEx>
        <w:trPr>
          <w:trHeight w:val="1934" w:hRule="atLeast"/>
        </w:trPr>
        <w:tc>
          <w:tcPr>
            <w:tcW w:w="4111" w:type="dxa"/>
            <w:gridSpan w:val="2"/>
            <w:tcBorders>
              <w:top w:val="single" w:color="auto" w:sz="4" w:space="0"/>
              <w:left w:val="single" w:color="auto" w:sz="4" w:space="0"/>
              <w:bottom w:val="single" w:color="auto" w:sz="4" w:space="0"/>
              <w:right w:val="single" w:color="auto" w:sz="4" w:space="0"/>
            </w:tcBorders>
          </w:tcPr>
          <w:p w14:paraId="6B503F8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日期：</w:t>
            </w:r>
          </w:p>
        </w:tc>
        <w:tc>
          <w:tcPr>
            <w:tcW w:w="4394" w:type="dxa"/>
            <w:gridSpan w:val="2"/>
            <w:tcBorders>
              <w:top w:val="single" w:color="auto" w:sz="4" w:space="0"/>
              <w:left w:val="nil"/>
              <w:bottom w:val="single" w:color="auto" w:sz="4" w:space="0"/>
              <w:right w:val="single" w:color="auto" w:sz="4" w:space="0"/>
            </w:tcBorders>
          </w:tcPr>
          <w:p w14:paraId="00A2FC3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 xml:space="preserve">日期： </w:t>
            </w:r>
          </w:p>
        </w:tc>
      </w:tr>
      <w:tr w14:paraId="643BC87C">
        <w:tblPrEx>
          <w:tblCellMar>
            <w:top w:w="0" w:type="dxa"/>
            <w:left w:w="108" w:type="dxa"/>
            <w:bottom w:w="0" w:type="dxa"/>
            <w:right w:w="108" w:type="dxa"/>
          </w:tblCellMar>
        </w:tblPrEx>
        <w:trPr>
          <w:trHeight w:val="2114" w:hRule="atLeast"/>
        </w:trPr>
        <w:tc>
          <w:tcPr>
            <w:tcW w:w="4111" w:type="dxa"/>
            <w:gridSpan w:val="2"/>
            <w:tcBorders>
              <w:top w:val="single" w:color="auto" w:sz="4" w:space="0"/>
              <w:left w:val="single" w:color="auto" w:sz="4" w:space="0"/>
              <w:bottom w:val="single" w:color="auto" w:sz="4" w:space="0"/>
              <w:right w:val="single" w:color="auto" w:sz="4" w:space="0"/>
            </w:tcBorders>
          </w:tcPr>
          <w:p w14:paraId="3C2BDF5B">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甲方验收单位（盖章）：</w:t>
            </w:r>
          </w:p>
        </w:tc>
        <w:tc>
          <w:tcPr>
            <w:tcW w:w="4394" w:type="dxa"/>
            <w:gridSpan w:val="2"/>
            <w:tcBorders>
              <w:top w:val="single" w:color="auto" w:sz="4" w:space="0"/>
              <w:left w:val="nil"/>
              <w:bottom w:val="single" w:color="auto" w:sz="4" w:space="0"/>
              <w:right w:val="single" w:color="auto" w:sz="4" w:space="0"/>
            </w:tcBorders>
          </w:tcPr>
          <w:p w14:paraId="7A2478D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乙方验收单位（盖章）：</w:t>
            </w:r>
          </w:p>
        </w:tc>
      </w:tr>
    </w:tbl>
    <w:p w14:paraId="6686E4EC">
      <w:pPr>
        <w:rPr>
          <w:rFonts w:hint="eastAsia" w:ascii="仿宋_GB2312" w:hAnsi="仿宋_GB2312" w:eastAsia="仿宋_GB2312" w:cs="仿宋_GB2312"/>
          <w:b/>
          <w:bCs/>
          <w:sz w:val="44"/>
          <w:szCs w:val="44"/>
          <w:highlight w:val="none"/>
        </w:rPr>
      </w:pPr>
      <w:r>
        <w:rPr>
          <w:rFonts w:hint="eastAsia" w:ascii="仿宋_GB2312" w:hAnsi="仿宋" w:eastAsia="仿宋_GB2312" w:cs="宋体"/>
          <w:kern w:val="0"/>
          <w:sz w:val="24"/>
          <w:szCs w:val="36"/>
        </w:rPr>
        <w:t>备注：本验收合格单一式两份，甲乙双方各执一份，具有同等法律效力。</w:t>
      </w:r>
      <w:r>
        <w:rPr>
          <w:rFonts w:hint="eastAsia" w:ascii="仿宋_GB2312" w:hAnsi="仿宋" w:eastAsia="仿宋_GB2312" w:cs="宋体"/>
          <w:kern w:val="0"/>
          <w:sz w:val="24"/>
          <w:szCs w:val="36"/>
        </w:rPr>
        <w:br w:type="page"/>
      </w:r>
    </w:p>
    <w:p w14:paraId="70A6534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lang w:val="en-US" w:eastAsia="zh-CN"/>
        </w:rPr>
        <w:t xml:space="preserve">第四章 </w:t>
      </w:r>
      <w:r>
        <w:rPr>
          <w:rFonts w:hint="eastAsia" w:ascii="仿宋_GB2312" w:hAnsi="仿宋_GB2312" w:eastAsia="仿宋_GB2312" w:cs="仿宋_GB2312"/>
          <w:b/>
          <w:bCs/>
          <w:sz w:val="44"/>
          <w:szCs w:val="44"/>
          <w:highlight w:val="none"/>
        </w:rPr>
        <w:t>响应文件格式</w:t>
      </w:r>
    </w:p>
    <w:p w14:paraId="14FD516D">
      <w:pPr>
        <w:spacing w:line="360" w:lineRule="auto"/>
        <w:outlineLvl w:val="9"/>
        <w:rPr>
          <w:rFonts w:hint="eastAsia" w:ascii="仿宋_GB2312" w:hAnsi="仿宋_GB2312" w:eastAsia="仿宋_GB2312" w:cs="仿宋_GB2312"/>
          <w:b/>
          <w:bCs/>
          <w:sz w:val="32"/>
          <w:szCs w:val="28"/>
          <w:highlight w:val="none"/>
        </w:rPr>
      </w:pPr>
      <w:bookmarkStart w:id="21" w:name="_Toc104912495"/>
      <w:r>
        <w:rPr>
          <w:rFonts w:hint="eastAsia" w:ascii="仿宋_GB2312" w:hAnsi="仿宋_GB2312" w:eastAsia="仿宋_GB2312" w:cs="仿宋_GB2312"/>
          <w:b/>
          <w:bCs/>
          <w:sz w:val="32"/>
          <w:szCs w:val="28"/>
          <w:highlight w:val="none"/>
        </w:rPr>
        <w:t>一、报价一览表</w:t>
      </w:r>
      <w:bookmarkEnd w:id="21"/>
      <w:r>
        <w:rPr>
          <w:rFonts w:hint="eastAsia" w:ascii="仿宋_GB2312" w:hAnsi="仿宋_GB2312" w:eastAsia="仿宋_GB2312" w:cs="仿宋_GB2312"/>
          <w:b/>
          <w:bCs/>
          <w:sz w:val="32"/>
          <w:szCs w:val="28"/>
          <w:highlight w:val="none"/>
          <w:lang w:val="en-US" w:eastAsia="zh-CN"/>
        </w:rPr>
        <w:t>（加盖公章）</w:t>
      </w:r>
    </w:p>
    <w:p w14:paraId="11F3D13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响应人名称：____________</w:t>
      </w:r>
      <w:r>
        <w:rPr>
          <w:rFonts w:hint="eastAsia" w:ascii="仿宋_GB2312" w:hAnsi="仿宋_GB2312" w:eastAsia="仿宋_GB2312" w:cs="仿宋_GB2312"/>
          <w:highlight w:val="none"/>
          <w:lang w:val="en-US" w:eastAsia="zh-CN"/>
        </w:rPr>
        <w:t xml:space="preserve"> </w:t>
      </w:r>
      <w:r>
        <w:rPr>
          <w:rFonts w:hint="eastAsia" w:ascii="仿宋_GB2312" w:hAnsi="仿宋_GB2312" w:eastAsia="仿宋_GB2312" w:cs="仿宋_GB2312"/>
          <w:highlight w:val="none"/>
        </w:rPr>
        <w:t>货币单位：人民币元</w:t>
      </w:r>
    </w:p>
    <w:p>
      <w:pPr>
        <w:shd w:val="clear" w:color="auto" w:fill="D9D9D9"/>
      </w:pPr>
      <w:r>
        <w:rPr>
          <w:rFonts w:ascii="仿宋_GB2312" w:hAnsi="仿宋_GB2312"/>
          <w:color w:val="000000"/>
        </w:rPr>
        <w:t>应答：满足。系统支持响应人名称和货币单位的配置管理，能够实现响应人信息的动态录入与修改，确保数据的准确性和实时性。同时，系统支持多种货币单位的选择与转换功能，满足不同项目的财务需求。</w:t>
      </w:r>
    </w:p>
    <w:tbl>
      <w:tblPr>
        <w:tblStyle w:val="11"/>
        <w:tblW w:w="5193"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8"/>
        <w:gridCol w:w="1755"/>
        <w:gridCol w:w="1030"/>
        <w:gridCol w:w="1719"/>
        <w:gridCol w:w="1719"/>
        <w:gridCol w:w="1684"/>
      </w:tblGrid>
      <w:tr w14:paraId="6D5C2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24" w:hRule="atLeast"/>
          <w:jc w:val="center"/>
        </w:trPr>
        <w:tc>
          <w:tcPr>
            <w:tcW w:w="463" w:type="pct"/>
            <w:tcMar>
              <w:left w:w="0" w:type="dxa"/>
              <w:right w:w="0" w:type="dxa"/>
            </w:tcMar>
            <w:vAlign w:val="center"/>
          </w:tcPr>
          <w:p w14:paraId="7DC8C8F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007" w:type="pct"/>
            <w:tcMar>
              <w:left w:w="0" w:type="dxa"/>
              <w:right w:w="0" w:type="dxa"/>
            </w:tcMar>
            <w:vAlign w:val="center"/>
          </w:tcPr>
          <w:p w14:paraId="69B736F8">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名  称</w:t>
            </w:r>
          </w:p>
        </w:tc>
        <w:tc>
          <w:tcPr>
            <w:tcW w:w="590" w:type="pct"/>
            <w:tcMar>
              <w:left w:w="0" w:type="dxa"/>
              <w:right w:w="0" w:type="dxa"/>
            </w:tcMar>
            <w:vAlign w:val="center"/>
          </w:tcPr>
          <w:p w14:paraId="220783C6">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数量</w:t>
            </w:r>
          </w:p>
        </w:tc>
        <w:tc>
          <w:tcPr>
            <w:tcW w:w="986" w:type="pct"/>
            <w:vAlign w:val="center"/>
          </w:tcPr>
          <w:p w14:paraId="60835DB2">
            <w:pPr>
              <w:jc w:val="cente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单位</w:t>
            </w:r>
          </w:p>
        </w:tc>
        <w:tc>
          <w:tcPr>
            <w:tcW w:w="986" w:type="pct"/>
            <w:vAlign w:val="center"/>
          </w:tcPr>
          <w:p w14:paraId="15DA1BB1">
            <w:pPr>
              <w:jc w:val="center"/>
              <w:rPr>
                <w:rFonts w:hint="default"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rPr>
              <w:t>单价</w:t>
            </w:r>
            <w:r>
              <w:rPr>
                <w:rFonts w:hint="eastAsia" w:ascii="仿宋_GB2312" w:hAnsi="仿宋_GB2312" w:eastAsia="仿宋_GB2312" w:cs="仿宋_GB2312"/>
                <w:b/>
                <w:bCs/>
                <w:highlight w:val="none"/>
                <w:lang w:val="en-US" w:eastAsia="zh-CN"/>
              </w:rPr>
              <w:t>(元/次)</w:t>
            </w:r>
          </w:p>
        </w:tc>
        <w:tc>
          <w:tcPr>
            <w:tcW w:w="966" w:type="pct"/>
            <w:tcMar>
              <w:left w:w="0" w:type="dxa"/>
              <w:right w:w="0" w:type="dxa"/>
            </w:tcMar>
            <w:vAlign w:val="center"/>
          </w:tcPr>
          <w:p w14:paraId="7F1D110A">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总  价</w:t>
            </w:r>
            <w:r>
              <w:rPr>
                <w:rFonts w:hint="eastAsia" w:ascii="仿宋_GB2312" w:hAnsi="仿宋_GB2312" w:eastAsia="仿宋_GB2312" w:cs="仿宋_GB2312"/>
                <w:b/>
                <w:bCs/>
                <w:highlight w:val="none"/>
                <w:lang w:val="en-US" w:eastAsia="zh-CN"/>
              </w:rPr>
              <w:t>(元)</w:t>
            </w:r>
          </w:p>
        </w:tc>
      </w:tr>
      <w:tr w14:paraId="52BA03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463" w:type="pct"/>
            <w:vAlign w:val="center"/>
          </w:tcPr>
          <w:p w14:paraId="052CF13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007" w:type="pct"/>
            <w:vAlign w:val="center"/>
          </w:tcPr>
          <w:p w14:paraId="40C04D38">
            <w:pPr>
              <w:jc w:val="cente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二次放号查询</w:t>
            </w:r>
          </w:p>
        </w:tc>
        <w:tc>
          <w:tcPr>
            <w:tcW w:w="590" w:type="pct"/>
            <w:vAlign w:val="center"/>
          </w:tcPr>
          <w:p w14:paraId="2D43E21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55万</w:t>
            </w:r>
          </w:p>
        </w:tc>
        <w:tc>
          <w:tcPr>
            <w:tcW w:w="1719" w:type="dxa"/>
            <w:vAlign w:val="center"/>
          </w:tcPr>
          <w:p w14:paraId="10A8802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次</w:t>
            </w:r>
          </w:p>
        </w:tc>
        <w:tc>
          <w:tcPr>
            <w:tcW w:w="1719" w:type="dxa"/>
            <w:vAlign w:val="center"/>
          </w:tcPr>
          <w:p w14:paraId="4F3CA34C">
            <w:pPr>
              <w:jc w:val="center"/>
              <w:rPr>
                <w:rFonts w:hint="eastAsia" w:ascii="仿宋_GB2312" w:hAnsi="仿宋_GB2312" w:eastAsia="仿宋_GB2312" w:cs="仿宋_GB2312"/>
                <w:highlight w:val="none"/>
              </w:rPr>
            </w:pPr>
          </w:p>
        </w:tc>
        <w:tc>
          <w:tcPr>
            <w:tcW w:w="1684" w:type="dxa"/>
            <w:vAlign w:val="center"/>
          </w:tcPr>
          <w:p w14:paraId="395E88A2">
            <w:pPr>
              <w:jc w:val="center"/>
              <w:rPr>
                <w:rFonts w:hint="eastAsia" w:ascii="仿宋_GB2312" w:hAnsi="仿宋_GB2312" w:eastAsia="仿宋_GB2312" w:cs="仿宋_GB2312"/>
                <w:highlight w:val="none"/>
              </w:rPr>
            </w:pPr>
          </w:p>
        </w:tc>
      </w:tr>
    </w:tbl>
    <w:p w14:paraId="419FEC92">
      <w:pPr>
        <w:rPr>
          <w:rFonts w:hint="eastAsia" w:ascii="仿宋_GB2312" w:hAnsi="仿宋_GB2312" w:eastAsia="仿宋_GB2312" w:cs="仿宋_GB2312"/>
          <w:bCs/>
          <w:highlight w:val="none"/>
        </w:rPr>
      </w:pPr>
    </w:p>
    <w:p w14:paraId="52DAA496">
      <w:pPr>
        <w:rPr>
          <w:rFonts w:hint="eastAsia" w:ascii="仿宋_GB2312" w:hAnsi="仿宋_GB2312" w:eastAsia="仿宋_GB2312" w:cs="仿宋_GB2312"/>
          <w:bCs/>
          <w:highlight w:val="none"/>
          <w:u w:val="single"/>
        </w:rPr>
      </w:pPr>
      <w:r>
        <w:rPr>
          <w:rFonts w:hint="eastAsia" w:ascii="仿宋_GB2312" w:hAnsi="仿宋_GB2312" w:eastAsia="仿宋_GB2312" w:cs="仿宋_GB2312"/>
          <w:bCs/>
          <w:highlight w:val="none"/>
        </w:rPr>
        <w:t>响应人名称（盖公章）：</w:t>
      </w:r>
      <w:r>
        <w:rPr>
          <w:rFonts w:hint="eastAsia" w:ascii="仿宋_GB2312" w:hAnsi="仿宋_GB2312" w:eastAsia="仿宋_GB2312" w:cs="仿宋_GB2312"/>
          <w:bCs/>
          <w:highlight w:val="none"/>
          <w:u w:val="single"/>
        </w:rPr>
        <w:t xml:space="preserve">                      </w:t>
      </w:r>
    </w:p>
    <w:p>
      <w:pPr>
        <w:shd w:val="clear" w:color="auto" w:fill="D9D9D9"/>
      </w:pPr>
      <w:r>
        <w:rPr>
          <w:rFonts w:ascii="仿宋_GB2312" w:hAnsi="仿宋_GB2312"/>
          <w:color w:val="000000"/>
        </w:rPr>
        <w:t>应答：满足。系统支持可视化创建多种类型的数据源，包括传统数据库、文件系统、消息队列、SaaS API及NoSQL等。用户可通过友好的界面进行数据源的配置管理，支持新增、修改、删除等功能，并具备高效的搜索能力，确保数据源管理的灵活性与便捷性。</w:t>
      </w:r>
    </w:p>
    <w:p w14:paraId="55EC4288">
      <w:pPr>
        <w:rPr>
          <w:rFonts w:hint="eastAsia" w:ascii="仿宋_GB2312" w:hAnsi="仿宋_GB2312" w:eastAsia="仿宋_GB2312" w:cs="仿宋_GB2312"/>
          <w:bCs/>
          <w:highlight w:val="none"/>
          <w:u w:val="single"/>
        </w:rPr>
      </w:pPr>
    </w:p>
    <w:p w14:paraId="39C75053">
      <w:pPr>
        <w:rPr>
          <w:rFonts w:hint="eastAsia" w:ascii="仿宋_GB2312" w:hAnsi="仿宋_GB2312" w:eastAsia="仿宋_GB2312" w:cs="仿宋_GB2312"/>
          <w:bCs/>
          <w:highlight w:val="none"/>
        </w:rPr>
      </w:pPr>
      <w:r>
        <w:rPr>
          <w:rFonts w:hint="eastAsia" w:ascii="仿宋_GB2312" w:hAnsi="仿宋_GB2312" w:eastAsia="仿宋_GB2312" w:cs="仿宋_GB2312"/>
          <w:highlight w:val="none"/>
        </w:rPr>
        <w:t>法定代表人或其授权代表</w:t>
      </w:r>
      <w:r>
        <w:rPr>
          <w:rFonts w:hint="eastAsia" w:ascii="仿宋_GB2312" w:hAnsi="仿宋_GB2312" w:eastAsia="仿宋_GB2312" w:cs="仿宋_GB2312"/>
          <w:bCs/>
          <w:highlight w:val="none"/>
        </w:rPr>
        <w:t xml:space="preserve">（签字）： </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6B819003">
      <w:pPr>
        <w:rPr>
          <w:rFonts w:hint="eastAsia" w:ascii="仿宋_GB2312" w:hAnsi="仿宋_GB2312" w:eastAsia="仿宋_GB2312" w:cs="仿宋_GB2312"/>
          <w:bCs/>
          <w:highlight w:val="none"/>
        </w:rPr>
      </w:pPr>
    </w:p>
    <w:p w14:paraId="3CEEA3CA">
      <w:pPr>
        <w:rPr>
          <w:rFonts w:hint="eastAsia" w:ascii="仿宋_GB2312" w:hAnsi="仿宋_GB2312" w:eastAsia="仿宋_GB2312" w:cs="仿宋_GB2312"/>
          <w:bCs/>
          <w:highlight w:val="none"/>
        </w:rPr>
      </w:pPr>
      <w:r>
        <w:rPr>
          <w:rFonts w:hint="eastAsia" w:ascii="仿宋_GB2312" w:hAnsi="仿宋_GB2312" w:eastAsia="仿宋_GB2312" w:cs="仿宋_GB2312"/>
          <w:bCs/>
          <w:highlight w:val="none"/>
        </w:rPr>
        <w:t>日   期：</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3A8024AC">
      <w:pPr>
        <w:rPr>
          <w:rFonts w:hint="eastAsia" w:ascii="仿宋_GB2312" w:hAnsi="仿宋_GB2312" w:eastAsia="仿宋_GB2312" w:cs="仿宋_GB2312"/>
          <w:highlight w:val="none"/>
        </w:rPr>
      </w:pPr>
    </w:p>
    <w:p w14:paraId="521A384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注：</w:t>
      </w:r>
    </w:p>
    <w:p w14:paraId="151EAAC0">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1、本分项报价表中已列出项目，响应人在响应时不得变更其名称</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应答：满足。系统严格遵循报价表中列出的项目名称，确保在响应过程中不进行任何变更，维护报价的准确性和一致性，以符合采购方的要求和标准。</w:t>
      </w:r>
    </w:p>
    <w:p w14:paraId="52F13FE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2、响应人在本表中未予报价的项目，将视作由响应人免费提供或已包含在其他分项价格中；</w:t>
      </w:r>
    </w:p>
    <w:p>
      <w:pPr>
        <w:shd w:val="clear" w:color="auto" w:fill="D9D9D9"/>
      </w:pPr>
      <w:r>
        <w:rPr>
          <w:rFonts w:ascii="仿宋_GB2312" w:hAnsi="仿宋_GB2312"/>
          <w:color w:val="000000"/>
        </w:rPr>
        <w:t>应答：满足。系统将确保所有未报价项目的服务和功能均已包含在其他分项价格中，确保响应人提供的整体解决方案的完整性与透明度。同时，所有相关服务将按照行业标准执行，确保客户在使用过程中的无缝体验。</w:t>
      </w:r>
    </w:p>
    <w:p w14:paraId="2F7BA90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3、响应人可参照采购标的报出有关产品的详细配置及部件的具体数量与明细价格，作为本表的附件</w:t>
      </w:r>
      <w:r>
        <w:rPr>
          <w:rFonts w:hint="eastAsia" w:ascii="仿宋_GB2312" w:hAnsi="仿宋_GB2312" w:eastAsia="仿宋_GB2312" w:cs="仿宋_GB2312"/>
          <w:highlight w:val="none"/>
          <w:lang w:val="en-US" w:eastAsia="zh-CN"/>
        </w:rPr>
        <w:t>;</w:t>
      </w:r>
    </w:p>
    <w:p>
      <w:pPr>
        <w:shd w:val="clear" w:color="auto" w:fill="D9D9D9"/>
      </w:pPr>
      <w:r>
        <w:rPr>
          <w:rFonts w:ascii="仿宋_GB2312" w:hAnsi="仿宋_GB2312"/>
          <w:color w:val="000000"/>
        </w:rPr>
        <w:t>应答：满足。系统支持详细配置管理，能够提供产品的具体数量与明细价格，确保所有部件信息清晰可见。响应人可根据采购标的要求，生成详细的配置清单，并附上相应的价格信息，便于采购方进行全面评估和决策。</w:t>
      </w:r>
    </w:p>
    <w:p w14:paraId="085F13D4">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4、本表中未列出项目（如技术支持服务费用等），响应人可结合实际情况并根据文件要求具体列明；</w:t>
      </w:r>
    </w:p>
    <w:p>
      <w:pPr>
        <w:shd w:val="clear" w:color="auto" w:fill="D9D9D9"/>
      </w:pPr>
      <w:r>
        <w:rPr>
          <w:rFonts w:ascii="仿宋_GB2312" w:hAnsi="仿宋_GB2312"/>
          <w:color w:val="000000"/>
        </w:rPr>
        <w:t>应答：满足。系统支持根据实际需求灵活配置技术支持服务费用，包括但不限于远程支持、现场服务和定制化培训等，确保满足客户在项目实施过程中的各类需求。同时，响应人将根据比选文件要求，提供详细的费用明细和服务内容，以确保透明度和可预见性。</w:t>
      </w:r>
    </w:p>
    <w:p w14:paraId="1C0D4DEF">
      <w:pPr>
        <w:outlineLvl w:val="9"/>
        <w:rPr>
          <w:rFonts w:hint="eastAsia" w:ascii="仿宋_GB2312" w:hAnsi="仿宋_GB2312" w:eastAsia="仿宋_GB2312" w:cs="仿宋_GB2312"/>
          <w:highlight w:val="none"/>
        </w:rPr>
      </w:pPr>
      <w:r>
        <w:rPr>
          <w:rFonts w:hint="eastAsia" w:ascii="仿宋_GB2312" w:hAnsi="仿宋_GB2312" w:eastAsia="仿宋_GB2312" w:cs="仿宋_GB2312"/>
          <w:highlight w:val="none"/>
        </w:rPr>
        <w:t>5、如果按单价计算的结果与总价不一致，以单价为准修正总价</w:t>
      </w:r>
      <w:r>
        <w:rPr>
          <w:rFonts w:hint="eastAsia" w:ascii="仿宋_GB2312" w:hAnsi="仿宋_GB2312" w:eastAsia="仿宋_GB2312" w:cs="仿宋_GB2312"/>
          <w:highlight w:val="none"/>
          <w:lang w:eastAsia="zh-CN"/>
        </w:rPr>
        <w:t>。</w:t>
      </w:r>
    </w:p>
    <w:p>
      <w:pPr>
        <w:shd w:val="clear" w:color="auto" w:fill="D9D9D9"/>
      </w:pPr>
      <w:r>
        <w:rPr>
          <w:rFonts w:ascii="仿宋_GB2312" w:hAnsi="仿宋_GB2312"/>
          <w:color w:val="000000"/>
        </w:rPr>
        <w:t>应答：满足。系统支持按单价计算的自动校验功能，确保在总价计算时，若单价与总价不一致，能够自动修正总价为单价乘以数量的结果。该功能将有效避免因人工计算错误导致的价格偏差，提升报价的准确性和透明度。</w:t>
      </w:r>
    </w:p>
    <w:p w14:paraId="49EF9C8B">
      <w:pPr>
        <w:rPr>
          <w:rFonts w:hint="eastAsia" w:ascii="仿宋_GB2312" w:hAnsi="仿宋_GB2312" w:eastAsia="仿宋_GB2312" w:cs="仿宋_GB2312"/>
          <w:highlight w:val="none"/>
        </w:rPr>
      </w:pPr>
    </w:p>
    <w:p w14:paraId="5FDF1D46">
      <w:pPr>
        <w:rPr>
          <w:rFonts w:hint="eastAsia" w:ascii="仿宋_GB2312" w:hAnsi="仿宋_GB2312" w:eastAsia="仿宋_GB2312" w:cs="仿宋_GB2312"/>
          <w:highlight w:val="none"/>
        </w:rPr>
      </w:pPr>
    </w:p>
    <w:p w14:paraId="595F335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br w:type="page"/>
      </w:r>
    </w:p>
    <w:p w14:paraId="2E42E8EC">
      <w:pPr>
        <w:spacing w:line="360" w:lineRule="auto"/>
        <w:outlineLvl w:val="9"/>
        <w:rPr>
          <w:rFonts w:hint="eastAsia" w:ascii="仿宋_GB2312" w:hAnsi="仿宋_GB2312" w:eastAsia="仿宋_GB2312" w:cs="仿宋_GB2312"/>
          <w:b/>
          <w:bCs/>
          <w:sz w:val="32"/>
          <w:szCs w:val="28"/>
          <w:highlight w:val="none"/>
        </w:rPr>
      </w:pPr>
      <w:bookmarkStart w:id="22" w:name="_Toc103160246"/>
      <w:bookmarkEnd w:id="22"/>
      <w:bookmarkStart w:id="23" w:name="_Toc103160224"/>
      <w:bookmarkEnd w:id="23"/>
      <w:bookmarkStart w:id="24" w:name="_Toc103160200"/>
      <w:bookmarkEnd w:id="24"/>
      <w:bookmarkStart w:id="25" w:name="_Toc103160192"/>
      <w:bookmarkEnd w:id="25"/>
      <w:bookmarkStart w:id="26" w:name="_Toc103160247"/>
      <w:bookmarkEnd w:id="26"/>
      <w:bookmarkStart w:id="27" w:name="_Toc103160193"/>
      <w:bookmarkEnd w:id="27"/>
      <w:bookmarkStart w:id="28" w:name="_Toc103160242"/>
      <w:bookmarkEnd w:id="28"/>
      <w:bookmarkStart w:id="29" w:name="_Toc103160245"/>
      <w:bookmarkEnd w:id="29"/>
      <w:bookmarkStart w:id="30" w:name="_Toc103160243"/>
      <w:bookmarkEnd w:id="30"/>
      <w:bookmarkStart w:id="31" w:name="_Toc103160212"/>
      <w:bookmarkEnd w:id="31"/>
      <w:bookmarkStart w:id="32" w:name="_Toc103160206"/>
      <w:bookmarkEnd w:id="32"/>
      <w:bookmarkStart w:id="33" w:name="_Toc103160236"/>
      <w:bookmarkEnd w:id="33"/>
      <w:bookmarkStart w:id="34" w:name="_Toc103160244"/>
      <w:bookmarkEnd w:id="34"/>
      <w:bookmarkStart w:id="35" w:name="_Toc103160230"/>
      <w:bookmarkEnd w:id="35"/>
      <w:bookmarkStart w:id="36" w:name="_Toc103160218"/>
      <w:bookmarkEnd w:id="36"/>
      <w:bookmarkStart w:id="37" w:name="_Toc88479810"/>
      <w:bookmarkStart w:id="38" w:name="_Toc104912496"/>
      <w:r>
        <w:rPr>
          <w:rFonts w:hint="eastAsia" w:ascii="仿宋_GB2312" w:hAnsi="仿宋_GB2312" w:eastAsia="仿宋_GB2312" w:cs="仿宋_GB2312"/>
          <w:b/>
          <w:bCs/>
          <w:sz w:val="32"/>
          <w:szCs w:val="28"/>
          <w:highlight w:val="none"/>
        </w:rPr>
        <w:t>二、法人身份证明书</w:t>
      </w:r>
      <w:bookmarkEnd w:id="37"/>
      <w:bookmarkEnd w:id="38"/>
      <w:r>
        <w:rPr>
          <w:rFonts w:hint="eastAsia" w:ascii="仿宋_GB2312" w:hAnsi="仿宋_GB2312" w:eastAsia="仿宋_GB2312" w:cs="仿宋_GB2312"/>
          <w:b/>
          <w:bCs/>
          <w:sz w:val="32"/>
          <w:szCs w:val="28"/>
          <w:highlight w:val="none"/>
          <w:lang w:val="en-US" w:eastAsia="zh-CN"/>
        </w:rPr>
        <w:t>（加盖公章）</w:t>
      </w:r>
    </w:p>
    <w:p w14:paraId="55A9881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姓名：</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，性别：</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，出生日期：</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，现任职务：</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，系</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（供应商名称）的法人。</w:t>
      </w:r>
    </w:p>
    <w:p>
      <w:pPr>
        <w:shd w:val="clear" w:color="auto" w:fill="D9D9D9"/>
      </w:pPr>
      <w:r>
        <w:rPr>
          <w:rFonts w:ascii="仿宋_GB2312" w:hAnsi="仿宋_GB2312"/>
          <w:color w:val="000000"/>
        </w:rPr>
        <w:t>应答：满足。系统支持用户信息的全面管理，包括姓名、性别、出生日期及现任职务等字段的录入和维护。用户信息可通过界面化方式进行增删改查，确保数据的准确性和实时性。同时，系统具备权限管理功能，保障用户信息的安全性和隐私性。</w:t>
      </w:r>
    </w:p>
    <w:p w14:paraId="464D986C">
      <w:pPr>
        <w:rPr>
          <w:rFonts w:hint="eastAsia" w:ascii="仿宋_GB2312" w:hAnsi="仿宋_GB2312" w:eastAsia="仿宋_GB2312" w:cs="仿宋_GB2312"/>
          <w:highlight w:val="none"/>
        </w:rPr>
      </w:pPr>
    </w:p>
    <w:p w14:paraId="480D770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特此证明。</w:t>
      </w:r>
    </w:p>
    <w:p w14:paraId="6A7A2999">
      <w:pPr>
        <w:rPr>
          <w:rFonts w:hint="eastAsia" w:ascii="仿宋_GB2312" w:hAnsi="仿宋_GB2312" w:eastAsia="仿宋_GB2312" w:cs="仿宋_GB2312"/>
          <w:highlight w:val="none"/>
        </w:rPr>
      </w:pPr>
    </w:p>
    <w:p w14:paraId="0B1C1028">
      <w:pPr>
        <w:rPr>
          <w:rFonts w:hint="eastAsia" w:ascii="仿宋_GB2312" w:hAnsi="仿宋_GB2312" w:eastAsia="仿宋_GB2312" w:cs="仿宋_GB2312"/>
          <w:highlight w:val="none"/>
        </w:rPr>
      </w:pPr>
    </w:p>
    <w:p w14:paraId="75FB13EA">
      <w:pPr>
        <w:rPr>
          <w:rFonts w:hint="eastAsia" w:ascii="仿宋_GB2312" w:hAnsi="仿宋_GB2312" w:eastAsia="仿宋_GB2312" w:cs="仿宋_GB2312"/>
          <w:highlight w:val="none"/>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8"/>
      </w:tblGrid>
      <w:tr w14:paraId="143E6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8228" w:type="dxa"/>
          </w:tcPr>
          <w:p w14:paraId="6E47022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（※法人身份证正、反面复印件※）</w:t>
            </w:r>
          </w:p>
        </w:tc>
      </w:tr>
    </w:tbl>
    <w:p w14:paraId="19B4170C">
      <w:pPr>
        <w:rPr>
          <w:rFonts w:hint="eastAsia" w:ascii="仿宋_GB2312" w:hAnsi="仿宋_GB2312" w:eastAsia="仿宋_GB2312" w:cs="仿宋_GB2312"/>
          <w:highlight w:val="none"/>
        </w:rPr>
      </w:pPr>
    </w:p>
    <w:p w14:paraId="279495AE">
      <w:pPr>
        <w:rPr>
          <w:rFonts w:hint="eastAsia" w:ascii="仿宋_GB2312" w:hAnsi="仿宋_GB2312" w:eastAsia="仿宋_GB2312" w:cs="仿宋_GB2312"/>
          <w:highlight w:val="none"/>
        </w:rPr>
      </w:pPr>
    </w:p>
    <w:p w14:paraId="0E31D14F">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法人或其授权代表（签字）：</w:t>
      </w:r>
      <w:r>
        <w:rPr>
          <w:rFonts w:hint="eastAsia" w:ascii="仿宋_GB2312" w:hAnsi="仿宋_GB2312" w:eastAsia="仿宋_GB2312" w:cs="仿宋_GB2312"/>
          <w:highlight w:val="none"/>
          <w:u w:val="single"/>
        </w:rPr>
        <w:t xml:space="preserve">               </w:t>
      </w:r>
    </w:p>
    <w:p w14:paraId="22911EAD">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供应商名称（盖章）：</w:t>
      </w:r>
      <w:r>
        <w:rPr>
          <w:rFonts w:hint="eastAsia" w:ascii="仿宋_GB2312" w:hAnsi="仿宋_GB2312" w:eastAsia="仿宋_GB2312" w:cs="仿宋_GB2312"/>
          <w:highlight w:val="none"/>
          <w:u w:val="single"/>
        </w:rPr>
        <w:t xml:space="preserve">                           </w:t>
      </w:r>
    </w:p>
    <w:p>
      <w:pPr>
        <w:shd w:val="clear" w:color="auto" w:fill="D9D9D9"/>
      </w:pPr>
      <w:r>
        <w:rPr>
          <w:rFonts w:ascii="仿宋_GB2312" w:hAnsi="仿宋_GB2312"/>
          <w:color w:val="000000"/>
        </w:rPr>
        <w:t>应答：满足。系统支持供应商信息的管理，包括供应商名称、联系方式、地址等信息的录入与维护。所有供应商数据均可通过界面化管理，支持新增、修改、删除及查询功能，确保信息的及时更新与准确性。</w:t>
      </w:r>
    </w:p>
    <w:p w14:paraId="760B3AD4">
      <w:pPr>
        <w:rPr>
          <w:rFonts w:hint="eastAsia" w:ascii="仿宋_GB2312" w:hAnsi="仿宋_GB2312" w:eastAsia="仿宋_GB2312" w:cs="仿宋_GB2312"/>
          <w:highlight w:val="none"/>
        </w:rPr>
      </w:pPr>
    </w:p>
    <w:p w14:paraId="42C9B8F6">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highlight w:val="none"/>
        </w:rPr>
        <w:br w:type="page"/>
      </w:r>
      <w:bookmarkStart w:id="39" w:name="_Toc88479811"/>
      <w:bookmarkStart w:id="40" w:name="_Toc104912497"/>
      <w:r>
        <w:rPr>
          <w:rFonts w:hint="eastAsia" w:ascii="仿宋_GB2312" w:hAnsi="仿宋_GB2312" w:eastAsia="仿宋_GB2312" w:cs="仿宋_GB2312"/>
          <w:b/>
          <w:bCs/>
          <w:sz w:val="32"/>
          <w:szCs w:val="28"/>
          <w:highlight w:val="none"/>
        </w:rPr>
        <w:t>三、</w:t>
      </w:r>
      <w:bookmarkEnd w:id="39"/>
      <w:bookmarkEnd w:id="40"/>
      <w:r>
        <w:rPr>
          <w:rFonts w:hint="eastAsia" w:ascii="仿宋_GB2312" w:hAnsi="仿宋_GB2312" w:eastAsia="仿宋_GB2312" w:cs="仿宋_GB2312"/>
          <w:b/>
          <w:bCs/>
          <w:sz w:val="32"/>
          <w:szCs w:val="28"/>
          <w:highlight w:val="none"/>
          <w:lang w:eastAsia="zh-CN"/>
        </w:rPr>
        <w:t>法定代表人/企业负责人授权书</w:t>
      </w:r>
      <w:r>
        <w:rPr>
          <w:rFonts w:hint="eastAsia" w:ascii="仿宋_GB2312" w:hAnsi="仿宋_GB2312" w:eastAsia="仿宋_GB2312" w:cs="仿宋_GB2312"/>
          <w:b/>
          <w:bCs/>
          <w:sz w:val="32"/>
          <w:szCs w:val="28"/>
          <w:highlight w:val="none"/>
          <w:lang w:val="en-US" w:eastAsia="zh-CN"/>
        </w:rPr>
        <w:t>（加盖公章）</w:t>
      </w:r>
    </w:p>
    <w:p w14:paraId="158677C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C750AE4">
      <w:pPr>
        <w:rPr>
          <w:rFonts w:hint="eastAsia" w:ascii="仿宋_GB2312" w:hAnsi="仿宋_GB2312" w:eastAsia="仿宋_GB2312" w:cs="仿宋_GB2312"/>
          <w:b/>
          <w:bCs/>
          <w:highlight w:val="none"/>
        </w:rPr>
      </w:pPr>
      <w:r>
        <w:rPr>
          <w:rFonts w:hint="eastAsia" w:ascii="仿宋_GB2312" w:hAnsi="仿宋_GB2312" w:eastAsia="仿宋_GB2312" w:cs="仿宋_GB2312"/>
          <w:highlight w:val="none"/>
          <w:lang w:val="en-US" w:eastAsia="zh-CN"/>
        </w:rPr>
        <w:t>必须有时间</w:t>
      </w:r>
      <w:r>
        <w:rPr>
          <w:rFonts w:hint="eastAsia" w:ascii="仿宋_GB2312" w:hAnsi="仿宋_GB2312" w:eastAsia="仿宋_GB2312" w:cs="仿宋_GB2312"/>
          <w:b/>
          <w:bCs/>
          <w:highlight w:val="none"/>
        </w:rPr>
        <w:br w:type="page"/>
      </w:r>
    </w:p>
    <w:p w14:paraId="7A7CA384">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rPr>
        <w:t>四、被授权人身份证</w:t>
      </w:r>
      <w:r>
        <w:rPr>
          <w:rFonts w:hint="eastAsia" w:ascii="仿宋_GB2312" w:hAnsi="仿宋_GB2312" w:eastAsia="仿宋_GB2312" w:cs="仿宋_GB2312"/>
          <w:b/>
          <w:bCs/>
          <w:sz w:val="32"/>
          <w:szCs w:val="28"/>
          <w:highlight w:val="none"/>
          <w:lang w:val="en-US" w:eastAsia="zh-CN"/>
        </w:rPr>
        <w:t>（加盖公章）</w:t>
      </w:r>
    </w:p>
    <w:p w14:paraId="22BD45F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0ACFE75">
      <w:p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正反面</w:t>
      </w:r>
    </w:p>
    <w:p w14:paraId="13C75E87">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CAFF14C">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sz w:val="32"/>
          <w:szCs w:val="28"/>
          <w:highlight w:val="none"/>
          <w:lang w:val="en-US" w:eastAsia="zh-CN"/>
        </w:rPr>
        <w:t>五</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承诺函（加盖公章）</w:t>
      </w:r>
    </w:p>
    <w:p w14:paraId="284EE5C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FE654B1">
      <w:pPr>
        <w:rPr>
          <w:rFonts w:hint="eastAsia" w:ascii="仿宋_GB2312" w:hAnsi="仿宋_GB2312" w:eastAsia="仿宋_GB2312" w:cs="仿宋_GB2312"/>
          <w:highlight w:val="none"/>
          <w:lang w:val="en-US" w:eastAsia="zh-CN"/>
        </w:rPr>
      </w:pPr>
    </w:p>
    <w:p w14:paraId="383C4DFA">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必须包含以下内容：</w:t>
      </w:r>
    </w:p>
    <w:p w14:paraId="5C78F2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具有独立承担民事责任的能力；</w:t>
      </w:r>
    </w:p>
    <w:p w14:paraId="425D2C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具有在中国境内开展相关业务的营业资格；</w:t>
      </w:r>
    </w:p>
    <w:p w14:paraId="06CD0C9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遵守国家政策、法律、法规具有良好的商业信誉和诚实的商业道德；</w:t>
      </w:r>
    </w:p>
    <w:p w14:paraId="1DB1878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提交的资料（包括复印件）真实有效；</w:t>
      </w:r>
    </w:p>
    <w:p w14:paraId="18D6B65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承诺不向任何第三方提供相关信息，并遵守双方约定的相关保密要求；</w:t>
      </w:r>
    </w:p>
    <w:p>
      <w:pPr>
        <w:shd w:val="clear" w:color="auto" w:fill="D9D9D9"/>
      </w:pPr>
      <w:r>
        <w:rPr>
          <w:rFonts w:ascii="仿宋_GB2312" w:hAnsi="仿宋_GB2312"/>
          <w:color w:val="000000"/>
        </w:rPr>
        <w:t>应答：满足。系统承诺严格遵守双方约定的保密要求，确保不向任何第三方提供相关信息。我们将实施数据加密和访问控制措施，确保信息安全，维护客户隐私，保障双方的合法权益。</w:t>
      </w:r>
    </w:p>
    <w:p w14:paraId="0A42EDF9">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响应人参加此采购活动三年内（2022年1月至今），在经营活动中没有重大违法记录的书面声明（格式自拟，加盖公章）；</w:t>
      </w:r>
    </w:p>
    <w:p>
      <w:pPr>
        <w:shd w:val="clear" w:color="auto" w:fill="D9D9D9"/>
      </w:pPr>
      <w:r>
        <w:rPr>
          <w:rFonts w:ascii="仿宋_GB2312" w:hAnsi="仿宋_GB2312"/>
          <w:color w:val="000000"/>
        </w:rPr>
        <w:t>应答：满足。我方在过去三年内（2022年1月至今）经营活动中严格遵守法律法规，未发生任何重大违法记录。我们将提供书面声明，格式自拟，并加盖公章，以确保合规性和透明度。</w:t>
      </w:r>
    </w:p>
    <w:p w14:paraId="23F703EC">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响应人未被列入失信被执行人的证明材料。</w:t>
      </w:r>
    </w:p>
    <w:p>
      <w:pPr>
        <w:shd w:val="clear" w:color="auto" w:fill="D9D9D9"/>
      </w:pPr>
      <w:r>
        <w:rPr>
          <w:rFonts w:ascii="仿宋_GB2312" w:hAnsi="仿宋_GB2312"/>
          <w:color w:val="000000"/>
        </w:rPr>
        <w:t>应答：满足。系统提供全面的合规性管理功能，确保响应人未被列入失信被执行人的证明材料可通过合法渠道获取，并可在系统中进行记录和追溯，确保采购过程的透明性和合规性。</w:t>
      </w:r>
    </w:p>
    <w:p w14:paraId="4A038CF6">
      <w:pPr>
        <w:rPr>
          <w:rFonts w:hint="default" w:ascii="仿宋_GB2312" w:hAnsi="仿宋_GB2312" w:eastAsia="仿宋_GB2312" w:cs="仿宋_GB2312"/>
          <w:highlight w:val="none"/>
          <w:lang w:val="en-US" w:eastAsia="zh-CN"/>
        </w:rPr>
      </w:pPr>
    </w:p>
    <w:p w14:paraId="71A56ADF">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B79272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六</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营业执照复印件（加盖公章）</w:t>
      </w:r>
    </w:p>
    <w:p w14:paraId="6BC161A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0AF0FB8">
      <w:pPr>
        <w:rPr>
          <w:rFonts w:hint="eastAsia" w:ascii="仿宋_GB2312" w:hAnsi="仿宋_GB2312" w:eastAsia="仿宋_GB2312" w:cs="仿宋_GB2312"/>
          <w:b/>
          <w:bCs/>
          <w:highlight w:val="none"/>
        </w:rPr>
      </w:pPr>
    </w:p>
    <w:p w14:paraId="378FFFF4">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48B501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七</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基础电信业务经营许可证复印件（加盖公章）</w:t>
      </w:r>
    </w:p>
    <w:p w14:paraId="095F0E7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7A13E8B">
      <w:pPr>
        <w:rPr>
          <w:rFonts w:hint="eastAsia" w:ascii="仿宋_GB2312" w:hAnsi="仿宋_GB2312" w:eastAsia="仿宋_GB2312" w:cs="仿宋_GB2312"/>
          <w:b/>
          <w:bCs/>
          <w:highlight w:val="none"/>
        </w:rPr>
      </w:pPr>
    </w:p>
    <w:p w14:paraId="3BEC5633">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739E5236">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八</w:t>
      </w:r>
      <w:r>
        <w:rPr>
          <w:rFonts w:hint="eastAsia" w:ascii="仿宋_GB2312" w:hAnsi="仿宋_GB2312" w:eastAsia="仿宋_GB2312" w:cs="仿宋_GB2312"/>
          <w:b/>
          <w:bCs/>
          <w:sz w:val="32"/>
          <w:szCs w:val="28"/>
          <w:highlight w:val="none"/>
        </w:rPr>
        <w:t>、资格</w:t>
      </w:r>
      <w:r>
        <w:rPr>
          <w:rFonts w:hint="eastAsia" w:ascii="仿宋_GB2312" w:hAnsi="仿宋_GB2312" w:eastAsia="仿宋_GB2312" w:cs="仿宋_GB2312"/>
          <w:b/>
          <w:bCs/>
          <w:sz w:val="32"/>
          <w:szCs w:val="28"/>
          <w:highlight w:val="none"/>
          <w:lang w:val="en-US" w:eastAsia="zh-CN"/>
        </w:rPr>
        <w:t>案例（加盖公章）</w:t>
      </w:r>
    </w:p>
    <w:p w14:paraId="6A0E9C8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1BA72E8F">
      <w:pPr>
        <w:rPr>
          <w:rFonts w:hint="eastAsia" w:ascii="仿宋_GB2312" w:hAnsi="仿宋_GB2312" w:eastAsia="仿宋_GB2312" w:cs="仿宋_GB2312"/>
          <w:b/>
          <w:bCs/>
          <w:highlight w:val="none"/>
        </w:rPr>
      </w:pPr>
    </w:p>
    <w:p w14:paraId="23AD3CC5">
      <w:pPr>
        <w:rPr>
          <w:rFonts w:hint="eastAsia" w:ascii="仿宋_GB2312" w:hAnsi="仿宋_GB2312" w:eastAsia="仿宋_GB2312" w:cs="仿宋_GB2312"/>
          <w:b/>
          <w:bCs/>
          <w:highlight w:val="none"/>
        </w:rPr>
      </w:pPr>
    </w:p>
    <w:p w14:paraId="4EB69F2C">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5BC16325">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九</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技术和服务需求偏离表（加盖公章）</w:t>
      </w:r>
    </w:p>
    <w:p w14:paraId="4B10E111">
      <w:pPr>
        <w:rPr>
          <w:rFonts w:hint="eastAsia" w:ascii="仿宋_GB2312" w:hAnsi="仿宋_GB2312" w:eastAsia="仿宋_GB2312" w:cs="仿宋_GB2312"/>
          <w:b/>
          <w:bCs/>
          <w:highlight w:val="none"/>
        </w:rPr>
      </w:pPr>
    </w:p>
    <w:p w14:paraId="50D48F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pPr>
        <w:shd w:val="clear" w:color="auto" w:fill="D9D9D9"/>
      </w:pPr>
      <w:r>
        <w:rPr>
          <w:rFonts w:ascii="仿宋_GB2312" w:hAnsi="仿宋_GB2312"/>
          <w:color w:val="000000"/>
          <w:sz w:val="24"/>
        </w:rPr>
        <w:t>应答：满足。系统支持对指标重要性进行分类管理，能够清晰标示“★”、“#”和无标示的指标。对于“★”级别的关键指标，系统将提供实时监控和预警机制，确保及时响应；而对于“#”级别的重要指标，系统同样具备跟踪和分析功能，以确保各项指标的达成。</w:t>
      </w:r>
    </w:p>
    <w:p w14:paraId="5002ACD1">
      <w:pPr>
        <w:keepNext w:val="0"/>
        <w:keepLines w:val="0"/>
        <w:spacing w:line="360" w:lineRule="auto"/>
        <w:ind w:firstLine="482" w:firstLineChars="200"/>
        <w:rPr>
          <w:rFonts w:hint="default"/>
          <w:lang w:val="en-US" w:eastAsia="zh-CN"/>
        </w:rPr>
      </w:pPr>
      <w:r>
        <w:rPr>
          <w:rFonts w:hint="eastAsia" w:ascii="仿宋_GB2312" w:hAnsi="仿宋_GB2312" w:eastAsia="仿宋_GB2312" w:cs="仿宋_GB2312"/>
          <w:b/>
          <w:bCs/>
          <w:sz w:val="24"/>
          <w:szCs w:val="24"/>
          <w:highlight w:val="none"/>
          <w:lang w:val="en-US" w:eastAsia="zh-CN"/>
        </w:rPr>
        <w:t>技术需求偏离表：</w:t>
      </w:r>
    </w:p>
    <w:tbl>
      <w:tblPr>
        <w:tblStyle w:val="11"/>
        <w:tblW w:w="8330" w:type="dxa"/>
        <w:tblInd w:w="-10" w:type="dxa"/>
        <w:tblLayout w:type="fixed"/>
        <w:tblCellMar>
          <w:top w:w="0" w:type="dxa"/>
          <w:left w:w="0" w:type="dxa"/>
          <w:bottom w:w="0" w:type="dxa"/>
          <w:right w:w="0" w:type="dxa"/>
        </w:tblCellMar>
      </w:tblPr>
      <w:tblGrid>
        <w:gridCol w:w="714"/>
        <w:gridCol w:w="909"/>
        <w:gridCol w:w="1557"/>
        <w:gridCol w:w="3428"/>
        <w:gridCol w:w="1722"/>
      </w:tblGrid>
      <w:tr w14:paraId="59BCA315">
        <w:tblPrEx>
          <w:tblCellMar>
            <w:top w:w="0" w:type="dxa"/>
            <w:left w:w="0" w:type="dxa"/>
            <w:bottom w:w="0" w:type="dxa"/>
            <w:right w:w="0" w:type="dxa"/>
          </w:tblCellMar>
        </w:tblPrEx>
        <w:trPr>
          <w:trHeight w:val="20" w:hRule="atLeast"/>
          <w:tblHeader/>
        </w:trPr>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5FEA7C">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序号</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63CDBD">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重要性</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D6AEE">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3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B49ABF">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1722" w:type="dxa"/>
            <w:tcBorders>
              <w:top w:val="single" w:color="000000" w:sz="4" w:space="0"/>
              <w:left w:val="single" w:color="000000" w:sz="4" w:space="0"/>
              <w:bottom w:val="single" w:color="000000" w:sz="4" w:space="0"/>
              <w:right w:val="single" w:color="000000" w:sz="4" w:space="0"/>
            </w:tcBorders>
          </w:tcPr>
          <w:p w14:paraId="1F8B1CB0">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66D247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269FD8C6">
            <w:pPr>
              <w:widowControl/>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rPr>
              <w:t>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16F0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3A90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428" w:type="dxa"/>
            <w:tcBorders>
              <w:top w:val="single" w:color="000000" w:sz="4" w:space="0"/>
              <w:left w:val="single" w:color="000000" w:sz="4" w:space="0"/>
              <w:bottom w:val="single" w:color="000000" w:sz="4" w:space="0"/>
              <w:right w:val="single" w:color="000000" w:sz="4" w:space="0"/>
            </w:tcBorders>
            <w:vAlign w:val="center"/>
          </w:tcPr>
          <w:p w14:paraId="4D4E4971">
            <w:pPr>
              <w:widowControl/>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CC4303">
            <w:pPr>
              <w:widowControl/>
              <w:jc w:val="center"/>
              <w:textAlignment w:val="center"/>
              <w:rPr>
                <w:rFonts w:hint="eastAsia" w:ascii="仿宋_GB2312" w:hAnsi="仿宋_GB2312" w:eastAsia="仿宋_GB2312" w:cs="仿宋_GB2312"/>
                <w:sz w:val="24"/>
                <w:szCs w:val="24"/>
                <w:highlight w:val="none"/>
              </w:rPr>
            </w:pPr>
          </w:p>
        </w:tc>
      </w:tr>
      <w:tr w14:paraId="2A1FBB61">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E83BFC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9DF456">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0740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428" w:type="dxa"/>
            <w:tcBorders>
              <w:top w:val="single" w:color="000000" w:sz="4" w:space="0"/>
              <w:left w:val="single" w:color="000000" w:sz="4" w:space="0"/>
              <w:bottom w:val="single" w:color="000000" w:sz="4" w:space="0"/>
              <w:right w:val="single" w:color="000000" w:sz="4" w:space="0"/>
            </w:tcBorders>
            <w:vAlign w:val="center"/>
          </w:tcPr>
          <w:p w14:paraId="45256B79">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FB6E0C3">
            <w:pPr>
              <w:widowControl/>
              <w:jc w:val="center"/>
              <w:textAlignment w:val="center"/>
              <w:rPr>
                <w:rFonts w:hint="eastAsia" w:ascii="仿宋_GB2312" w:hAnsi="仿宋_GB2312" w:eastAsia="仿宋_GB2312" w:cs="仿宋_GB2312"/>
                <w:sz w:val="24"/>
                <w:szCs w:val="24"/>
                <w:highlight w:val="none"/>
              </w:rPr>
            </w:pPr>
          </w:p>
        </w:tc>
      </w:tr>
      <w:tr w14:paraId="50153A9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D9F65D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DDDDE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88B10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428" w:type="dxa"/>
            <w:tcBorders>
              <w:top w:val="single" w:color="000000" w:sz="4" w:space="0"/>
              <w:left w:val="single" w:color="000000" w:sz="4" w:space="0"/>
              <w:bottom w:val="single" w:color="000000" w:sz="4" w:space="0"/>
              <w:right w:val="single" w:color="000000" w:sz="4" w:space="0"/>
            </w:tcBorders>
            <w:vAlign w:val="center"/>
          </w:tcPr>
          <w:p w14:paraId="03FBB61E">
            <w:pPr>
              <w:widowControl/>
              <w:textAlignment w:val="center"/>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BB0DA2C">
            <w:pPr>
              <w:widowControl/>
              <w:jc w:val="center"/>
              <w:textAlignment w:val="center"/>
              <w:rPr>
                <w:rFonts w:hint="eastAsia" w:ascii="仿宋_GB2312" w:hAnsi="仿宋_GB2312" w:eastAsia="仿宋_GB2312" w:cs="仿宋_GB2312"/>
                <w:sz w:val="24"/>
                <w:szCs w:val="24"/>
                <w:highlight w:val="none"/>
              </w:rPr>
            </w:pPr>
          </w:p>
        </w:tc>
      </w:tr>
      <w:tr w14:paraId="3DD1483A">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F7A31F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0B86F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C6A3B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428" w:type="dxa"/>
            <w:tcBorders>
              <w:top w:val="single" w:color="000000" w:sz="4" w:space="0"/>
              <w:left w:val="single" w:color="000000" w:sz="4" w:space="0"/>
              <w:bottom w:val="single" w:color="000000" w:sz="4" w:space="0"/>
              <w:right w:val="single" w:color="000000" w:sz="4" w:space="0"/>
            </w:tcBorders>
            <w:vAlign w:val="center"/>
          </w:tcPr>
          <w:p w14:paraId="3B9F8242">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104E725">
            <w:pPr>
              <w:widowControl/>
              <w:jc w:val="center"/>
              <w:textAlignment w:val="center"/>
              <w:rPr>
                <w:rFonts w:hint="eastAsia" w:ascii="仿宋_GB2312" w:hAnsi="仿宋_GB2312" w:eastAsia="仿宋_GB2312" w:cs="仿宋_GB2312"/>
                <w:sz w:val="24"/>
                <w:szCs w:val="24"/>
                <w:highlight w:val="none"/>
              </w:rPr>
            </w:pPr>
          </w:p>
        </w:tc>
      </w:tr>
      <w:tr w14:paraId="46923487">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7484CD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5232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4B4F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7D269FF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10605FA2">
            <w:pPr>
              <w:widowControl/>
              <w:jc w:val="center"/>
              <w:textAlignment w:val="center"/>
              <w:rPr>
                <w:rFonts w:hint="eastAsia" w:ascii="仿宋_GB2312" w:hAnsi="仿宋_GB2312" w:eastAsia="仿宋_GB2312" w:cs="仿宋_GB2312"/>
                <w:sz w:val="24"/>
                <w:szCs w:val="24"/>
                <w:highlight w:val="none"/>
              </w:rPr>
            </w:pPr>
          </w:p>
        </w:tc>
      </w:tr>
      <w:tr w14:paraId="370033B0">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6BF8EF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833C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81C64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428" w:type="dxa"/>
            <w:tcBorders>
              <w:top w:val="single" w:color="000000" w:sz="4" w:space="0"/>
              <w:left w:val="single" w:color="000000" w:sz="4" w:space="0"/>
              <w:bottom w:val="single" w:color="000000" w:sz="4" w:space="0"/>
              <w:right w:val="single" w:color="000000" w:sz="4" w:space="0"/>
            </w:tcBorders>
            <w:vAlign w:val="center"/>
          </w:tcPr>
          <w:p w14:paraId="27BE2F4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B87C863">
            <w:pPr>
              <w:widowControl/>
              <w:jc w:val="center"/>
              <w:textAlignment w:val="center"/>
              <w:rPr>
                <w:rFonts w:hint="eastAsia" w:ascii="仿宋_GB2312" w:hAnsi="仿宋_GB2312" w:eastAsia="仿宋_GB2312" w:cs="仿宋_GB2312"/>
                <w:sz w:val="24"/>
                <w:szCs w:val="24"/>
                <w:highlight w:val="none"/>
              </w:rPr>
            </w:pPr>
          </w:p>
        </w:tc>
      </w:tr>
      <w:tr w14:paraId="6586C5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4EDBBE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E542F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D95D">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428" w:type="dxa"/>
            <w:tcBorders>
              <w:top w:val="single" w:color="000000" w:sz="4" w:space="0"/>
              <w:left w:val="single" w:color="000000" w:sz="4" w:space="0"/>
              <w:bottom w:val="single" w:color="000000" w:sz="4" w:space="0"/>
              <w:right w:val="single" w:color="000000" w:sz="4" w:space="0"/>
            </w:tcBorders>
            <w:vAlign w:val="center"/>
          </w:tcPr>
          <w:p w14:paraId="37986271">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5B775BB">
            <w:pPr>
              <w:widowControl/>
              <w:jc w:val="center"/>
              <w:textAlignment w:val="center"/>
              <w:rPr>
                <w:rFonts w:hint="eastAsia" w:ascii="仿宋_GB2312" w:hAnsi="仿宋_GB2312" w:eastAsia="仿宋_GB2312" w:cs="仿宋_GB2312"/>
                <w:sz w:val="24"/>
                <w:szCs w:val="24"/>
                <w:highlight w:val="none"/>
              </w:rPr>
            </w:pPr>
          </w:p>
        </w:tc>
      </w:tr>
      <w:tr w14:paraId="1967A4B6">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45D09F0">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6DF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20F9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428" w:type="dxa"/>
            <w:tcBorders>
              <w:top w:val="single" w:color="000000" w:sz="4" w:space="0"/>
              <w:left w:val="single" w:color="000000" w:sz="4" w:space="0"/>
              <w:bottom w:val="single" w:color="000000" w:sz="4" w:space="0"/>
              <w:right w:val="single" w:color="000000" w:sz="4" w:space="0"/>
            </w:tcBorders>
            <w:vAlign w:val="center"/>
          </w:tcPr>
          <w:p w14:paraId="6099A5C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A6AC1C3">
            <w:pPr>
              <w:widowControl/>
              <w:jc w:val="center"/>
              <w:textAlignment w:val="center"/>
              <w:rPr>
                <w:rFonts w:hint="eastAsia" w:ascii="仿宋_GB2312" w:hAnsi="仿宋_GB2312" w:eastAsia="仿宋_GB2312" w:cs="仿宋_GB2312"/>
                <w:sz w:val="24"/>
                <w:szCs w:val="24"/>
                <w:highlight w:val="none"/>
              </w:rPr>
            </w:pPr>
          </w:p>
        </w:tc>
      </w:tr>
      <w:tr w14:paraId="1323805D">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4E5647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54F7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A591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428" w:type="dxa"/>
            <w:tcBorders>
              <w:top w:val="single" w:color="000000" w:sz="4" w:space="0"/>
              <w:left w:val="single" w:color="000000" w:sz="4" w:space="0"/>
              <w:bottom w:val="single" w:color="000000" w:sz="4" w:space="0"/>
              <w:right w:val="single" w:color="000000" w:sz="4" w:space="0"/>
            </w:tcBorders>
            <w:vAlign w:val="center"/>
          </w:tcPr>
          <w:p w14:paraId="21B744F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6E379FC3">
            <w:pPr>
              <w:widowControl/>
              <w:jc w:val="center"/>
              <w:textAlignment w:val="center"/>
              <w:rPr>
                <w:rFonts w:hint="eastAsia" w:ascii="仿宋_GB2312" w:hAnsi="仿宋_GB2312" w:eastAsia="仿宋_GB2312" w:cs="仿宋_GB2312"/>
                <w:sz w:val="24"/>
                <w:szCs w:val="24"/>
                <w:highlight w:val="none"/>
              </w:rPr>
            </w:pPr>
          </w:p>
        </w:tc>
      </w:tr>
      <w:tr w14:paraId="3D0798B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6B7E0B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3F141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027F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652E29AF">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5A0E84B">
            <w:pPr>
              <w:widowControl/>
              <w:jc w:val="center"/>
              <w:textAlignment w:val="center"/>
              <w:rPr>
                <w:rFonts w:hint="eastAsia" w:ascii="仿宋_GB2312" w:hAnsi="仿宋_GB2312" w:eastAsia="仿宋_GB2312" w:cs="仿宋_GB2312"/>
                <w:sz w:val="24"/>
                <w:szCs w:val="24"/>
                <w:highlight w:val="none"/>
              </w:rPr>
            </w:pPr>
          </w:p>
        </w:tc>
      </w:tr>
      <w:tr w14:paraId="6EE4E2B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8602296">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20847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2A077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428" w:type="dxa"/>
            <w:tcBorders>
              <w:top w:val="single" w:color="000000" w:sz="4" w:space="0"/>
              <w:left w:val="single" w:color="000000" w:sz="4" w:space="0"/>
              <w:bottom w:val="single" w:color="000000" w:sz="4" w:space="0"/>
              <w:right w:val="single" w:color="000000" w:sz="4" w:space="0"/>
            </w:tcBorders>
            <w:vAlign w:val="center"/>
          </w:tcPr>
          <w:p w14:paraId="471E7D5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A58D800">
            <w:pPr>
              <w:widowControl/>
              <w:jc w:val="center"/>
              <w:textAlignment w:val="center"/>
              <w:rPr>
                <w:rFonts w:hint="eastAsia" w:ascii="仿宋_GB2312" w:hAnsi="仿宋_GB2312" w:eastAsia="仿宋_GB2312" w:cs="仿宋_GB2312"/>
                <w:sz w:val="24"/>
                <w:szCs w:val="24"/>
                <w:highlight w:val="none"/>
              </w:rPr>
            </w:pPr>
          </w:p>
        </w:tc>
      </w:tr>
      <w:tr w14:paraId="1885CC8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C84C777">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E62BA7">
            <w:pPr>
              <w:jc w:val="center"/>
              <w:rPr>
                <w:rFonts w:hint="eastAsia" w:ascii="仿宋_GB2312" w:hAnsi="宋体" w:eastAsia="仿宋_GB2312" w:cs="仿宋_GB2312"/>
                <w:i w:val="0"/>
                <w:iCs w:val="0"/>
                <w:color w:val="000000"/>
                <w:kern w:val="2"/>
                <w:sz w:val="24"/>
                <w:szCs w:val="24"/>
                <w:u w:val="none"/>
                <w:lang w:val="en-US" w:eastAsia="zh-CN" w:bidi="ar-SA"/>
              </w:rPr>
            </w:pP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69A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428" w:type="dxa"/>
            <w:tcBorders>
              <w:top w:val="single" w:color="000000" w:sz="4" w:space="0"/>
              <w:left w:val="single" w:color="000000" w:sz="4" w:space="0"/>
              <w:bottom w:val="single" w:color="000000" w:sz="4" w:space="0"/>
              <w:right w:val="single" w:color="000000" w:sz="4" w:space="0"/>
            </w:tcBorders>
            <w:vAlign w:val="center"/>
          </w:tcPr>
          <w:p w14:paraId="0B30F8E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4D122227">
            <w:pPr>
              <w:widowControl/>
              <w:jc w:val="center"/>
              <w:textAlignment w:val="center"/>
              <w:rPr>
                <w:rFonts w:hint="eastAsia" w:ascii="仿宋_GB2312" w:hAnsi="仿宋_GB2312" w:eastAsia="仿宋_GB2312" w:cs="仿宋_GB2312"/>
                <w:sz w:val="24"/>
                <w:szCs w:val="24"/>
                <w:highlight w:val="none"/>
              </w:rPr>
            </w:pPr>
          </w:p>
        </w:tc>
      </w:tr>
      <w:tr w14:paraId="25C25F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7369337E">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ED4B8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4C2F3">
            <w:pPr>
              <w:keepNext w:val="0"/>
              <w:keepLines w:val="0"/>
              <w:widowControl/>
              <w:suppressLineNumbers w:val="0"/>
              <w:jc w:val="center"/>
              <w:textAlignment w:val="center"/>
              <w:rPr>
                <w:rFonts w:hint="default" w:ascii="仿宋_GB2312" w:hAnsi="宋体" w:eastAsia="仿宋_GB2312" w:cs="仿宋_GB2312"/>
                <w:i w:val="0"/>
                <w:iCs w:val="0"/>
                <w:color w:val="000000"/>
                <w:kern w:val="0"/>
                <w:sz w:val="24"/>
                <w:szCs w:val="24"/>
                <w:u w:val="none"/>
                <w:lang w:val="en-US" w:eastAsia="zh-CN" w:bidi="ar"/>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428" w:type="dxa"/>
            <w:tcBorders>
              <w:top w:val="single" w:color="000000" w:sz="4" w:space="0"/>
              <w:left w:val="single" w:color="000000" w:sz="4" w:space="0"/>
              <w:bottom w:val="single" w:color="000000" w:sz="4" w:space="0"/>
              <w:right w:val="single" w:color="000000" w:sz="4" w:space="0"/>
            </w:tcBorders>
            <w:vAlign w:val="center"/>
          </w:tcPr>
          <w:p w14:paraId="6ADACB97">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3DD288">
            <w:pPr>
              <w:widowControl/>
              <w:jc w:val="center"/>
              <w:textAlignment w:val="center"/>
              <w:rPr>
                <w:rFonts w:hint="eastAsia" w:ascii="仿宋_GB2312" w:hAnsi="仿宋_GB2312" w:eastAsia="仿宋_GB2312" w:cs="仿宋_GB2312"/>
                <w:sz w:val="24"/>
                <w:szCs w:val="24"/>
                <w:highlight w:val="none"/>
              </w:rPr>
            </w:pPr>
          </w:p>
        </w:tc>
      </w:tr>
    </w:tbl>
    <w:p w14:paraId="1FFCBA87">
      <w:pPr>
        <w:rPr>
          <w:rFonts w:hint="eastAsia" w:ascii="仿宋_GB2312" w:hAnsi="仿宋_GB2312" w:eastAsia="仿宋_GB2312" w:cs="仿宋_GB2312"/>
          <w:b/>
          <w:bCs/>
          <w:highlight w:val="none"/>
        </w:rPr>
      </w:pPr>
    </w:p>
    <w:p w14:paraId="3967D7BE">
      <w:pPr>
        <w:rPr>
          <w:rFonts w:hint="eastAsia" w:ascii="仿宋_GB2312" w:hAnsi="仿宋_GB2312" w:eastAsia="仿宋_GB2312" w:cs="仿宋_GB2312"/>
          <w:b/>
          <w:bCs/>
          <w:highlight w:val="none"/>
          <w:lang w:val="en-US" w:eastAsia="zh-CN"/>
        </w:rPr>
      </w:pPr>
    </w:p>
    <w:p w14:paraId="29E6706D">
      <w:pPr>
        <w:rPr>
          <w:rFonts w:hint="eastAsia" w:ascii="仿宋_GB2312" w:hAnsi="仿宋_GB2312" w:eastAsia="仿宋_GB2312" w:cs="仿宋_GB2312"/>
          <w:b/>
          <w:bCs/>
          <w:highlight w:val="none"/>
          <w:lang w:val="en-US" w:eastAsia="zh-CN"/>
        </w:rPr>
      </w:pPr>
    </w:p>
    <w:p w14:paraId="6BD75013">
      <w:pPr>
        <w:rPr>
          <w:rFonts w:hint="eastAsia" w:ascii="仿宋_GB2312" w:hAnsi="仿宋_GB2312" w:eastAsia="仿宋_GB2312" w:cs="仿宋_GB2312"/>
          <w:b/>
          <w:bCs/>
          <w:highlight w:val="none"/>
          <w:lang w:val="en-US" w:eastAsia="zh-CN"/>
        </w:rPr>
      </w:pPr>
    </w:p>
    <w:p w14:paraId="35CE9FD8">
      <w:pPr>
        <w:rPr>
          <w:rFonts w:hint="eastAsia" w:ascii="仿宋_GB2312" w:hAnsi="仿宋_GB2312" w:eastAsia="仿宋_GB2312" w:cs="仿宋_GB2312"/>
          <w:b/>
          <w:bCs/>
          <w:highlight w:val="none"/>
          <w:lang w:val="en-US" w:eastAsia="zh-CN"/>
        </w:rPr>
      </w:pPr>
    </w:p>
    <w:p w14:paraId="7A803DF7">
      <w:pP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服务需求偏离表：</w:t>
      </w:r>
    </w:p>
    <w:tbl>
      <w:tblPr>
        <w:tblStyle w:val="11"/>
        <w:tblW w:w="4859"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66"/>
        <w:gridCol w:w="1851"/>
        <w:gridCol w:w="3100"/>
        <w:gridCol w:w="1666"/>
      </w:tblGrid>
      <w:tr w14:paraId="78B5B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511" w:type="pct"/>
            <w:vAlign w:val="center"/>
          </w:tcPr>
          <w:p w14:paraId="488AD60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序号</w:t>
            </w:r>
          </w:p>
        </w:tc>
        <w:tc>
          <w:tcPr>
            <w:tcW w:w="519" w:type="pct"/>
            <w:vAlign w:val="center"/>
          </w:tcPr>
          <w:p w14:paraId="672736D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重要性</w:t>
            </w:r>
          </w:p>
        </w:tc>
        <w:tc>
          <w:tcPr>
            <w:tcW w:w="1110" w:type="pct"/>
            <w:vAlign w:val="center"/>
          </w:tcPr>
          <w:p w14:paraId="613BB19C">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1859" w:type="pct"/>
            <w:vAlign w:val="center"/>
          </w:tcPr>
          <w:p w14:paraId="4A673110">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999" w:type="pct"/>
            <w:vAlign w:val="center"/>
          </w:tcPr>
          <w:p w14:paraId="140F3B7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8EB2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511510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519" w:type="pct"/>
            <w:vAlign w:val="center"/>
          </w:tcPr>
          <w:p w14:paraId="42459423">
            <w:pPr>
              <w:jc w:val="center"/>
              <w:rPr>
                <w:rFonts w:hint="eastAsia" w:ascii="仿宋" w:hAnsi="仿宋" w:eastAsia="仿宋" w:cs="Times New Roman"/>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11CECCC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技术要求</w:t>
            </w:r>
          </w:p>
        </w:tc>
        <w:tc>
          <w:tcPr>
            <w:tcW w:w="1859" w:type="pct"/>
            <w:vAlign w:val="center"/>
          </w:tcPr>
          <w:p w14:paraId="15BC126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服务要求详情“1.1 技术总体要求”章节</w:t>
            </w:r>
          </w:p>
        </w:tc>
        <w:tc>
          <w:tcPr>
            <w:tcW w:w="999" w:type="pct"/>
            <w:vAlign w:val="center"/>
          </w:tcPr>
          <w:p w14:paraId="69365185">
            <w:pPr>
              <w:jc w:val="center"/>
              <w:rPr>
                <w:rFonts w:hint="eastAsia" w:ascii="仿宋_GB2312" w:hAnsi="仿宋_GB2312" w:eastAsia="仿宋_GB2312" w:cs="仿宋_GB2312"/>
                <w:sz w:val="24"/>
                <w:szCs w:val="24"/>
                <w:highlight w:val="none"/>
              </w:rPr>
            </w:pPr>
          </w:p>
        </w:tc>
      </w:tr>
      <w:tr w14:paraId="5BE98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FAAAB8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519" w:type="pct"/>
            <w:vAlign w:val="center"/>
          </w:tcPr>
          <w:p w14:paraId="27B4104F">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42693F69">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1859" w:type="pct"/>
            <w:vAlign w:val="center"/>
          </w:tcPr>
          <w:p w14:paraId="59AC7E0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999" w:type="pct"/>
            <w:vAlign w:val="center"/>
          </w:tcPr>
          <w:p w14:paraId="6E9D3926">
            <w:pPr>
              <w:jc w:val="center"/>
              <w:rPr>
                <w:rFonts w:hint="eastAsia" w:ascii="仿宋_GB2312" w:hAnsi="仿宋_GB2312" w:eastAsia="仿宋_GB2312" w:cs="仿宋_GB2312"/>
                <w:sz w:val="24"/>
                <w:szCs w:val="24"/>
                <w:highlight w:val="none"/>
              </w:rPr>
            </w:pPr>
          </w:p>
        </w:tc>
      </w:tr>
      <w:tr w14:paraId="5D171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9688B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519" w:type="pct"/>
            <w:vAlign w:val="center"/>
          </w:tcPr>
          <w:p w14:paraId="6FBEDAB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65E4576">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1859" w:type="pct"/>
            <w:vAlign w:val="center"/>
          </w:tcPr>
          <w:p w14:paraId="003C8EC5">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999" w:type="pct"/>
            <w:vAlign w:val="center"/>
          </w:tcPr>
          <w:p w14:paraId="18157DE3">
            <w:pPr>
              <w:jc w:val="center"/>
              <w:rPr>
                <w:rFonts w:hint="eastAsia" w:ascii="仿宋_GB2312" w:hAnsi="仿宋_GB2312" w:eastAsia="仿宋_GB2312" w:cs="仿宋_GB2312"/>
                <w:sz w:val="24"/>
                <w:szCs w:val="24"/>
                <w:highlight w:val="none"/>
              </w:rPr>
            </w:pPr>
          </w:p>
        </w:tc>
      </w:tr>
      <w:tr w14:paraId="4A4C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0214B0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519" w:type="pct"/>
            <w:vAlign w:val="center"/>
          </w:tcPr>
          <w:p w14:paraId="4D55A712">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19802B8">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服务开通要求</w:t>
            </w:r>
          </w:p>
        </w:tc>
        <w:tc>
          <w:tcPr>
            <w:tcW w:w="1859" w:type="pct"/>
            <w:vAlign w:val="center"/>
          </w:tcPr>
          <w:p w14:paraId="2068A0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999" w:type="pct"/>
            <w:vAlign w:val="center"/>
          </w:tcPr>
          <w:p w14:paraId="601B9165">
            <w:pPr>
              <w:jc w:val="center"/>
              <w:rPr>
                <w:rFonts w:hint="eastAsia" w:ascii="仿宋_GB2312" w:hAnsi="仿宋_GB2312" w:eastAsia="仿宋_GB2312" w:cs="仿宋_GB2312"/>
                <w:sz w:val="24"/>
                <w:szCs w:val="24"/>
                <w:highlight w:val="none"/>
              </w:rPr>
            </w:pPr>
          </w:p>
        </w:tc>
      </w:tr>
      <w:tr w14:paraId="54E2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AA1841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519" w:type="pct"/>
            <w:vAlign w:val="center"/>
          </w:tcPr>
          <w:p w14:paraId="3E8DDF09">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49BDE655">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服务实施要求</w:t>
            </w:r>
          </w:p>
        </w:tc>
        <w:tc>
          <w:tcPr>
            <w:tcW w:w="1859" w:type="pct"/>
            <w:vAlign w:val="center"/>
          </w:tcPr>
          <w:p w14:paraId="2BE86B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999" w:type="pct"/>
            <w:vAlign w:val="center"/>
          </w:tcPr>
          <w:p w14:paraId="0D6CCBE4">
            <w:pPr>
              <w:jc w:val="center"/>
              <w:rPr>
                <w:rFonts w:hint="eastAsia" w:ascii="仿宋_GB2312" w:hAnsi="仿宋_GB2312" w:eastAsia="仿宋_GB2312" w:cs="仿宋_GB2312"/>
                <w:sz w:val="24"/>
                <w:szCs w:val="24"/>
                <w:highlight w:val="none"/>
              </w:rPr>
            </w:pPr>
          </w:p>
        </w:tc>
      </w:tr>
      <w:tr w14:paraId="6CD2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5267086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519" w:type="pct"/>
            <w:vAlign w:val="center"/>
          </w:tcPr>
          <w:p w14:paraId="490C7F90">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5719556B">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1859" w:type="pct"/>
            <w:vAlign w:val="center"/>
          </w:tcPr>
          <w:p w14:paraId="3FDC43D9">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999" w:type="pct"/>
            <w:vAlign w:val="center"/>
          </w:tcPr>
          <w:p w14:paraId="32037CC1">
            <w:pPr>
              <w:jc w:val="center"/>
              <w:rPr>
                <w:rFonts w:hint="eastAsia" w:ascii="仿宋_GB2312" w:hAnsi="仿宋_GB2312" w:eastAsia="仿宋_GB2312" w:cs="仿宋_GB2312"/>
                <w:sz w:val="24"/>
                <w:szCs w:val="24"/>
                <w:highlight w:val="none"/>
              </w:rPr>
            </w:pPr>
          </w:p>
        </w:tc>
      </w:tr>
      <w:tr w14:paraId="49888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1052E64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519" w:type="pct"/>
            <w:vAlign w:val="center"/>
          </w:tcPr>
          <w:p w14:paraId="50C48D1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0D50833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技术支持与售后服务要求</w:t>
            </w:r>
          </w:p>
        </w:tc>
        <w:tc>
          <w:tcPr>
            <w:tcW w:w="1859" w:type="pct"/>
            <w:vAlign w:val="center"/>
          </w:tcPr>
          <w:p w14:paraId="36F846B0">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服务要求详情“4.1技术支持与售后服务”章节</w:t>
            </w:r>
          </w:p>
        </w:tc>
        <w:tc>
          <w:tcPr>
            <w:tcW w:w="999" w:type="pct"/>
            <w:vAlign w:val="center"/>
          </w:tcPr>
          <w:p w14:paraId="71191F7B">
            <w:pPr>
              <w:jc w:val="center"/>
              <w:rPr>
                <w:rFonts w:hint="eastAsia" w:ascii="仿宋_GB2312" w:hAnsi="仿宋_GB2312" w:eastAsia="仿宋_GB2312" w:cs="仿宋_GB2312"/>
                <w:sz w:val="24"/>
                <w:szCs w:val="24"/>
                <w:highlight w:val="none"/>
              </w:rPr>
            </w:pPr>
          </w:p>
        </w:tc>
      </w:tr>
      <w:tr w14:paraId="68F04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CEB9F1">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519" w:type="pct"/>
            <w:vAlign w:val="center"/>
          </w:tcPr>
          <w:p w14:paraId="458F328F">
            <w:pPr>
              <w:jc w:val="center"/>
              <w:rPr>
                <w:rFonts w:hint="eastAsia" w:ascii="仿宋" w:hAnsi="仿宋" w:eastAsia="仿宋" w:cs="宋体"/>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53B3147A">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支持与服务要求</w:t>
            </w:r>
          </w:p>
        </w:tc>
        <w:tc>
          <w:tcPr>
            <w:tcW w:w="1859" w:type="pct"/>
            <w:vAlign w:val="center"/>
          </w:tcPr>
          <w:p w14:paraId="499FF13A">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服务要求详情“4.2支持与服务要求说明”章节</w:t>
            </w:r>
          </w:p>
        </w:tc>
        <w:tc>
          <w:tcPr>
            <w:tcW w:w="999" w:type="pct"/>
            <w:vAlign w:val="center"/>
          </w:tcPr>
          <w:p w14:paraId="7A2FE89B">
            <w:pPr>
              <w:jc w:val="center"/>
              <w:rPr>
                <w:rFonts w:hint="eastAsia" w:ascii="仿宋_GB2312" w:hAnsi="仿宋_GB2312" w:eastAsia="仿宋_GB2312" w:cs="仿宋_GB2312"/>
                <w:sz w:val="24"/>
                <w:szCs w:val="24"/>
                <w:highlight w:val="none"/>
              </w:rPr>
            </w:pPr>
          </w:p>
        </w:tc>
      </w:tr>
      <w:tr w14:paraId="46F0C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6BEC835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519" w:type="pct"/>
            <w:vAlign w:val="center"/>
          </w:tcPr>
          <w:p w14:paraId="195B34C9">
            <w:pPr>
              <w:jc w:val="center"/>
              <w:rPr>
                <w:rFonts w:hint="eastAsia" w:ascii="仿宋" w:hAnsi="仿宋" w:eastAsia="仿宋" w:cs="宋体"/>
                <w:kern w:val="0"/>
                <w:sz w:val="28"/>
                <w:szCs w:val="28"/>
                <w:lang w:val="en-US" w:eastAsia="zh-CN" w:bidi="ar-SA"/>
              </w:rPr>
            </w:pPr>
            <w:r>
              <w:rPr>
                <w:rFonts w:hint="eastAsia" w:ascii="仿宋" w:hAnsi="仿宋" w:eastAsia="仿宋" w:cs="宋体"/>
                <w:sz w:val="28"/>
                <w:szCs w:val="28"/>
              </w:rPr>
              <w:t>#</w:t>
            </w:r>
          </w:p>
        </w:tc>
        <w:tc>
          <w:tcPr>
            <w:tcW w:w="1110" w:type="pct"/>
            <w:vAlign w:val="center"/>
          </w:tcPr>
          <w:p w14:paraId="1C90677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重要时期保障服务</w:t>
            </w:r>
          </w:p>
        </w:tc>
        <w:tc>
          <w:tcPr>
            <w:tcW w:w="1859" w:type="pct"/>
            <w:vAlign w:val="center"/>
          </w:tcPr>
          <w:p w14:paraId="5E91B88F">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服务要求详情“4.3重要通讯保障服务”章节</w:t>
            </w:r>
          </w:p>
        </w:tc>
        <w:tc>
          <w:tcPr>
            <w:tcW w:w="999" w:type="pct"/>
            <w:vAlign w:val="center"/>
          </w:tcPr>
          <w:p w14:paraId="309FB808">
            <w:pPr>
              <w:jc w:val="center"/>
              <w:rPr>
                <w:rFonts w:hint="eastAsia" w:ascii="仿宋_GB2312" w:hAnsi="仿宋_GB2312" w:eastAsia="仿宋_GB2312" w:cs="仿宋_GB2312"/>
                <w:sz w:val="24"/>
                <w:szCs w:val="24"/>
                <w:highlight w:val="none"/>
              </w:rPr>
            </w:pPr>
          </w:p>
        </w:tc>
      </w:tr>
      <w:tr w14:paraId="5BBA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4E8772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519" w:type="pct"/>
            <w:vAlign w:val="center"/>
          </w:tcPr>
          <w:p w14:paraId="74DDB624">
            <w:pPr>
              <w:jc w:val="center"/>
              <w:rPr>
                <w:rFonts w:hint="eastAsia" w:ascii="仿宋" w:hAnsi="仿宋" w:eastAsia="仿宋" w:cs="宋体"/>
                <w:kern w:val="2"/>
                <w:sz w:val="28"/>
                <w:szCs w:val="28"/>
                <w:lang w:val="en-US" w:eastAsia="zh-CN" w:bidi="ar-SA"/>
              </w:rPr>
            </w:pPr>
            <w:r>
              <w:rPr>
                <w:rFonts w:hint="eastAsia" w:ascii="仿宋" w:hAnsi="仿宋" w:eastAsia="仿宋" w:cs="宋体"/>
                <w:sz w:val="28"/>
                <w:szCs w:val="28"/>
              </w:rPr>
              <w:t>#</w:t>
            </w:r>
          </w:p>
        </w:tc>
        <w:tc>
          <w:tcPr>
            <w:tcW w:w="1110" w:type="pct"/>
            <w:vAlign w:val="center"/>
          </w:tcPr>
          <w:p w14:paraId="1DD2AA0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服务罚则</w:t>
            </w:r>
          </w:p>
        </w:tc>
        <w:tc>
          <w:tcPr>
            <w:tcW w:w="1859" w:type="pct"/>
            <w:vAlign w:val="center"/>
          </w:tcPr>
          <w:p w14:paraId="25276524">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“4.4 服务罚则”</w:t>
            </w:r>
          </w:p>
        </w:tc>
        <w:tc>
          <w:tcPr>
            <w:tcW w:w="999" w:type="pct"/>
            <w:vAlign w:val="center"/>
          </w:tcPr>
          <w:p w14:paraId="7BAB2ECC">
            <w:pPr>
              <w:jc w:val="center"/>
              <w:rPr>
                <w:rFonts w:hint="eastAsia" w:ascii="仿宋_GB2312" w:hAnsi="仿宋_GB2312" w:eastAsia="仿宋_GB2312" w:cs="仿宋_GB2312"/>
                <w:sz w:val="24"/>
                <w:szCs w:val="24"/>
                <w:highlight w:val="none"/>
              </w:rPr>
            </w:pPr>
          </w:p>
        </w:tc>
      </w:tr>
      <w:tr w14:paraId="751F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5E9DD7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519" w:type="pct"/>
            <w:vAlign w:val="center"/>
          </w:tcPr>
          <w:p w14:paraId="6CF8F44D">
            <w:pPr>
              <w:jc w:val="center"/>
              <w:rPr>
                <w:rFonts w:hint="eastAsia" w:ascii="仿宋" w:hAnsi="仿宋" w:eastAsia="仿宋" w:cs="宋体"/>
                <w:kern w:val="2"/>
                <w:sz w:val="28"/>
                <w:szCs w:val="28"/>
                <w:lang w:val="en-US" w:eastAsia="zh-CN" w:bidi="ar-SA"/>
              </w:rPr>
            </w:pPr>
          </w:p>
        </w:tc>
        <w:tc>
          <w:tcPr>
            <w:tcW w:w="1110" w:type="pct"/>
            <w:vAlign w:val="center"/>
          </w:tcPr>
          <w:p w14:paraId="76719C1C">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安全服务</w:t>
            </w:r>
          </w:p>
        </w:tc>
        <w:tc>
          <w:tcPr>
            <w:tcW w:w="1859" w:type="pct"/>
            <w:vAlign w:val="center"/>
          </w:tcPr>
          <w:p w14:paraId="30D4A927">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“4.5 安全服务”</w:t>
            </w:r>
          </w:p>
        </w:tc>
        <w:tc>
          <w:tcPr>
            <w:tcW w:w="999" w:type="pct"/>
            <w:vAlign w:val="center"/>
          </w:tcPr>
          <w:p w14:paraId="53FB6517">
            <w:pPr>
              <w:jc w:val="center"/>
              <w:rPr>
                <w:rFonts w:hint="eastAsia" w:ascii="仿宋_GB2312" w:hAnsi="仿宋_GB2312" w:eastAsia="仿宋_GB2312" w:cs="仿宋_GB2312"/>
                <w:sz w:val="24"/>
                <w:szCs w:val="24"/>
                <w:highlight w:val="none"/>
              </w:rPr>
            </w:pPr>
          </w:p>
        </w:tc>
      </w:tr>
      <w:tr w14:paraId="74D0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6D8696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519" w:type="pct"/>
            <w:vAlign w:val="center"/>
          </w:tcPr>
          <w:p w14:paraId="19252717">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69019A53">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保密要求</w:t>
            </w:r>
          </w:p>
        </w:tc>
        <w:tc>
          <w:tcPr>
            <w:tcW w:w="1859" w:type="pct"/>
            <w:vAlign w:val="center"/>
          </w:tcPr>
          <w:p w14:paraId="7CF2E70D">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服务要求详情“5 保密要求”章节</w:t>
            </w:r>
          </w:p>
        </w:tc>
        <w:tc>
          <w:tcPr>
            <w:tcW w:w="999" w:type="pct"/>
            <w:vAlign w:val="center"/>
          </w:tcPr>
          <w:p w14:paraId="40114ED1">
            <w:pPr>
              <w:jc w:val="center"/>
              <w:rPr>
                <w:rFonts w:hint="eastAsia" w:ascii="仿宋_GB2312" w:hAnsi="仿宋_GB2312" w:eastAsia="仿宋_GB2312" w:cs="仿宋_GB2312"/>
                <w:sz w:val="24"/>
                <w:szCs w:val="24"/>
                <w:highlight w:val="none"/>
              </w:rPr>
            </w:pPr>
          </w:p>
        </w:tc>
      </w:tr>
      <w:tr w14:paraId="56170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A76EBDB">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519" w:type="pct"/>
            <w:vAlign w:val="center"/>
          </w:tcPr>
          <w:p w14:paraId="36E544F4">
            <w:pPr>
              <w:jc w:val="center"/>
              <w:rPr>
                <w:rFonts w:hint="eastAsia" w:ascii="仿宋_GB2312" w:hAnsi="仿宋_GB2312" w:eastAsia="仿宋_GB2312" w:cs="仿宋_GB2312"/>
                <w:kern w:val="0"/>
                <w:sz w:val="24"/>
                <w:szCs w:val="24"/>
                <w:lang w:val="en-US" w:eastAsia="zh-CN" w:bidi="ar-SA"/>
              </w:rPr>
            </w:pPr>
            <w:r>
              <w:rPr>
                <w:rFonts w:hint="eastAsia" w:ascii="仿宋" w:hAnsi="仿宋" w:eastAsia="仿宋" w:cs="宋体"/>
                <w:kern w:val="0"/>
                <w:sz w:val="28"/>
                <w:szCs w:val="28"/>
              </w:rPr>
              <w:t>★</w:t>
            </w:r>
          </w:p>
        </w:tc>
        <w:tc>
          <w:tcPr>
            <w:tcW w:w="1110" w:type="pct"/>
            <w:vAlign w:val="center"/>
          </w:tcPr>
          <w:p w14:paraId="0D4D4A0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付款方式</w:t>
            </w:r>
          </w:p>
        </w:tc>
        <w:tc>
          <w:tcPr>
            <w:tcW w:w="1859" w:type="pct"/>
            <w:vAlign w:val="center"/>
          </w:tcPr>
          <w:p w14:paraId="1F12CA0E">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999" w:type="pct"/>
            <w:vAlign w:val="center"/>
          </w:tcPr>
          <w:p w14:paraId="0B07A964">
            <w:pPr>
              <w:jc w:val="center"/>
              <w:rPr>
                <w:rFonts w:hint="eastAsia" w:ascii="仿宋_GB2312" w:hAnsi="仿宋_GB2312" w:eastAsia="仿宋_GB2312" w:cs="仿宋_GB2312"/>
                <w:kern w:val="2"/>
                <w:sz w:val="24"/>
                <w:szCs w:val="24"/>
                <w:lang w:val="en-US" w:eastAsia="zh-CN" w:bidi="ar-SA"/>
              </w:rPr>
            </w:pPr>
          </w:p>
        </w:tc>
      </w:tr>
    </w:tbl>
    <w:p w14:paraId="4738C852">
      <w:pPr>
        <w:rPr>
          <w:rFonts w:hint="default" w:ascii="仿宋_GB2312" w:hAnsi="仿宋_GB2312" w:eastAsia="仿宋_GB2312" w:cs="仿宋_GB2312"/>
          <w:b/>
          <w:bCs/>
          <w:highlight w:val="none"/>
          <w:lang w:val="en-US" w:eastAsia="zh-CN"/>
        </w:rPr>
      </w:pPr>
    </w:p>
    <w:p w14:paraId="79444FAC">
      <w:pPr>
        <w:rPr>
          <w:rFonts w:hint="eastAsia" w:ascii="仿宋_GB2312" w:hAnsi="仿宋_GB2312" w:eastAsia="仿宋_GB2312" w:cs="仿宋_GB2312"/>
          <w:b/>
          <w:bCs/>
          <w:highlight w:val="none"/>
        </w:rPr>
      </w:pPr>
    </w:p>
    <w:p w14:paraId="332D738E">
      <w:pPr>
        <w:rPr>
          <w:rFonts w:hint="default" w:ascii="仿宋_GB2312" w:hAnsi="仿宋_GB2312" w:eastAsia="仿宋_GB2312" w:cs="仿宋_GB2312"/>
          <w:b/>
          <w:bCs/>
          <w:sz w:val="32"/>
          <w:szCs w:val="28"/>
          <w:highlight w:val="none"/>
          <w:lang w:val="en-US"/>
        </w:rPr>
      </w:pPr>
      <w:bookmarkStart w:id="41" w:name="_Toc104912498"/>
      <w:r>
        <w:rPr>
          <w:rFonts w:hint="default" w:ascii="仿宋_GB2312" w:hAnsi="仿宋_GB2312" w:eastAsia="仿宋_GB2312" w:cs="仿宋_GB2312"/>
          <w:b/>
          <w:bCs/>
          <w:sz w:val="32"/>
          <w:szCs w:val="28"/>
          <w:highlight w:val="none"/>
          <w:lang w:val="en-US"/>
        </w:rPr>
        <w:br w:type="page"/>
      </w:r>
    </w:p>
    <w:p w14:paraId="696C1083">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lang w:val="en-US" w:eastAsia="zh-CN"/>
        </w:rPr>
        <w:t>十</w:t>
      </w:r>
      <w:r>
        <w:rPr>
          <w:rFonts w:hint="eastAsia" w:ascii="仿宋_GB2312" w:hAnsi="仿宋_GB2312" w:eastAsia="仿宋_GB2312" w:cs="仿宋_GB2312"/>
          <w:b/>
          <w:bCs/>
          <w:sz w:val="32"/>
          <w:szCs w:val="28"/>
          <w:highlight w:val="none"/>
        </w:rPr>
        <w:t>、采购需求提及或响应人认为需要提供的其他证明材料</w:t>
      </w:r>
      <w:r>
        <w:rPr>
          <w:rFonts w:hint="eastAsia" w:ascii="仿宋_GB2312" w:hAnsi="仿宋_GB2312" w:eastAsia="仿宋_GB2312" w:cs="仿宋_GB2312"/>
          <w:b/>
          <w:bCs/>
          <w:sz w:val="32"/>
          <w:szCs w:val="28"/>
          <w:highlight w:val="none"/>
          <w:lang w:eastAsia="zh-CN"/>
        </w:rPr>
        <w:t>（</w:t>
      </w:r>
      <w:r>
        <w:rPr>
          <w:rFonts w:hint="eastAsia" w:ascii="仿宋_GB2312" w:hAnsi="仿宋_GB2312" w:eastAsia="仿宋_GB2312" w:cs="仿宋_GB2312"/>
          <w:b/>
          <w:bCs/>
          <w:sz w:val="32"/>
          <w:szCs w:val="28"/>
          <w:highlight w:val="none"/>
          <w:lang w:val="en-US" w:eastAsia="zh-CN"/>
        </w:rPr>
        <w:t>加盖公章</w:t>
      </w:r>
      <w:r>
        <w:rPr>
          <w:rFonts w:hint="eastAsia" w:ascii="仿宋_GB2312" w:hAnsi="仿宋_GB2312" w:eastAsia="仿宋_GB2312" w:cs="仿宋_GB2312"/>
          <w:b/>
          <w:bCs/>
          <w:sz w:val="32"/>
          <w:szCs w:val="28"/>
          <w:highlight w:val="none"/>
          <w:lang w:eastAsia="zh-CN"/>
        </w:rPr>
        <w:t>）</w:t>
      </w:r>
      <w:bookmarkEnd w:id="41"/>
    </w:p>
    <w:p w14:paraId="0F433DB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29BD129">
      <w:pPr>
        <w:rPr>
          <w:rFonts w:hint="default" w:ascii="仿宋_GB2312" w:hAnsi="仿宋_GB2312" w:eastAsia="仿宋_GB2312" w:cs="仿宋_GB2312"/>
          <w:highlight w:val="none"/>
          <w:lang w:val="en-US" w:eastAsia="zh-CN"/>
        </w:rPr>
      </w:pPr>
    </w:p>
    <w:p w14:paraId="13A16F5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详见</w:t>
      </w:r>
      <w:r>
        <w:rPr>
          <w:rFonts w:hint="eastAsia" w:ascii="仿宋_GB2312" w:hAnsi="仿宋_GB2312" w:eastAsia="仿宋_GB2312" w:cs="仿宋_GB2312"/>
          <w:highlight w:val="none"/>
          <w:lang w:val="en-US" w:eastAsia="zh-CN"/>
        </w:rPr>
        <w:t>全文,不限于下列信息：</w:t>
      </w:r>
    </w:p>
    <w:p w14:paraId="49A5994C">
      <w:pPr>
        <w:numPr>
          <w:ilvl w:val="0"/>
          <w:numId w:val="4"/>
        </w:numPr>
        <w:outlineLvl w:val="9"/>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双活部署方案，包括基础设施双活、应用双活等。</w:t>
      </w:r>
    </w:p>
    <w:p>
      <w:pPr>
        <w:shd w:val="clear" w:color="auto" w:fill="D9D9D9"/>
      </w:pPr>
      <w:r>
        <w:rPr>
          <w:rFonts w:ascii="仿宋_GB2312" w:hAnsi="仿宋_GB2312"/>
          <w:color w:val="000000"/>
        </w:rPr>
        <w:t>应答：满足。系统支持双活部署方案，包括基础设施的冗余设计和应用层的负载均衡，实现高可用性和故障切换。基础设施方面，采用主流的虚拟化技术和双活数据中心架构，确保数据同步和业务连续性；应用层通过集群管理和自动化部署，实现无缝切换和负载分担，确保系统在任何情况下均能稳定运行。</w:t>
      </w:r>
    </w:p>
    <w:p w14:paraId="735680B0">
      <w:pPr>
        <w:numPr>
          <w:ilvl w:val="0"/>
          <w:numId w:val="0"/>
        </w:num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（2）售后服务方案，包括</w:t>
      </w:r>
      <w:r>
        <w:rPr>
          <w:rFonts w:hint="eastAsia" w:ascii="仿宋_GB2312" w:hAnsi="仿宋_GB2312" w:eastAsia="仿宋_GB2312" w:cs="仿宋_GB2312"/>
          <w:szCs w:val="24"/>
          <w:highlight w:val="none"/>
        </w:rPr>
        <w:t>完善的服务制度和专业的服务保障团队，应具有良好的售后服务和24小时响应支持的能力</w:t>
      </w:r>
      <w:r>
        <w:rPr>
          <w:rFonts w:hint="eastAsia" w:ascii="仿宋_GB2312" w:hAnsi="仿宋_GB2312" w:eastAsia="仿宋_GB2312" w:cs="仿宋_GB2312"/>
          <w:szCs w:val="24"/>
          <w:highlight w:val="none"/>
          <w:lang w:val="en-US" w:eastAsia="zh-CN"/>
        </w:rPr>
        <w:t>等描述。</w:t>
      </w:r>
    </w:p>
    <w:p>
      <w:pPr>
        <w:shd w:val="clear" w:color="auto" w:fill="D9D9D9"/>
      </w:pPr>
      <w:r>
        <w:rPr>
          <w:rFonts w:ascii="仿宋_GB2312" w:hAnsi="仿宋_GB2312"/>
          <w:color w:val="000000"/>
        </w:rPr>
        <w:t>应答：满足。系统具备完善的售后服务方案，设有专业的服务保障团队，确保客户在使用过程中获得及时支持。我们承诺提供24小时响应服务，针对客户的各类问题，快速处理并解决，确保系统的稳定运行和用户满意度。同时，建立了完善的服务制度，定期进行服务质量评估，持续优化服务流程。</w:t>
      </w:r>
    </w:p>
    <w:p w14:paraId="53BA86DC">
      <w:pPr>
        <w:numPr>
          <w:ilvl w:val="0"/>
          <w:numId w:val="0"/>
        </w:numPr>
        <w:rPr>
          <w:rFonts w:hint="eastAsia" w:ascii="仿宋_GB2312" w:hAnsi="仿宋_GB2312" w:eastAsia="仿宋_GB2312" w:cs="仿宋_GB2312"/>
          <w:highlight w:val="none"/>
          <w:lang w:val="en-US" w:eastAsia="zh-CN"/>
        </w:rPr>
      </w:pPr>
    </w:p>
    <w:p w14:paraId="2F22C4C7">
      <w:pPr>
        <w:numPr>
          <w:ilvl w:val="0"/>
          <w:numId w:val="0"/>
        </w:numPr>
        <w:rPr>
          <w:rFonts w:hint="eastAsia" w:ascii="仿宋_GB2312" w:hAnsi="仿宋_GB2312" w:eastAsia="仿宋_GB2312" w:cs="仿宋_GB2312"/>
          <w:highlight w:val="none"/>
          <w:lang w:val="en-US" w:eastAsia="zh-CN"/>
        </w:rPr>
      </w:pPr>
    </w:p>
    <w:p w14:paraId="363EA91E">
      <w:pPr>
        <w:numPr>
          <w:ilvl w:val="0"/>
          <w:numId w:val="0"/>
        </w:numPr>
        <w:rPr>
          <w:rFonts w:hint="eastAsia" w:ascii="仿宋_GB2312" w:hAnsi="仿宋_GB2312" w:eastAsia="仿宋_GB2312" w:cs="仿宋_GB2312"/>
          <w:highlight w:val="none"/>
          <w:lang w:val="en-US" w:eastAsia="zh-CN"/>
        </w:rPr>
      </w:pPr>
    </w:p>
    <w:p w14:paraId="000E99E3">
      <w:pPr>
        <w:numPr>
          <w:ilvl w:val="0"/>
          <w:numId w:val="0"/>
        </w:numPr>
        <w:rPr>
          <w:rFonts w:hint="eastAsia" w:ascii="仿宋_GB2312" w:hAnsi="仿宋_GB2312" w:eastAsia="仿宋_GB2312" w:cs="仿宋_GB2312"/>
          <w:highlight w:val="none"/>
          <w:lang w:val="en-US" w:eastAsia="zh-CN"/>
        </w:rPr>
      </w:pPr>
    </w:p>
    <w:p w14:paraId="2B08696E">
      <w:pPr>
        <w:rPr>
          <w:highlight w:val="none"/>
        </w:rPr>
      </w:pPr>
    </w:p>
    <w:p>
      <w:pPr>
        <w:spacing w:lineRule="auto" w:line="360"/>
      </w:pPr>
    </w:p>
    <w:p>
      <w:pPr>
        <w:spacing w:lineRule="auto" w:line="360"/>
      </w:pPr>
    </w:p>
    <w:p>
      <w:pPr>
        <w:spacing w:lineRule="auto" w:line="360"/>
        <w:ind w:firstLine="48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jc w:val="left"/>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08"/>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0"/>
      </w:pPr>
    </w:p>
    <w:p>
      <w:pPr>
        <w:spacing w:lineRule="auto" w:line="360"/>
        <w:ind w:firstLine="643"/>
        <w:jc w:val="both"/>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68"/>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pPr>
    </w:p>
    <w:p>
      <w:pPr>
        <w:spacing w:lineRule="auto" w:line="360"/>
        <w:ind w:firstLine="480"/>
      </w:pPr>
    </w:p>
    <w:p>
      <w:pPr>
        <w:spacing w:lineRule="auto" w:line="360"/>
        <w:ind w:firstLine="64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pPr>
    </w:p>
    <w:p>
      <w:pPr>
        <w:spacing w:lineRule="auto" w:line="360"/>
        <w:ind w:firstLine="480"/>
      </w:pPr>
    </w:p>
    <w:p>
      <w:pPr>
        <w:spacing w:lineRule="auto" w:line="360"/>
        <w:ind w:firstLine="480"/>
      </w:pPr>
    </w:p>
    <w:p>
      <w:pPr>
        <w:spacing w:lineRule="auto" w:line="360"/>
        <w:ind w:left="68"/>
        <w:jc w:val="left"/>
      </w:pPr>
    </w:p>
    <w:p>
      <w:pPr>
        <w:spacing w:lineRule="auto" w:line="36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jc w:val="left"/>
      </w:pPr>
    </w:p>
    <w:p>
      <w:pPr>
        <w:spacing w:lineRule="auto" w:line="360"/>
        <w:ind w:firstLine="480"/>
        <w:jc w:val="left"/>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left="0" w:firstLine="480"/>
      </w:pPr>
    </w:p>
    <w:p>
      <w:pPr>
        <w:spacing w:lineRule="auto" w:line="360"/>
        <w:ind w:left="0"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p>
      <w:pPr>
        <w:spacing w:lineRule="auto" w:line="360"/>
        <w:ind w:firstLine="480"/>
      </w:pPr>
    </w:p>
    <w:sectPr>
      <w:pgSz w:w="11920" w:h="16840"/>
      <w:pgMar w:top="1440" w:right="1780" w:bottom="1440" w:left="1780" w:header="256" w:footer="154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PingFang SC">
    <w:altName w:val="微软雅黑"/>
    <w:panose1 w:val="000000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ACF3C50" w:usb2="00000016" w:usb3="00000000" w:csb0="0004001F" w:csb1="00000000"/>
  </w:font>
  <w:font w:name="Helvetica Neue">
    <w:altName w:val="Arial"/>
    <w:panose1 w:val="00000000000000000000"/>
    <w:charset w:val="00"/>
    <w:family w:val="auto"/>
    <w:pitch w:val="default"/>
    <w:sig w:usb0="00000000" w:usb1="00000000" w:usb2="00000010" w:usb3="00000000" w:csb0="00000000"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522E4">
    <w:pPr>
      <w:pStyle w:val="6"/>
      <w:ind w:right="360" w:firstLine="360"/>
      <w:jc w:val="center"/>
      <w:rPr>
        <w:szCs w:val="24"/>
      </w:rPr>
    </w:pPr>
  </w:p>
  <w:p w14:paraId="4215A9F6">
    <w:pPr>
      <w:pStyle w:val="6"/>
      <w:ind w:firstLine="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90477">
    <w:pPr>
      <w:pStyle w:val="6"/>
      <w:framePr w:wrap="around" w:vAnchor="text" w:hAnchor="margin" w:xAlign="center" w:y="1"/>
      <w:ind w:firstLine="360"/>
      <w:rPr>
        <w:rStyle w:val="13"/>
        <w:szCs w:val="24"/>
      </w:rPr>
    </w:pPr>
    <w:r>
      <w:rPr>
        <w:szCs w:val="24"/>
      </w:rPr>
      <w:fldChar w:fldCharType="begin"/>
    </w:r>
    <w:r>
      <w:rPr>
        <w:rStyle w:val="13"/>
        <w:szCs w:val="24"/>
      </w:rPr>
      <w:instrText xml:space="preserve">PAGE  </w:instrText>
    </w:r>
    <w:r>
      <w:rPr>
        <w:szCs w:val="24"/>
      </w:rPr>
      <w:fldChar w:fldCharType="end"/>
    </w:r>
  </w:p>
  <w:p w14:paraId="40A4F078">
    <w:pPr>
      <w:pStyle w:val="6"/>
      <w:ind w:right="360" w:firstLine="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60631"/>
    </w:sdtPr>
    <w:sdtContent>
      <w:p w14:paraId="0E27EAC0">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696505D7">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3CCB0">
    <w:pPr>
      <w:ind w:firstLine="360"/>
      <w:jc w:val="left"/>
      <w:rPr>
        <w:sz w:val="1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DE0B9">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CB0A7">
    <w:pPr>
      <w:ind w:firstLine="360"/>
      <w:jc w:val="left"/>
      <w:rPr>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F0C7C"/>
    <w:multiLevelType w:val="singleLevel"/>
    <w:tmpl w:val="C85F0C7C"/>
    <w:lvl w:ilvl="0" w:tentative="0">
      <w:start w:val="1"/>
      <w:numFmt w:val="decimal"/>
      <w:suff w:val="nothing"/>
      <w:lvlText w:val="（%1）"/>
      <w:lvlJc w:val="left"/>
    </w:lvl>
  </w:abstractNum>
  <w:abstractNum w:abstractNumId="1">
    <w:nsid w:val="48DA27F8"/>
    <w:multiLevelType w:val="multilevel"/>
    <w:tmpl w:val="48DA27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2754766"/>
    <w:multiLevelType w:val="multilevel"/>
    <w:tmpl w:val="5275476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5D5F6B10"/>
    <w:multiLevelType w:val="singleLevel"/>
    <w:tmpl w:val="5D5F6B10"/>
    <w:lvl w:ilvl="0" w:tentative="0">
      <w:start w:val="6"/>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iOTM0NjEyZTUxMmVkYTFmZDU0ZDZkOWVjMzQwYTAifQ=="/>
  </w:docVars>
  <w:rsids>
    <w:rsidRoot w:val="009A6A9A"/>
    <w:rsid w:val="00001DE2"/>
    <w:rsid w:val="0000525E"/>
    <w:rsid w:val="000067CD"/>
    <w:rsid w:val="00007E86"/>
    <w:rsid w:val="00032CEA"/>
    <w:rsid w:val="000335BA"/>
    <w:rsid w:val="000335CB"/>
    <w:rsid w:val="00036188"/>
    <w:rsid w:val="00036387"/>
    <w:rsid w:val="000370CF"/>
    <w:rsid w:val="00037FFD"/>
    <w:rsid w:val="000443AE"/>
    <w:rsid w:val="000448E2"/>
    <w:rsid w:val="00050AB6"/>
    <w:rsid w:val="0005156D"/>
    <w:rsid w:val="00053703"/>
    <w:rsid w:val="000539F9"/>
    <w:rsid w:val="0005484F"/>
    <w:rsid w:val="0006084B"/>
    <w:rsid w:val="0006218B"/>
    <w:rsid w:val="0006356C"/>
    <w:rsid w:val="0006380C"/>
    <w:rsid w:val="000702BF"/>
    <w:rsid w:val="00070733"/>
    <w:rsid w:val="000741C0"/>
    <w:rsid w:val="000828D1"/>
    <w:rsid w:val="00082FD3"/>
    <w:rsid w:val="00084EB0"/>
    <w:rsid w:val="000947D3"/>
    <w:rsid w:val="00095CB7"/>
    <w:rsid w:val="000A11A1"/>
    <w:rsid w:val="000A7615"/>
    <w:rsid w:val="000B3484"/>
    <w:rsid w:val="000B6784"/>
    <w:rsid w:val="000C1B27"/>
    <w:rsid w:val="000C6376"/>
    <w:rsid w:val="000C6DBC"/>
    <w:rsid w:val="000D056B"/>
    <w:rsid w:val="000D1662"/>
    <w:rsid w:val="000D1B6E"/>
    <w:rsid w:val="000D43E0"/>
    <w:rsid w:val="000D590A"/>
    <w:rsid w:val="000D7923"/>
    <w:rsid w:val="000F1EB1"/>
    <w:rsid w:val="000F68E1"/>
    <w:rsid w:val="000F6E6B"/>
    <w:rsid w:val="000F7205"/>
    <w:rsid w:val="00110BFE"/>
    <w:rsid w:val="00112336"/>
    <w:rsid w:val="00112B4A"/>
    <w:rsid w:val="001174FD"/>
    <w:rsid w:val="00120ABC"/>
    <w:rsid w:val="00121E4D"/>
    <w:rsid w:val="00123D7F"/>
    <w:rsid w:val="001317A6"/>
    <w:rsid w:val="00132FD8"/>
    <w:rsid w:val="00133C8C"/>
    <w:rsid w:val="00135C7C"/>
    <w:rsid w:val="00142AFB"/>
    <w:rsid w:val="00147B61"/>
    <w:rsid w:val="0015466C"/>
    <w:rsid w:val="00172EBA"/>
    <w:rsid w:val="0017574B"/>
    <w:rsid w:val="00176978"/>
    <w:rsid w:val="00191464"/>
    <w:rsid w:val="00191FAE"/>
    <w:rsid w:val="001935A1"/>
    <w:rsid w:val="0019549E"/>
    <w:rsid w:val="001959D9"/>
    <w:rsid w:val="001969AC"/>
    <w:rsid w:val="001A0F70"/>
    <w:rsid w:val="001A228F"/>
    <w:rsid w:val="001A4B83"/>
    <w:rsid w:val="001A5C12"/>
    <w:rsid w:val="001B0EA8"/>
    <w:rsid w:val="001B2E80"/>
    <w:rsid w:val="001B3638"/>
    <w:rsid w:val="001B5020"/>
    <w:rsid w:val="001B7FE1"/>
    <w:rsid w:val="001C11AE"/>
    <w:rsid w:val="001C4043"/>
    <w:rsid w:val="001C54A1"/>
    <w:rsid w:val="001C6AD2"/>
    <w:rsid w:val="001C6B81"/>
    <w:rsid w:val="001C7849"/>
    <w:rsid w:val="001D02F9"/>
    <w:rsid w:val="001D0629"/>
    <w:rsid w:val="001D21CF"/>
    <w:rsid w:val="001D785A"/>
    <w:rsid w:val="001E0C0E"/>
    <w:rsid w:val="001E69DE"/>
    <w:rsid w:val="001E6B7A"/>
    <w:rsid w:val="001F06E4"/>
    <w:rsid w:val="001F35D5"/>
    <w:rsid w:val="001F5EFC"/>
    <w:rsid w:val="001F6029"/>
    <w:rsid w:val="00204A7F"/>
    <w:rsid w:val="0021086A"/>
    <w:rsid w:val="00211FC0"/>
    <w:rsid w:val="00217AF8"/>
    <w:rsid w:val="00217B0B"/>
    <w:rsid w:val="00222562"/>
    <w:rsid w:val="002227D9"/>
    <w:rsid w:val="00222DAC"/>
    <w:rsid w:val="00223169"/>
    <w:rsid w:val="00237C2D"/>
    <w:rsid w:val="00240163"/>
    <w:rsid w:val="002401A2"/>
    <w:rsid w:val="002411AC"/>
    <w:rsid w:val="00241CB2"/>
    <w:rsid w:val="00244A87"/>
    <w:rsid w:val="0024566E"/>
    <w:rsid w:val="00247399"/>
    <w:rsid w:val="00250917"/>
    <w:rsid w:val="00261C57"/>
    <w:rsid w:val="002624F3"/>
    <w:rsid w:val="00263D69"/>
    <w:rsid w:val="00267A68"/>
    <w:rsid w:val="002757DA"/>
    <w:rsid w:val="00280676"/>
    <w:rsid w:val="002837DE"/>
    <w:rsid w:val="00283E5C"/>
    <w:rsid w:val="002937BC"/>
    <w:rsid w:val="002969F7"/>
    <w:rsid w:val="002A2AE4"/>
    <w:rsid w:val="002A6A40"/>
    <w:rsid w:val="002B6F1E"/>
    <w:rsid w:val="002C2A0E"/>
    <w:rsid w:val="002C501B"/>
    <w:rsid w:val="002C767F"/>
    <w:rsid w:val="002D4620"/>
    <w:rsid w:val="002D4698"/>
    <w:rsid w:val="002E0710"/>
    <w:rsid w:val="002E0F56"/>
    <w:rsid w:val="002E21E5"/>
    <w:rsid w:val="002E504D"/>
    <w:rsid w:val="002E6339"/>
    <w:rsid w:val="002E7C56"/>
    <w:rsid w:val="002F0473"/>
    <w:rsid w:val="002F2194"/>
    <w:rsid w:val="002F5022"/>
    <w:rsid w:val="002F6BF0"/>
    <w:rsid w:val="003010E8"/>
    <w:rsid w:val="003021C4"/>
    <w:rsid w:val="00305779"/>
    <w:rsid w:val="00307340"/>
    <w:rsid w:val="003102BE"/>
    <w:rsid w:val="00311532"/>
    <w:rsid w:val="00311813"/>
    <w:rsid w:val="00312D33"/>
    <w:rsid w:val="00313320"/>
    <w:rsid w:val="00317143"/>
    <w:rsid w:val="00331352"/>
    <w:rsid w:val="00341797"/>
    <w:rsid w:val="00342442"/>
    <w:rsid w:val="00342EDA"/>
    <w:rsid w:val="003451E2"/>
    <w:rsid w:val="00345714"/>
    <w:rsid w:val="00350A43"/>
    <w:rsid w:val="00353AAF"/>
    <w:rsid w:val="00355AA1"/>
    <w:rsid w:val="003563EA"/>
    <w:rsid w:val="00361A30"/>
    <w:rsid w:val="003629E8"/>
    <w:rsid w:val="0036511E"/>
    <w:rsid w:val="00366574"/>
    <w:rsid w:val="00373269"/>
    <w:rsid w:val="00380916"/>
    <w:rsid w:val="00381186"/>
    <w:rsid w:val="00384096"/>
    <w:rsid w:val="0039020E"/>
    <w:rsid w:val="00390594"/>
    <w:rsid w:val="00395B18"/>
    <w:rsid w:val="00396921"/>
    <w:rsid w:val="003A174D"/>
    <w:rsid w:val="003A34C8"/>
    <w:rsid w:val="003B4BA8"/>
    <w:rsid w:val="003B760A"/>
    <w:rsid w:val="003B7823"/>
    <w:rsid w:val="003C4DBD"/>
    <w:rsid w:val="003D09B3"/>
    <w:rsid w:val="003D1848"/>
    <w:rsid w:val="003D2A3D"/>
    <w:rsid w:val="003D66B0"/>
    <w:rsid w:val="003E124D"/>
    <w:rsid w:val="003F03B7"/>
    <w:rsid w:val="003F7E50"/>
    <w:rsid w:val="0040067B"/>
    <w:rsid w:val="0040087E"/>
    <w:rsid w:val="00402256"/>
    <w:rsid w:val="0040763C"/>
    <w:rsid w:val="00412BDB"/>
    <w:rsid w:val="0041393A"/>
    <w:rsid w:val="004139E8"/>
    <w:rsid w:val="004147AB"/>
    <w:rsid w:val="00415499"/>
    <w:rsid w:val="00420FE5"/>
    <w:rsid w:val="0042192E"/>
    <w:rsid w:val="00422CB2"/>
    <w:rsid w:val="00424438"/>
    <w:rsid w:val="004249C8"/>
    <w:rsid w:val="00430368"/>
    <w:rsid w:val="00433641"/>
    <w:rsid w:val="00436E9A"/>
    <w:rsid w:val="00437051"/>
    <w:rsid w:val="00441F6A"/>
    <w:rsid w:val="00444BE2"/>
    <w:rsid w:val="00452738"/>
    <w:rsid w:val="004529C1"/>
    <w:rsid w:val="004570D4"/>
    <w:rsid w:val="00464372"/>
    <w:rsid w:val="00465089"/>
    <w:rsid w:val="00466E9B"/>
    <w:rsid w:val="00475A45"/>
    <w:rsid w:val="00480AE8"/>
    <w:rsid w:val="004852C6"/>
    <w:rsid w:val="00490CDE"/>
    <w:rsid w:val="00492EAD"/>
    <w:rsid w:val="00493A4F"/>
    <w:rsid w:val="00495206"/>
    <w:rsid w:val="00497B6B"/>
    <w:rsid w:val="004A07E5"/>
    <w:rsid w:val="004A5FE6"/>
    <w:rsid w:val="004B370B"/>
    <w:rsid w:val="004B47C8"/>
    <w:rsid w:val="004B6462"/>
    <w:rsid w:val="004C1690"/>
    <w:rsid w:val="004C1FE5"/>
    <w:rsid w:val="004C2350"/>
    <w:rsid w:val="004C2C4C"/>
    <w:rsid w:val="004C2E10"/>
    <w:rsid w:val="004C4185"/>
    <w:rsid w:val="004C763E"/>
    <w:rsid w:val="004D0CAA"/>
    <w:rsid w:val="004D3A12"/>
    <w:rsid w:val="004D55A5"/>
    <w:rsid w:val="004D6064"/>
    <w:rsid w:val="004E0BB1"/>
    <w:rsid w:val="004E1314"/>
    <w:rsid w:val="004E723E"/>
    <w:rsid w:val="004F2679"/>
    <w:rsid w:val="004F3249"/>
    <w:rsid w:val="004F7FB6"/>
    <w:rsid w:val="0050799F"/>
    <w:rsid w:val="00507CDC"/>
    <w:rsid w:val="00510165"/>
    <w:rsid w:val="005177FE"/>
    <w:rsid w:val="00521ABD"/>
    <w:rsid w:val="00525D6F"/>
    <w:rsid w:val="005263C7"/>
    <w:rsid w:val="00531087"/>
    <w:rsid w:val="00534CE5"/>
    <w:rsid w:val="005353CC"/>
    <w:rsid w:val="00544BD1"/>
    <w:rsid w:val="00545E3B"/>
    <w:rsid w:val="00547604"/>
    <w:rsid w:val="00553215"/>
    <w:rsid w:val="005557D4"/>
    <w:rsid w:val="005611C6"/>
    <w:rsid w:val="00574E82"/>
    <w:rsid w:val="00575C8B"/>
    <w:rsid w:val="005771C2"/>
    <w:rsid w:val="00580C3D"/>
    <w:rsid w:val="005906A1"/>
    <w:rsid w:val="00593490"/>
    <w:rsid w:val="005A55E6"/>
    <w:rsid w:val="005B700E"/>
    <w:rsid w:val="005B725B"/>
    <w:rsid w:val="005B72A0"/>
    <w:rsid w:val="005C09A0"/>
    <w:rsid w:val="005C59F6"/>
    <w:rsid w:val="005C6078"/>
    <w:rsid w:val="005C6840"/>
    <w:rsid w:val="005D5624"/>
    <w:rsid w:val="005E7CA5"/>
    <w:rsid w:val="005F1A72"/>
    <w:rsid w:val="005F3FA0"/>
    <w:rsid w:val="005F55EA"/>
    <w:rsid w:val="005F6307"/>
    <w:rsid w:val="005F64D6"/>
    <w:rsid w:val="005F6DA6"/>
    <w:rsid w:val="00603267"/>
    <w:rsid w:val="00604B10"/>
    <w:rsid w:val="006108B7"/>
    <w:rsid w:val="006129EB"/>
    <w:rsid w:val="00615523"/>
    <w:rsid w:val="006166E2"/>
    <w:rsid w:val="00621758"/>
    <w:rsid w:val="00627316"/>
    <w:rsid w:val="0063009E"/>
    <w:rsid w:val="00632CEA"/>
    <w:rsid w:val="00636C08"/>
    <w:rsid w:val="00640B79"/>
    <w:rsid w:val="006413BE"/>
    <w:rsid w:val="006419A6"/>
    <w:rsid w:val="00642F67"/>
    <w:rsid w:val="00644FBF"/>
    <w:rsid w:val="006450E4"/>
    <w:rsid w:val="00645117"/>
    <w:rsid w:val="00645A35"/>
    <w:rsid w:val="00647FEA"/>
    <w:rsid w:val="0065082E"/>
    <w:rsid w:val="00660D6F"/>
    <w:rsid w:val="00661649"/>
    <w:rsid w:val="0066368D"/>
    <w:rsid w:val="006650B9"/>
    <w:rsid w:val="00676DCC"/>
    <w:rsid w:val="006809B4"/>
    <w:rsid w:val="00681D07"/>
    <w:rsid w:val="00681E75"/>
    <w:rsid w:val="006825A3"/>
    <w:rsid w:val="00683606"/>
    <w:rsid w:val="006861D0"/>
    <w:rsid w:val="00686352"/>
    <w:rsid w:val="006935FA"/>
    <w:rsid w:val="0069394F"/>
    <w:rsid w:val="006A6EA5"/>
    <w:rsid w:val="006B0F83"/>
    <w:rsid w:val="006B2295"/>
    <w:rsid w:val="006B7650"/>
    <w:rsid w:val="006C4F01"/>
    <w:rsid w:val="006C5146"/>
    <w:rsid w:val="006D6C08"/>
    <w:rsid w:val="006D7140"/>
    <w:rsid w:val="006E3FE5"/>
    <w:rsid w:val="006E626D"/>
    <w:rsid w:val="006F4571"/>
    <w:rsid w:val="007009FA"/>
    <w:rsid w:val="00700E11"/>
    <w:rsid w:val="00701B5B"/>
    <w:rsid w:val="007044F1"/>
    <w:rsid w:val="00705FC3"/>
    <w:rsid w:val="007072FB"/>
    <w:rsid w:val="00710D89"/>
    <w:rsid w:val="0071244A"/>
    <w:rsid w:val="00712632"/>
    <w:rsid w:val="007127EB"/>
    <w:rsid w:val="007132EA"/>
    <w:rsid w:val="0071638F"/>
    <w:rsid w:val="00717BFC"/>
    <w:rsid w:val="00721070"/>
    <w:rsid w:val="00725410"/>
    <w:rsid w:val="00727ACB"/>
    <w:rsid w:val="00731A29"/>
    <w:rsid w:val="00734E76"/>
    <w:rsid w:val="0073503E"/>
    <w:rsid w:val="007356C8"/>
    <w:rsid w:val="00736E4B"/>
    <w:rsid w:val="00737537"/>
    <w:rsid w:val="00740004"/>
    <w:rsid w:val="00741AF2"/>
    <w:rsid w:val="00742536"/>
    <w:rsid w:val="007463AA"/>
    <w:rsid w:val="00746E89"/>
    <w:rsid w:val="0075113C"/>
    <w:rsid w:val="0075185C"/>
    <w:rsid w:val="00752E8F"/>
    <w:rsid w:val="00753636"/>
    <w:rsid w:val="00762450"/>
    <w:rsid w:val="007624F6"/>
    <w:rsid w:val="0076302B"/>
    <w:rsid w:val="007701F5"/>
    <w:rsid w:val="00773814"/>
    <w:rsid w:val="00780F36"/>
    <w:rsid w:val="00795562"/>
    <w:rsid w:val="00796900"/>
    <w:rsid w:val="00797E18"/>
    <w:rsid w:val="007A3781"/>
    <w:rsid w:val="007A58AE"/>
    <w:rsid w:val="007B00C4"/>
    <w:rsid w:val="007B0D4F"/>
    <w:rsid w:val="007B1E38"/>
    <w:rsid w:val="007B5CA6"/>
    <w:rsid w:val="007C1D26"/>
    <w:rsid w:val="007C2FFF"/>
    <w:rsid w:val="007D05B4"/>
    <w:rsid w:val="007D2186"/>
    <w:rsid w:val="007D22C8"/>
    <w:rsid w:val="007D260E"/>
    <w:rsid w:val="007D2CAA"/>
    <w:rsid w:val="007D7D49"/>
    <w:rsid w:val="007E006B"/>
    <w:rsid w:val="007E02A8"/>
    <w:rsid w:val="007E14FE"/>
    <w:rsid w:val="007E5941"/>
    <w:rsid w:val="007F1770"/>
    <w:rsid w:val="00801E31"/>
    <w:rsid w:val="00802D2F"/>
    <w:rsid w:val="008049A3"/>
    <w:rsid w:val="008108CF"/>
    <w:rsid w:val="00813215"/>
    <w:rsid w:val="0081546C"/>
    <w:rsid w:val="00815912"/>
    <w:rsid w:val="00815A2A"/>
    <w:rsid w:val="00821886"/>
    <w:rsid w:val="00821D6E"/>
    <w:rsid w:val="008234E6"/>
    <w:rsid w:val="00826E86"/>
    <w:rsid w:val="00827192"/>
    <w:rsid w:val="00831C5B"/>
    <w:rsid w:val="008323D4"/>
    <w:rsid w:val="00832443"/>
    <w:rsid w:val="00832A9B"/>
    <w:rsid w:val="00833DE1"/>
    <w:rsid w:val="00835E7D"/>
    <w:rsid w:val="00842E16"/>
    <w:rsid w:val="00853C99"/>
    <w:rsid w:val="0085637B"/>
    <w:rsid w:val="0086319A"/>
    <w:rsid w:val="00871EAC"/>
    <w:rsid w:val="00875DB4"/>
    <w:rsid w:val="00876001"/>
    <w:rsid w:val="00881CCA"/>
    <w:rsid w:val="0088687C"/>
    <w:rsid w:val="008877A1"/>
    <w:rsid w:val="00893837"/>
    <w:rsid w:val="008943D9"/>
    <w:rsid w:val="0089576A"/>
    <w:rsid w:val="008A262E"/>
    <w:rsid w:val="008A4740"/>
    <w:rsid w:val="008B185B"/>
    <w:rsid w:val="008C1062"/>
    <w:rsid w:val="008C1BAB"/>
    <w:rsid w:val="008C326C"/>
    <w:rsid w:val="008C7935"/>
    <w:rsid w:val="008D44E6"/>
    <w:rsid w:val="008D4C94"/>
    <w:rsid w:val="008D5550"/>
    <w:rsid w:val="008E0F0C"/>
    <w:rsid w:val="008E23BB"/>
    <w:rsid w:val="008E2629"/>
    <w:rsid w:val="008F3005"/>
    <w:rsid w:val="008F3D4C"/>
    <w:rsid w:val="008F64EA"/>
    <w:rsid w:val="00900E47"/>
    <w:rsid w:val="009046C9"/>
    <w:rsid w:val="009055B9"/>
    <w:rsid w:val="00905679"/>
    <w:rsid w:val="00906138"/>
    <w:rsid w:val="009173C6"/>
    <w:rsid w:val="009202D7"/>
    <w:rsid w:val="00923A7A"/>
    <w:rsid w:val="00925130"/>
    <w:rsid w:val="00934F04"/>
    <w:rsid w:val="009351DA"/>
    <w:rsid w:val="0094292F"/>
    <w:rsid w:val="009459AB"/>
    <w:rsid w:val="00945F4C"/>
    <w:rsid w:val="009478F4"/>
    <w:rsid w:val="00950908"/>
    <w:rsid w:val="00952C1B"/>
    <w:rsid w:val="00953A6D"/>
    <w:rsid w:val="00957930"/>
    <w:rsid w:val="009629CF"/>
    <w:rsid w:val="00962FA6"/>
    <w:rsid w:val="0097599B"/>
    <w:rsid w:val="009767F9"/>
    <w:rsid w:val="00977BE7"/>
    <w:rsid w:val="00977C07"/>
    <w:rsid w:val="00977E68"/>
    <w:rsid w:val="00981768"/>
    <w:rsid w:val="009832F0"/>
    <w:rsid w:val="00983C22"/>
    <w:rsid w:val="00985223"/>
    <w:rsid w:val="0098734E"/>
    <w:rsid w:val="00997CF0"/>
    <w:rsid w:val="009A1190"/>
    <w:rsid w:val="009A2CC2"/>
    <w:rsid w:val="009A699B"/>
    <w:rsid w:val="009A6A9A"/>
    <w:rsid w:val="009B1187"/>
    <w:rsid w:val="009B4FFE"/>
    <w:rsid w:val="009B7754"/>
    <w:rsid w:val="009C06E7"/>
    <w:rsid w:val="009C0997"/>
    <w:rsid w:val="009C5A60"/>
    <w:rsid w:val="009C6AB2"/>
    <w:rsid w:val="009D01D5"/>
    <w:rsid w:val="009D6875"/>
    <w:rsid w:val="009E1620"/>
    <w:rsid w:val="009E1823"/>
    <w:rsid w:val="009E18A7"/>
    <w:rsid w:val="009E5433"/>
    <w:rsid w:val="009E617B"/>
    <w:rsid w:val="009E73E8"/>
    <w:rsid w:val="009E746E"/>
    <w:rsid w:val="009F0D67"/>
    <w:rsid w:val="009F2D75"/>
    <w:rsid w:val="00A00F55"/>
    <w:rsid w:val="00A025FA"/>
    <w:rsid w:val="00A06160"/>
    <w:rsid w:val="00A063BC"/>
    <w:rsid w:val="00A103F9"/>
    <w:rsid w:val="00A118C9"/>
    <w:rsid w:val="00A15830"/>
    <w:rsid w:val="00A20413"/>
    <w:rsid w:val="00A20A72"/>
    <w:rsid w:val="00A20F97"/>
    <w:rsid w:val="00A22678"/>
    <w:rsid w:val="00A277E2"/>
    <w:rsid w:val="00A30A07"/>
    <w:rsid w:val="00A32EC1"/>
    <w:rsid w:val="00A349DF"/>
    <w:rsid w:val="00A34F53"/>
    <w:rsid w:val="00A36ED4"/>
    <w:rsid w:val="00A51DFF"/>
    <w:rsid w:val="00A52D99"/>
    <w:rsid w:val="00A545E4"/>
    <w:rsid w:val="00A54A5D"/>
    <w:rsid w:val="00A63404"/>
    <w:rsid w:val="00A63E87"/>
    <w:rsid w:val="00A70F99"/>
    <w:rsid w:val="00A848E6"/>
    <w:rsid w:val="00A85202"/>
    <w:rsid w:val="00A858E0"/>
    <w:rsid w:val="00A92D27"/>
    <w:rsid w:val="00A940CE"/>
    <w:rsid w:val="00A96923"/>
    <w:rsid w:val="00AA2228"/>
    <w:rsid w:val="00AB13F1"/>
    <w:rsid w:val="00AC5181"/>
    <w:rsid w:val="00AD32D1"/>
    <w:rsid w:val="00AD3475"/>
    <w:rsid w:val="00AD63C7"/>
    <w:rsid w:val="00AD761D"/>
    <w:rsid w:val="00AE4602"/>
    <w:rsid w:val="00AE5B7B"/>
    <w:rsid w:val="00AE7300"/>
    <w:rsid w:val="00AF275E"/>
    <w:rsid w:val="00AF2AE8"/>
    <w:rsid w:val="00AF4C23"/>
    <w:rsid w:val="00AF52C8"/>
    <w:rsid w:val="00AF7494"/>
    <w:rsid w:val="00B0137B"/>
    <w:rsid w:val="00B11B64"/>
    <w:rsid w:val="00B11F4A"/>
    <w:rsid w:val="00B1281A"/>
    <w:rsid w:val="00B1729B"/>
    <w:rsid w:val="00B2480F"/>
    <w:rsid w:val="00B2543D"/>
    <w:rsid w:val="00B26DFE"/>
    <w:rsid w:val="00B33256"/>
    <w:rsid w:val="00B358BF"/>
    <w:rsid w:val="00B4154E"/>
    <w:rsid w:val="00B42505"/>
    <w:rsid w:val="00B47B7B"/>
    <w:rsid w:val="00B50ACA"/>
    <w:rsid w:val="00B57BEA"/>
    <w:rsid w:val="00B61C90"/>
    <w:rsid w:val="00B63766"/>
    <w:rsid w:val="00B63B25"/>
    <w:rsid w:val="00B646AB"/>
    <w:rsid w:val="00B66311"/>
    <w:rsid w:val="00B66AA9"/>
    <w:rsid w:val="00B6701E"/>
    <w:rsid w:val="00B67BF7"/>
    <w:rsid w:val="00B76455"/>
    <w:rsid w:val="00B80063"/>
    <w:rsid w:val="00B80A20"/>
    <w:rsid w:val="00B80E65"/>
    <w:rsid w:val="00B82E6E"/>
    <w:rsid w:val="00B838D3"/>
    <w:rsid w:val="00B8419C"/>
    <w:rsid w:val="00B951F9"/>
    <w:rsid w:val="00B95481"/>
    <w:rsid w:val="00B9656F"/>
    <w:rsid w:val="00B9740A"/>
    <w:rsid w:val="00BA0549"/>
    <w:rsid w:val="00BA0CC6"/>
    <w:rsid w:val="00BA20AF"/>
    <w:rsid w:val="00BA280B"/>
    <w:rsid w:val="00BA329A"/>
    <w:rsid w:val="00BA34CD"/>
    <w:rsid w:val="00BB0136"/>
    <w:rsid w:val="00BB53F5"/>
    <w:rsid w:val="00BB5DDE"/>
    <w:rsid w:val="00BB6264"/>
    <w:rsid w:val="00BB643D"/>
    <w:rsid w:val="00BB712F"/>
    <w:rsid w:val="00BC1F31"/>
    <w:rsid w:val="00BC5A6A"/>
    <w:rsid w:val="00BC6B1C"/>
    <w:rsid w:val="00BC75C7"/>
    <w:rsid w:val="00BD19DC"/>
    <w:rsid w:val="00BD320D"/>
    <w:rsid w:val="00BD3E2F"/>
    <w:rsid w:val="00BD4095"/>
    <w:rsid w:val="00BD5EE4"/>
    <w:rsid w:val="00BE01A0"/>
    <w:rsid w:val="00BE199D"/>
    <w:rsid w:val="00BE22D5"/>
    <w:rsid w:val="00BE3B33"/>
    <w:rsid w:val="00BE44BE"/>
    <w:rsid w:val="00BE6F0C"/>
    <w:rsid w:val="00BE786A"/>
    <w:rsid w:val="00BE7FA5"/>
    <w:rsid w:val="00BF68C4"/>
    <w:rsid w:val="00C00B24"/>
    <w:rsid w:val="00C014FE"/>
    <w:rsid w:val="00C01FB2"/>
    <w:rsid w:val="00C04EB1"/>
    <w:rsid w:val="00C167DC"/>
    <w:rsid w:val="00C17012"/>
    <w:rsid w:val="00C24F13"/>
    <w:rsid w:val="00C2519C"/>
    <w:rsid w:val="00C339C2"/>
    <w:rsid w:val="00C436DB"/>
    <w:rsid w:val="00C51319"/>
    <w:rsid w:val="00C53891"/>
    <w:rsid w:val="00C548EA"/>
    <w:rsid w:val="00C56444"/>
    <w:rsid w:val="00C61248"/>
    <w:rsid w:val="00C6266D"/>
    <w:rsid w:val="00C6352E"/>
    <w:rsid w:val="00C6528D"/>
    <w:rsid w:val="00C6611E"/>
    <w:rsid w:val="00C71EB8"/>
    <w:rsid w:val="00C72B78"/>
    <w:rsid w:val="00C73464"/>
    <w:rsid w:val="00C74C43"/>
    <w:rsid w:val="00C763B8"/>
    <w:rsid w:val="00C80657"/>
    <w:rsid w:val="00C82DCF"/>
    <w:rsid w:val="00C92382"/>
    <w:rsid w:val="00C95B01"/>
    <w:rsid w:val="00C97535"/>
    <w:rsid w:val="00CA045B"/>
    <w:rsid w:val="00CA0875"/>
    <w:rsid w:val="00CA36A0"/>
    <w:rsid w:val="00CA67B5"/>
    <w:rsid w:val="00CA6AF3"/>
    <w:rsid w:val="00CA7FC8"/>
    <w:rsid w:val="00CB2CD7"/>
    <w:rsid w:val="00CC168A"/>
    <w:rsid w:val="00CC27C0"/>
    <w:rsid w:val="00CC2829"/>
    <w:rsid w:val="00CC52DE"/>
    <w:rsid w:val="00CC5FD9"/>
    <w:rsid w:val="00CC6FDF"/>
    <w:rsid w:val="00CD1743"/>
    <w:rsid w:val="00CD188C"/>
    <w:rsid w:val="00CD1DDE"/>
    <w:rsid w:val="00CD502A"/>
    <w:rsid w:val="00CF16F6"/>
    <w:rsid w:val="00CF594A"/>
    <w:rsid w:val="00CF634A"/>
    <w:rsid w:val="00D051A2"/>
    <w:rsid w:val="00D05604"/>
    <w:rsid w:val="00D07699"/>
    <w:rsid w:val="00D15B87"/>
    <w:rsid w:val="00D16F84"/>
    <w:rsid w:val="00D20876"/>
    <w:rsid w:val="00D213C4"/>
    <w:rsid w:val="00D26B84"/>
    <w:rsid w:val="00D3095A"/>
    <w:rsid w:val="00D30BA6"/>
    <w:rsid w:val="00D32A28"/>
    <w:rsid w:val="00D33327"/>
    <w:rsid w:val="00D349BD"/>
    <w:rsid w:val="00D37CC0"/>
    <w:rsid w:val="00D437D5"/>
    <w:rsid w:val="00D4508D"/>
    <w:rsid w:val="00D47167"/>
    <w:rsid w:val="00D47935"/>
    <w:rsid w:val="00D5035D"/>
    <w:rsid w:val="00D510C3"/>
    <w:rsid w:val="00D53EAF"/>
    <w:rsid w:val="00D559C2"/>
    <w:rsid w:val="00D575F4"/>
    <w:rsid w:val="00D60958"/>
    <w:rsid w:val="00D6128D"/>
    <w:rsid w:val="00D61AD7"/>
    <w:rsid w:val="00D639D9"/>
    <w:rsid w:val="00D645AC"/>
    <w:rsid w:val="00D67DDF"/>
    <w:rsid w:val="00D705AF"/>
    <w:rsid w:val="00D71413"/>
    <w:rsid w:val="00D7596D"/>
    <w:rsid w:val="00D80ADF"/>
    <w:rsid w:val="00D81DCC"/>
    <w:rsid w:val="00D87D4F"/>
    <w:rsid w:val="00D9050E"/>
    <w:rsid w:val="00D90815"/>
    <w:rsid w:val="00D93044"/>
    <w:rsid w:val="00DA4149"/>
    <w:rsid w:val="00DA57AD"/>
    <w:rsid w:val="00DA7093"/>
    <w:rsid w:val="00DA751A"/>
    <w:rsid w:val="00DB2D8C"/>
    <w:rsid w:val="00DB38C2"/>
    <w:rsid w:val="00DB45EC"/>
    <w:rsid w:val="00DB5130"/>
    <w:rsid w:val="00DB68F2"/>
    <w:rsid w:val="00DC0E62"/>
    <w:rsid w:val="00DC77F8"/>
    <w:rsid w:val="00DE26C3"/>
    <w:rsid w:val="00DE2AB0"/>
    <w:rsid w:val="00DE69AB"/>
    <w:rsid w:val="00DE7135"/>
    <w:rsid w:val="00DF278A"/>
    <w:rsid w:val="00DF3F92"/>
    <w:rsid w:val="00E0050D"/>
    <w:rsid w:val="00E012FC"/>
    <w:rsid w:val="00E047C9"/>
    <w:rsid w:val="00E05390"/>
    <w:rsid w:val="00E0543D"/>
    <w:rsid w:val="00E06899"/>
    <w:rsid w:val="00E07937"/>
    <w:rsid w:val="00E101AF"/>
    <w:rsid w:val="00E12E01"/>
    <w:rsid w:val="00E13939"/>
    <w:rsid w:val="00E22AC4"/>
    <w:rsid w:val="00E23BAE"/>
    <w:rsid w:val="00E244E8"/>
    <w:rsid w:val="00E25482"/>
    <w:rsid w:val="00E256E5"/>
    <w:rsid w:val="00E3236A"/>
    <w:rsid w:val="00E35CDB"/>
    <w:rsid w:val="00E362F6"/>
    <w:rsid w:val="00E422F3"/>
    <w:rsid w:val="00E42A84"/>
    <w:rsid w:val="00E44872"/>
    <w:rsid w:val="00E44C9E"/>
    <w:rsid w:val="00E452AF"/>
    <w:rsid w:val="00E5312D"/>
    <w:rsid w:val="00E53134"/>
    <w:rsid w:val="00E55FC1"/>
    <w:rsid w:val="00E72A1C"/>
    <w:rsid w:val="00E75C83"/>
    <w:rsid w:val="00E83A77"/>
    <w:rsid w:val="00E84924"/>
    <w:rsid w:val="00E85157"/>
    <w:rsid w:val="00E87B6F"/>
    <w:rsid w:val="00EA048C"/>
    <w:rsid w:val="00EA2A02"/>
    <w:rsid w:val="00EA7412"/>
    <w:rsid w:val="00EB41D8"/>
    <w:rsid w:val="00EB53DB"/>
    <w:rsid w:val="00EB5ED2"/>
    <w:rsid w:val="00EB6767"/>
    <w:rsid w:val="00EB7C8D"/>
    <w:rsid w:val="00EC0717"/>
    <w:rsid w:val="00ED4ADA"/>
    <w:rsid w:val="00ED59E0"/>
    <w:rsid w:val="00EE042C"/>
    <w:rsid w:val="00EE2336"/>
    <w:rsid w:val="00EE3527"/>
    <w:rsid w:val="00EE498F"/>
    <w:rsid w:val="00EE4F47"/>
    <w:rsid w:val="00EE52BC"/>
    <w:rsid w:val="00EE79E4"/>
    <w:rsid w:val="00EF52E0"/>
    <w:rsid w:val="00EF62A5"/>
    <w:rsid w:val="00EF72A2"/>
    <w:rsid w:val="00EF7AFB"/>
    <w:rsid w:val="00F1215F"/>
    <w:rsid w:val="00F14A1C"/>
    <w:rsid w:val="00F16688"/>
    <w:rsid w:val="00F25787"/>
    <w:rsid w:val="00F25F42"/>
    <w:rsid w:val="00F31933"/>
    <w:rsid w:val="00F34ABB"/>
    <w:rsid w:val="00F4396D"/>
    <w:rsid w:val="00F43AC8"/>
    <w:rsid w:val="00F469EE"/>
    <w:rsid w:val="00F500B3"/>
    <w:rsid w:val="00F5070A"/>
    <w:rsid w:val="00F67845"/>
    <w:rsid w:val="00F82555"/>
    <w:rsid w:val="00F84527"/>
    <w:rsid w:val="00F85771"/>
    <w:rsid w:val="00F9432B"/>
    <w:rsid w:val="00F95E7B"/>
    <w:rsid w:val="00F97867"/>
    <w:rsid w:val="00FA10FC"/>
    <w:rsid w:val="00FA39D2"/>
    <w:rsid w:val="00FA5CD5"/>
    <w:rsid w:val="00FA7D94"/>
    <w:rsid w:val="00FB1CFF"/>
    <w:rsid w:val="00FB2E5E"/>
    <w:rsid w:val="00FB42D5"/>
    <w:rsid w:val="00FB62FB"/>
    <w:rsid w:val="00FB7243"/>
    <w:rsid w:val="00FC16C8"/>
    <w:rsid w:val="00FC3488"/>
    <w:rsid w:val="00FC4968"/>
    <w:rsid w:val="00FC67E5"/>
    <w:rsid w:val="00FD4E55"/>
    <w:rsid w:val="00FD51EA"/>
    <w:rsid w:val="00FE4454"/>
    <w:rsid w:val="00FE4D14"/>
    <w:rsid w:val="00FE5FE3"/>
    <w:rsid w:val="00FE773A"/>
    <w:rsid w:val="00FF045D"/>
    <w:rsid w:val="00FF5366"/>
    <w:rsid w:val="00FF57AD"/>
    <w:rsid w:val="01DF79C5"/>
    <w:rsid w:val="02D12E6F"/>
    <w:rsid w:val="03232102"/>
    <w:rsid w:val="03393105"/>
    <w:rsid w:val="037F1A70"/>
    <w:rsid w:val="03A569EC"/>
    <w:rsid w:val="053578FC"/>
    <w:rsid w:val="053B0AAF"/>
    <w:rsid w:val="053C512E"/>
    <w:rsid w:val="056D55F6"/>
    <w:rsid w:val="058D1570"/>
    <w:rsid w:val="05C70D97"/>
    <w:rsid w:val="05FD4A2D"/>
    <w:rsid w:val="06E74905"/>
    <w:rsid w:val="0869448C"/>
    <w:rsid w:val="08B823D5"/>
    <w:rsid w:val="08F04266"/>
    <w:rsid w:val="09454877"/>
    <w:rsid w:val="09A017D8"/>
    <w:rsid w:val="09CC7F24"/>
    <w:rsid w:val="0A1E28E6"/>
    <w:rsid w:val="0A9C2466"/>
    <w:rsid w:val="0A9E7CF1"/>
    <w:rsid w:val="0ADC5738"/>
    <w:rsid w:val="0AFB2C0F"/>
    <w:rsid w:val="0B70541A"/>
    <w:rsid w:val="0B8B6B92"/>
    <w:rsid w:val="0B9568F1"/>
    <w:rsid w:val="0C632FA1"/>
    <w:rsid w:val="0D5758FA"/>
    <w:rsid w:val="0D7A67F4"/>
    <w:rsid w:val="0DC423E0"/>
    <w:rsid w:val="0DF540CC"/>
    <w:rsid w:val="0E105E0E"/>
    <w:rsid w:val="0F255367"/>
    <w:rsid w:val="0F8554ED"/>
    <w:rsid w:val="0F8E47D8"/>
    <w:rsid w:val="0FF25A25"/>
    <w:rsid w:val="100C055E"/>
    <w:rsid w:val="101F0F07"/>
    <w:rsid w:val="104D01F0"/>
    <w:rsid w:val="10977370"/>
    <w:rsid w:val="10BC7123"/>
    <w:rsid w:val="10EC0380"/>
    <w:rsid w:val="11120B2B"/>
    <w:rsid w:val="114535BD"/>
    <w:rsid w:val="12080656"/>
    <w:rsid w:val="12483364"/>
    <w:rsid w:val="127D025B"/>
    <w:rsid w:val="12BA546E"/>
    <w:rsid w:val="13286518"/>
    <w:rsid w:val="13AD4172"/>
    <w:rsid w:val="13FD5657"/>
    <w:rsid w:val="140D5ACB"/>
    <w:rsid w:val="14A140BF"/>
    <w:rsid w:val="15035321"/>
    <w:rsid w:val="1598015F"/>
    <w:rsid w:val="15D33106"/>
    <w:rsid w:val="163E2AD9"/>
    <w:rsid w:val="170F2E28"/>
    <w:rsid w:val="18496038"/>
    <w:rsid w:val="187A6CED"/>
    <w:rsid w:val="197E7326"/>
    <w:rsid w:val="1A376ABB"/>
    <w:rsid w:val="1A4E313B"/>
    <w:rsid w:val="1AC83294"/>
    <w:rsid w:val="1B087B35"/>
    <w:rsid w:val="1D6F75F2"/>
    <w:rsid w:val="1DB4365C"/>
    <w:rsid w:val="1E122A78"/>
    <w:rsid w:val="1EA23DFC"/>
    <w:rsid w:val="1EBC7AA1"/>
    <w:rsid w:val="1F65031A"/>
    <w:rsid w:val="20A756FA"/>
    <w:rsid w:val="21E1671F"/>
    <w:rsid w:val="23600C86"/>
    <w:rsid w:val="24540F0B"/>
    <w:rsid w:val="247930D8"/>
    <w:rsid w:val="251217FD"/>
    <w:rsid w:val="25643BBA"/>
    <w:rsid w:val="25764068"/>
    <w:rsid w:val="258C50F4"/>
    <w:rsid w:val="258E256B"/>
    <w:rsid w:val="25900E53"/>
    <w:rsid w:val="25B049BE"/>
    <w:rsid w:val="25B763DF"/>
    <w:rsid w:val="260625A9"/>
    <w:rsid w:val="26274D25"/>
    <w:rsid w:val="26865DB2"/>
    <w:rsid w:val="275817E1"/>
    <w:rsid w:val="27800BEA"/>
    <w:rsid w:val="28306FBE"/>
    <w:rsid w:val="284C627B"/>
    <w:rsid w:val="28717098"/>
    <w:rsid w:val="28D330CF"/>
    <w:rsid w:val="28F65471"/>
    <w:rsid w:val="295A3164"/>
    <w:rsid w:val="2B195446"/>
    <w:rsid w:val="2BBE1C86"/>
    <w:rsid w:val="2BC5737C"/>
    <w:rsid w:val="2BD057E2"/>
    <w:rsid w:val="2BDA2E28"/>
    <w:rsid w:val="2C7B6301"/>
    <w:rsid w:val="2CCA605A"/>
    <w:rsid w:val="2CCD0296"/>
    <w:rsid w:val="2D122EB9"/>
    <w:rsid w:val="2D12336A"/>
    <w:rsid w:val="2D406CBA"/>
    <w:rsid w:val="2ECD615D"/>
    <w:rsid w:val="2F7F718A"/>
    <w:rsid w:val="2F8A0996"/>
    <w:rsid w:val="2FE50E66"/>
    <w:rsid w:val="300C37CC"/>
    <w:rsid w:val="30C80F96"/>
    <w:rsid w:val="30DA350B"/>
    <w:rsid w:val="31407818"/>
    <w:rsid w:val="31684A32"/>
    <w:rsid w:val="31771119"/>
    <w:rsid w:val="31B4181F"/>
    <w:rsid w:val="320922FF"/>
    <w:rsid w:val="32147EFA"/>
    <w:rsid w:val="325E7BE3"/>
    <w:rsid w:val="333F2E0A"/>
    <w:rsid w:val="33AA7494"/>
    <w:rsid w:val="343C3F54"/>
    <w:rsid w:val="34733E19"/>
    <w:rsid w:val="347C27D9"/>
    <w:rsid w:val="34F4260B"/>
    <w:rsid w:val="34FB1B65"/>
    <w:rsid w:val="353C420B"/>
    <w:rsid w:val="359936C4"/>
    <w:rsid w:val="35AD6EB7"/>
    <w:rsid w:val="365F05C0"/>
    <w:rsid w:val="36DD0389"/>
    <w:rsid w:val="381E1435"/>
    <w:rsid w:val="38726D25"/>
    <w:rsid w:val="38DB750D"/>
    <w:rsid w:val="38F33212"/>
    <w:rsid w:val="394723EF"/>
    <w:rsid w:val="39B76556"/>
    <w:rsid w:val="3A2C5B30"/>
    <w:rsid w:val="3B3846C2"/>
    <w:rsid w:val="3BD91D56"/>
    <w:rsid w:val="3BDE24FE"/>
    <w:rsid w:val="3BE43358"/>
    <w:rsid w:val="3C326368"/>
    <w:rsid w:val="3CA07750"/>
    <w:rsid w:val="3D1A42D1"/>
    <w:rsid w:val="3DAE7C70"/>
    <w:rsid w:val="3DCC459A"/>
    <w:rsid w:val="3E1B3C71"/>
    <w:rsid w:val="3E220CF9"/>
    <w:rsid w:val="3E2F3189"/>
    <w:rsid w:val="40063244"/>
    <w:rsid w:val="403943B3"/>
    <w:rsid w:val="40741BEA"/>
    <w:rsid w:val="4074321D"/>
    <w:rsid w:val="40E9308C"/>
    <w:rsid w:val="40EF4858"/>
    <w:rsid w:val="410F39F1"/>
    <w:rsid w:val="41B415CD"/>
    <w:rsid w:val="42AE0712"/>
    <w:rsid w:val="42B51AA1"/>
    <w:rsid w:val="42F56849"/>
    <w:rsid w:val="43755AEC"/>
    <w:rsid w:val="438C112A"/>
    <w:rsid w:val="43EA4E41"/>
    <w:rsid w:val="449C4CC6"/>
    <w:rsid w:val="45462E84"/>
    <w:rsid w:val="45531A1A"/>
    <w:rsid w:val="47721D0E"/>
    <w:rsid w:val="480C3F11"/>
    <w:rsid w:val="48482A6F"/>
    <w:rsid w:val="493E459E"/>
    <w:rsid w:val="4A4B2304"/>
    <w:rsid w:val="4B857DCA"/>
    <w:rsid w:val="4B9366F7"/>
    <w:rsid w:val="4BB6767D"/>
    <w:rsid w:val="4BC92C81"/>
    <w:rsid w:val="4BDE3E16"/>
    <w:rsid w:val="4EEB463D"/>
    <w:rsid w:val="4F0A6CD0"/>
    <w:rsid w:val="4F654B9D"/>
    <w:rsid w:val="4FA41E65"/>
    <w:rsid w:val="500F0A42"/>
    <w:rsid w:val="50287F84"/>
    <w:rsid w:val="5066262C"/>
    <w:rsid w:val="5066789F"/>
    <w:rsid w:val="508F0048"/>
    <w:rsid w:val="50EF2D57"/>
    <w:rsid w:val="517D376B"/>
    <w:rsid w:val="518F170F"/>
    <w:rsid w:val="5200419C"/>
    <w:rsid w:val="52416EAD"/>
    <w:rsid w:val="5277467D"/>
    <w:rsid w:val="52A5743C"/>
    <w:rsid w:val="53AC6661"/>
    <w:rsid w:val="53E356FF"/>
    <w:rsid w:val="54244390"/>
    <w:rsid w:val="545C1D7C"/>
    <w:rsid w:val="54E8371F"/>
    <w:rsid w:val="54EB3100"/>
    <w:rsid w:val="54ED50CA"/>
    <w:rsid w:val="553951D0"/>
    <w:rsid w:val="557219C2"/>
    <w:rsid w:val="55A50C69"/>
    <w:rsid w:val="55AD595E"/>
    <w:rsid w:val="55BD4A9D"/>
    <w:rsid w:val="56284281"/>
    <w:rsid w:val="56552122"/>
    <w:rsid w:val="567F6E75"/>
    <w:rsid w:val="56A143BE"/>
    <w:rsid w:val="57713D91"/>
    <w:rsid w:val="594C0BCC"/>
    <w:rsid w:val="5A1D0200"/>
    <w:rsid w:val="5A820063"/>
    <w:rsid w:val="5AA17A6F"/>
    <w:rsid w:val="5B084A0C"/>
    <w:rsid w:val="5B3255E5"/>
    <w:rsid w:val="5B394BC5"/>
    <w:rsid w:val="5B77749C"/>
    <w:rsid w:val="5C75446B"/>
    <w:rsid w:val="5C9003EA"/>
    <w:rsid w:val="5D073263"/>
    <w:rsid w:val="5D5A5582"/>
    <w:rsid w:val="5D8D464B"/>
    <w:rsid w:val="5DCF1811"/>
    <w:rsid w:val="5E21735D"/>
    <w:rsid w:val="5E385316"/>
    <w:rsid w:val="5F21606B"/>
    <w:rsid w:val="5F4104EC"/>
    <w:rsid w:val="5F5D5DA2"/>
    <w:rsid w:val="5FBA81F2"/>
    <w:rsid w:val="5FFB6D18"/>
    <w:rsid w:val="607D7279"/>
    <w:rsid w:val="60C5514D"/>
    <w:rsid w:val="60D55390"/>
    <w:rsid w:val="60EE7D2A"/>
    <w:rsid w:val="61077959"/>
    <w:rsid w:val="613876CD"/>
    <w:rsid w:val="61453A27"/>
    <w:rsid w:val="61690053"/>
    <w:rsid w:val="61D07906"/>
    <w:rsid w:val="61DB1D99"/>
    <w:rsid w:val="625427A2"/>
    <w:rsid w:val="62DE6052"/>
    <w:rsid w:val="630A6E47"/>
    <w:rsid w:val="6310019E"/>
    <w:rsid w:val="63882384"/>
    <w:rsid w:val="642D54E3"/>
    <w:rsid w:val="644E2F7F"/>
    <w:rsid w:val="64503F8C"/>
    <w:rsid w:val="65472703"/>
    <w:rsid w:val="66E225B5"/>
    <w:rsid w:val="67944EC0"/>
    <w:rsid w:val="67D5211A"/>
    <w:rsid w:val="67D55C76"/>
    <w:rsid w:val="6817268D"/>
    <w:rsid w:val="68486477"/>
    <w:rsid w:val="68892A22"/>
    <w:rsid w:val="6B3E35C2"/>
    <w:rsid w:val="6B65048D"/>
    <w:rsid w:val="6BB05F49"/>
    <w:rsid w:val="6C4E5FF7"/>
    <w:rsid w:val="6C5B1EDC"/>
    <w:rsid w:val="6CE178C1"/>
    <w:rsid w:val="6D036AE1"/>
    <w:rsid w:val="6D324755"/>
    <w:rsid w:val="6EA97E5C"/>
    <w:rsid w:val="6EED7D49"/>
    <w:rsid w:val="7003083A"/>
    <w:rsid w:val="70ED4030"/>
    <w:rsid w:val="7152682E"/>
    <w:rsid w:val="716B2939"/>
    <w:rsid w:val="71E24E0B"/>
    <w:rsid w:val="72006161"/>
    <w:rsid w:val="72097D64"/>
    <w:rsid w:val="7238577F"/>
    <w:rsid w:val="727250A8"/>
    <w:rsid w:val="72A76EFF"/>
    <w:rsid w:val="72F70AE8"/>
    <w:rsid w:val="734343DB"/>
    <w:rsid w:val="74DF127F"/>
    <w:rsid w:val="74EB6D02"/>
    <w:rsid w:val="7506739F"/>
    <w:rsid w:val="75882579"/>
    <w:rsid w:val="76180EE8"/>
    <w:rsid w:val="765A079C"/>
    <w:rsid w:val="76D161A2"/>
    <w:rsid w:val="76F9422E"/>
    <w:rsid w:val="76FFDF44"/>
    <w:rsid w:val="780162ED"/>
    <w:rsid w:val="78864D0C"/>
    <w:rsid w:val="792D2103"/>
    <w:rsid w:val="7A934502"/>
    <w:rsid w:val="7AB864FF"/>
    <w:rsid w:val="7B110428"/>
    <w:rsid w:val="7BEFC791"/>
    <w:rsid w:val="7C8A6464"/>
    <w:rsid w:val="7CAC6C64"/>
    <w:rsid w:val="7CBF2009"/>
    <w:rsid w:val="7CC02A4E"/>
    <w:rsid w:val="7D955719"/>
    <w:rsid w:val="7DE61EA0"/>
    <w:rsid w:val="7EBA7904"/>
    <w:rsid w:val="7EDE6F81"/>
    <w:rsid w:val="7F6A7194"/>
    <w:rsid w:val="7FCA6573"/>
    <w:rsid w:val="7FFF5B2E"/>
    <w:rsid w:val="ADBFA347"/>
    <w:rsid w:val="BFBF7276"/>
    <w:rsid w:val="D3EF120F"/>
    <w:rsid w:val="E3A5D280"/>
    <w:rsid w:val="F73E24EA"/>
    <w:rsid w:val="F7F3B5AB"/>
    <w:rsid w:val="FAFF9742"/>
    <w:rsid w:val="FD7F72BD"/>
    <w:rsid w:val="FEDF2538"/>
    <w:rsid w:val="FEF6D6ED"/>
    <w:rsid w:val="FFD7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pPr>
      <w:spacing w:line="560" w:lineRule="exact"/>
      <w:ind w:firstLine="200" w:firstLineChars="200"/>
      <w:jc w:val="left"/>
    </w:pPr>
    <w:rPr>
      <w:rFonts w:ascii="Times New Roman" w:hAnsi="Times New Roman" w:eastAsia="仿宋_GB2312"/>
      <w:sz w:val="32"/>
    </w:rPr>
  </w:style>
  <w:style w:type="paragraph" w:styleId="4">
    <w:name w:val="Body Text"/>
    <w:basedOn w:val="1"/>
    <w:link w:val="23"/>
    <w:unhideWhenUsed/>
    <w:qFormat/>
    <w:uiPriority w:val="99"/>
    <w:rPr>
      <w:rFonts w:ascii="Arial" w:hAnsi="Arial" w:eastAsiaTheme="minorEastAsia"/>
      <w:color w:val="000000"/>
      <w:sz w:val="21"/>
    </w:rPr>
  </w:style>
  <w:style w:type="paragraph" w:styleId="5">
    <w:name w:val="Balloon Text"/>
    <w:basedOn w:val="1"/>
    <w:link w:val="26"/>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line="480" w:lineRule="exact"/>
      <w:ind w:firstLine="420" w:firstLineChars="200"/>
    </w:pPr>
  </w:style>
  <w:style w:type="paragraph" w:styleId="9">
    <w:name w:val="Normal (Web)"/>
    <w:basedOn w:val="1"/>
    <w:link w:val="31"/>
    <w:unhideWhenUsed/>
    <w:qFormat/>
    <w:uiPriority w:val="99"/>
  </w:style>
  <w:style w:type="paragraph" w:styleId="10">
    <w:name w:val="annotation subject"/>
    <w:basedOn w:val="3"/>
    <w:next w:val="3"/>
    <w:link w:val="25"/>
    <w:semiHidden/>
    <w:unhideWhenUsed/>
    <w:qFormat/>
    <w:uiPriority w:val="99"/>
    <w:pPr>
      <w:spacing w:line="240" w:lineRule="auto"/>
      <w:ind w:firstLine="0" w:firstLineChars="0"/>
    </w:pPr>
    <w:rPr>
      <w:rFonts w:eastAsia="仿宋" w:asciiTheme="minorHAnsi" w:hAnsiTheme="minorHAnsi"/>
      <w:b/>
      <w:bCs/>
      <w:sz w:val="24"/>
    </w:rPr>
  </w:style>
  <w:style w:type="character" w:styleId="13">
    <w:name w:val="page number"/>
    <w:basedOn w:val="12"/>
    <w:qFormat/>
    <w:uiPriority w:val="99"/>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character" w:customStyle="1" w:styleId="16">
    <w:name w:val="标题 2 字符"/>
    <w:basedOn w:val="12"/>
    <w:link w:val="2"/>
    <w:qFormat/>
    <w:uiPriority w:val="9"/>
    <w:rPr>
      <w:rFonts w:eastAsia="仿宋" w:asciiTheme="majorHAnsi" w:hAnsiTheme="majorHAnsi" w:cstheme="majorBidi"/>
      <w:b/>
      <w:bCs/>
      <w:sz w:val="32"/>
      <w:szCs w:val="32"/>
    </w:rPr>
  </w:style>
  <w:style w:type="paragraph" w:customStyle="1" w:styleId="17">
    <w:name w:val="样式1"/>
    <w:basedOn w:val="1"/>
    <w:link w:val="18"/>
    <w:qFormat/>
    <w:uiPriority w:val="0"/>
    <w:rPr>
      <w:rFonts w:eastAsia="宋体"/>
    </w:rPr>
  </w:style>
  <w:style w:type="character" w:customStyle="1" w:styleId="18">
    <w:name w:val="样式1 字符"/>
    <w:basedOn w:val="12"/>
    <w:link w:val="17"/>
    <w:qFormat/>
    <w:uiPriority w:val="0"/>
    <w:rPr>
      <w:rFonts w:eastAsia="宋体"/>
      <w:sz w:val="24"/>
    </w:rPr>
  </w:style>
  <w:style w:type="character" w:customStyle="1" w:styleId="19">
    <w:name w:val="页眉 字符"/>
    <w:basedOn w:val="12"/>
    <w:link w:val="7"/>
    <w:qFormat/>
    <w:uiPriority w:val="99"/>
    <w:rPr>
      <w:rFonts w:eastAsia="仿宋"/>
      <w:sz w:val="18"/>
      <w:szCs w:val="18"/>
    </w:rPr>
  </w:style>
  <w:style w:type="character" w:customStyle="1" w:styleId="20">
    <w:name w:val="页脚 字符"/>
    <w:basedOn w:val="12"/>
    <w:link w:val="6"/>
    <w:qFormat/>
    <w:uiPriority w:val="99"/>
    <w:rPr>
      <w:rFonts w:eastAsia="仿宋"/>
      <w:sz w:val="18"/>
      <w:szCs w:val="18"/>
    </w:rPr>
  </w:style>
  <w:style w:type="character" w:customStyle="1" w:styleId="21">
    <w:name w:val="批注文字 字符"/>
    <w:basedOn w:val="12"/>
    <w:link w:val="3"/>
    <w:qFormat/>
    <w:uiPriority w:val="99"/>
    <w:rPr>
      <w:rFonts w:ascii="Times New Roman" w:hAnsi="Times New Roman" w:eastAsia="仿宋_GB2312"/>
      <w:sz w:val="32"/>
    </w:rPr>
  </w:style>
  <w:style w:type="character" w:customStyle="1" w:styleId="22">
    <w:name w:val="未处理的提及1"/>
    <w:basedOn w:val="12"/>
    <w:semiHidden/>
    <w:unhideWhenUsed/>
    <w:qFormat/>
    <w:uiPriority w:val="99"/>
    <w:rPr>
      <w:color w:val="605E5C"/>
      <w:shd w:val="clear" w:color="auto" w:fill="E1DFDD"/>
    </w:rPr>
  </w:style>
  <w:style w:type="character" w:customStyle="1" w:styleId="23">
    <w:name w:val="正文文本 字符"/>
    <w:basedOn w:val="12"/>
    <w:link w:val="4"/>
    <w:qFormat/>
    <w:uiPriority w:val="99"/>
    <w:rPr>
      <w:rFonts w:ascii="Arial" w:hAnsi="Arial"/>
      <w:color w:val="000000"/>
    </w:rPr>
  </w:style>
  <w:style w:type="paragraph" w:styleId="24">
    <w:name w:val="List Paragraph"/>
    <w:basedOn w:val="1"/>
    <w:qFormat/>
    <w:uiPriority w:val="34"/>
    <w:pPr>
      <w:ind w:firstLine="420" w:firstLineChars="200"/>
    </w:pPr>
  </w:style>
  <w:style w:type="character" w:customStyle="1" w:styleId="25">
    <w:name w:val="批注主题 字符"/>
    <w:basedOn w:val="21"/>
    <w:link w:val="10"/>
    <w:semiHidden/>
    <w:qFormat/>
    <w:uiPriority w:val="99"/>
    <w:rPr>
      <w:rFonts w:ascii="Times New Roman" w:hAnsi="Times New Roman" w:eastAsia="仿宋"/>
      <w:b/>
      <w:bCs/>
      <w:sz w:val="24"/>
    </w:rPr>
  </w:style>
  <w:style w:type="character" w:customStyle="1" w:styleId="26">
    <w:name w:val="批注框文本 字符"/>
    <w:basedOn w:val="12"/>
    <w:link w:val="5"/>
    <w:semiHidden/>
    <w:qFormat/>
    <w:uiPriority w:val="99"/>
    <w:rPr>
      <w:rFonts w:eastAsia="仿宋"/>
      <w:sz w:val="18"/>
      <w:szCs w:val="18"/>
    </w:rPr>
  </w:style>
  <w:style w:type="paragraph" w:customStyle="1" w:styleId="27">
    <w:name w:val="p1"/>
    <w:basedOn w:val="1"/>
    <w:qFormat/>
    <w:uiPriority w:val="0"/>
    <w:rPr>
      <w:rFonts w:ascii="PingFang SC" w:hAnsi="PingFang SC" w:eastAsia="PingFang SC" w:cs="Times New Roman"/>
      <w:kern w:val="0"/>
      <w:sz w:val="26"/>
      <w:szCs w:val="26"/>
    </w:rPr>
  </w:style>
  <w:style w:type="character" w:customStyle="1" w:styleId="28">
    <w:name w:val="s1"/>
    <w:basedOn w:val="12"/>
    <w:qFormat/>
    <w:uiPriority w:val="0"/>
    <w:rPr>
      <w:rFonts w:ascii="Helvetica Neue" w:hAnsi="Helvetica Neue" w:eastAsia="Helvetica Neue" w:cs="Helvetica Neue"/>
      <w:sz w:val="26"/>
      <w:szCs w:val="26"/>
    </w:rPr>
  </w:style>
  <w:style w:type="paragraph" w:customStyle="1" w:styleId="29">
    <w:name w:val="修订1"/>
    <w:hidden/>
    <w:semiHidden/>
    <w:qFormat/>
    <w:uiPriority w:val="99"/>
    <w:rPr>
      <w:rFonts w:eastAsia="仿宋" w:asciiTheme="minorHAnsi" w:hAnsiTheme="minorHAnsi" w:cstheme="minorBidi"/>
      <w:kern w:val="2"/>
      <w:sz w:val="24"/>
      <w:szCs w:val="22"/>
      <w:lang w:val="en-US" w:eastAsia="zh-CN" w:bidi="ar-SA"/>
    </w:rPr>
  </w:style>
  <w:style w:type="paragraph" w:customStyle="1" w:styleId="30">
    <w:name w:val="Revision"/>
    <w:hidden/>
    <w:semiHidden/>
    <w:qFormat/>
    <w:uiPriority w:val="99"/>
    <w:rPr>
      <w:rFonts w:eastAsia="仿宋" w:asciiTheme="minorHAnsi" w:hAnsiTheme="minorHAnsi" w:cstheme="minorBidi"/>
      <w:kern w:val="2"/>
      <w:sz w:val="24"/>
      <w:szCs w:val="22"/>
      <w:lang w:val="en-US" w:eastAsia="zh-CN" w:bidi="ar-SA"/>
    </w:rPr>
  </w:style>
  <w:style w:type="character" w:customStyle="1" w:styleId="31">
    <w:name w:val="普通(网站) 字符"/>
    <w:link w:val="9"/>
    <w:qFormat/>
    <w:uiPriority w:val="99"/>
    <w:rPr>
      <w:rFonts w:eastAsia="仿宋" w:asciiTheme="minorHAnsi" w:hAnsiTheme="minorHAnsi" w:cstheme="minorBidi"/>
      <w:kern w:val="2"/>
      <w:sz w:val="24"/>
      <w:szCs w:val="22"/>
    </w:rPr>
  </w:style>
  <w:style w:type="paragraph" w:customStyle="1" w:styleId="32">
    <w:name w:val="列出段落1"/>
    <w:basedOn w:val="1"/>
    <w:qFormat/>
    <w:uiPriority w:val="99"/>
    <w:pPr>
      <w:ind w:firstLine="420" w:firstLineChars="200"/>
    </w:pPr>
    <w:rPr>
      <w:rFonts w:ascii="Times New Roman" w:hAnsi="Times New Roman" w:eastAsia="宋体" w:cs="Times New Roman"/>
      <w:sz w:val="21"/>
      <w:szCs w:val="24"/>
    </w:rPr>
  </w:style>
  <w:style w:type="paragraph" w:customStyle="1" w:styleId="33">
    <w:name w:val="正文（标题三）"/>
    <w:basedOn w:val="1"/>
    <w:qFormat/>
    <w:uiPriority w:val="0"/>
    <w:pPr>
      <w:spacing w:line="360" w:lineRule="auto"/>
      <w:ind w:left="170" w:firstLine="425"/>
    </w:pPr>
    <w:rPr>
      <w:sz w:val="24"/>
    </w:rPr>
  </w:style>
  <w:style w:type="paragraph" w:customStyle="1" w:styleId="34">
    <w:name w:val="样式4"/>
    <w:basedOn w:val="1"/>
    <w:qFormat/>
    <w:uiPriority w:val="3"/>
    <w:pPr>
      <w:jc w:val="center"/>
      <w:outlineLvl w:val="0"/>
    </w:pPr>
    <w:rPr>
      <w:b/>
      <w:sz w:val="32"/>
    </w:rPr>
  </w:style>
  <w:style w:type="character" w:customStyle="1" w:styleId="35">
    <w:name w:val="DeltaView Insertion"/>
    <w:qFormat/>
    <w:uiPriority w:val="99"/>
    <w:rPr>
      <w:color w:val="0000FF"/>
      <w:u w:val="doub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2868</Words>
  <Characters>3031</Characters>
  <Lines>103</Lines>
  <Paragraphs>29</Paragraphs>
  <TotalTime>298</TotalTime>
  <ScaleCrop>false</ScaleCrop>
  <LinksUpToDate>false</LinksUpToDate>
  <CharactersWithSpaces>3053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2022-08-02T08:01:00Z</dcterms:created>
  <dc:creator>高 洋</dc:creator>
  <cp:lastModifiedBy>baoyihong</cp:lastModifiedBy>
  <cp:lastPrinted>2023-10-11T07:06:00Z</cp:lastPrinted>
  <dcterms:modified xsi:type="dcterms:W3CDTF">2025-08-27T03:22:17Z</dcterms:modified>
  <cp:revision>1074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F938056CBF5C44A1B2DB85F17755CFAC_13</vt:lpwstr>
  </property>
  <property fmtid="{D5CDD505-2E9C-101B-9397-08002B2CF9AE}" pid="4" name="KSOTemplateDocerSaveRecord">
    <vt:lpwstr>eyJoZGlkIjoiZjkwZmI5Y2I0NThiZjhiZTgyMzc1OTliNDk2M2MyM2QiLCJ1c2VySWQiOiIyMzI2Mzg3MzEifQ==</vt:lpwstr>
  </property>
</Properties>
</file>