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中国联合网络通信有限公司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成立时间：2000年4月21日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  <w:t>责人）姓名：陈忠岳</w:t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  <w:t>地址 北京市西</w:t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  <w:t>城区金融大街21号</w:t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</w:t>
      </w:r>
      <w:r>
        <w:rPr>
          <w:rFonts w:hint="eastAsia" w:ascii="宋体" w:hAnsi="宋体" w:cs="Arial"/>
          <w:sz w:val="24"/>
          <w:u w:val="single"/>
        </w:rPr>
        <w:t xml:space="preserve">                                  电子邮件    </w:t>
      </w:r>
      <w:r>
        <w:rPr>
          <w:rFonts w:hint="eastAsia" w:ascii="宋体" w:hAnsi="宋体" w:cs="Arial"/>
          <w:sz w:val="24"/>
        </w:rPr>
        <w:t xml:space="preserve">       </w:t>
      </w:r>
      <w:r>
        <w:rPr>
          <w:rFonts w:hint="eastAsia" w:ascii="宋体" w:hAnsi="宋体" w:cs="Arial"/>
          <w:sz w:val="24"/>
          <w:u w:val="single"/>
        </w:rPr>
        <w:t xml:space="preserve">                 service@chinaunicom.cn</w:t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