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u w:val="none"/>
          <w:lang w:eastAsia="zh-CN"/>
        </w:rPr>
        <w:t xml:space="preserve">供应商名称：中国联合网络通信有限公司   采购编号：编号：GXTC-C-251590031                  </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lang w:eastAsia="zh-CN"/>
        </w:rPr>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2025年09月07日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2025年09月07日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供应商名称： 中国联合网络通信有限公司</w:t>
      </w:r>
      <w:r>
        <w:rPr>
          <w:rFonts w:hint="eastAsia" w:ascii="宋体" w:hAnsi="宋体"/>
          <w:b/>
          <w:kern w:val="0"/>
          <w:sz w:val="24"/>
        </w:rPr>
      </w:r>
      <w:r>
        <w:rPr>
          <w:rFonts w:hint="eastAsia" w:ascii="宋体" w:hAnsi="宋体"/>
          <w:kern w:val="0"/>
          <w:sz w:val="24"/>
        </w:rPr>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u w:val="none"/>
          <w:lang w:eastAsia="zh-CN"/>
        </w:rPr>
        <w:t xml:space="preserve">供应商名称：中国联合网络通信有限公司   采购编号：编号：GXTC-C-251590031             </w:t>
      </w:r>
      <w:r>
        <w:rPr>
          <w:rFonts w:hint="eastAsia" w:ascii="宋体" w:hAnsi="宋体"/>
          <w:sz w:val="24"/>
        </w:rPr>
      </w:r>
      <w:r>
        <w:rPr>
          <w:rFonts w:hint="eastAsia" w:ascii="宋体" w:hAnsi="宋体"/>
          <w:sz w:val="24"/>
          <w:u w:val="single"/>
        </w:rPr>
      </w:r>
      <w:r>
        <w:rPr>
          <w:rFonts w:hint="eastAsia" w:ascii="宋体" w:hAnsi="宋体"/>
          <w:sz w:val="24"/>
          <w:lang w:eastAsia="zh-CN"/>
        </w:rPr>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u w:val="none"/>
        </w:rPr>
        <w:t>供应商名称：中国联合网络通信有限公司   编号：GXTC-C-251590031</w:t>
      </w:r>
      <w:r>
        <w:rPr>
          <w:rFonts w:hint="eastAsia" w:ascii="宋体" w:hAnsi="宋体"/>
          <w:sz w:val="24"/>
          <w:u w:val="single"/>
        </w:rPr>
      </w:r>
      <w:r>
        <w:rPr>
          <w:rFonts w:hint="eastAsia" w:ascii="宋体" w:hAnsi="宋体"/>
          <w:sz w:val="24"/>
        </w:rPr>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u w:val="none"/>
          <w:lang w:eastAsia="zh-CN"/>
        </w:rPr>
        <w:t xml:space="preserve">供应商名称：中国联合网络通信有限公司   采购编号：编号：GXTC-C-251590031             </w:t>
      </w:r>
      <w:r>
        <w:rPr>
          <w:rFonts w:hint="eastAsia" w:ascii="宋体" w:hAnsi="宋体" w:cs="Arial"/>
          <w:sz w:val="24"/>
        </w:rPr>
      </w:r>
      <w:r>
        <w:rPr>
          <w:rFonts w:hint="eastAsia" w:ascii="宋体" w:hAnsi="宋体" w:cs="Arial"/>
          <w:sz w:val="24"/>
          <w:u w:val="single"/>
        </w:rPr>
      </w:r>
      <w:r>
        <w:rPr>
          <w:rFonts w:hint="eastAsia" w:ascii="宋体" w:hAnsi="宋体" w:cs="Arial"/>
          <w:sz w:val="24"/>
          <w:lang w:eastAsia="zh-CN"/>
        </w:rPr>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