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日期：2025年09月07日_____月_____日</w:t>
      </w:r>
      <w:r>
        <w:rPr>
          <w:rFonts w:hint="eastAsia" w:ascii="华文细黑" w:hAnsi="华文细黑" w:eastAsia="华文细黑" w:cs="华文细黑"/>
          <w:sz w:val="22"/>
        </w:rPr>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七、本次采购涉及函件往来时请使用本公司以下地址及联系方式：北京市西城区金融大街21号</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电话：010-66258899传真：_________________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（2）联系电话：010-66258899【010-66636917】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 service@chinaunicom.cn</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