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Техническое заключение по помещениям 3.66 и 3.64 Исследовательского центра "Тугрик"</w:t>
      </w:r>
    </w:p>
    <w:p>
      <w:pPr>
        <w:pStyle w:val="Heading2"/>
        <w:jc w:val="left"/>
      </w:pPr>
      <w:r>
        <w:t xml:space="preserve">1. Общие сведения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Настоящее техническое заключение подготовлено в рамках выполнения комплекса работ по расчету категорий по взрывопожарной и пожарной опасности для помещений Исследовательского центра "Тугрик", расположенного по адресу: г. Тюмень, ул. Ивановского, 15. Заказчик: ООО "Тугрикнефть-НТЦ".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Объекты оценки: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3.66 - Склад хранения проб (в том числе устьевых проб нефти и газа)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3.64 - Склад прекурсоров</w:t>
      </w:r>
    </w:p>
    <w:p>
      <w:pPr>
        <w:pStyle w:val="Heading2"/>
        <w:jc w:val="left"/>
      </w:pPr>
      <w:r>
        <w:t xml:space="preserve">2. Цель и задачи работы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Цель работы:</w:t>
      </w:r>
      <w:r>
        <w:rPr>
          <w:rFonts w:ascii="Times New Roman" w:eastAsia="SimSun" w:hAnsi="Times New Roman" w:cs="Times New Roman"/>
          <w:sz w:val="24"/>
          <w:szCs w:val="24"/>
        </w:rPr>
        <w:t xml:space="preserve"> Определение категорий по взрывопожарной и пожарной опасности помещений 3.6 и 3.64 в соответствии с действующими нормативными документами.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Задачи работы: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Провести анализ исходных данных по составу обращающихся веществ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Определить показатели пожаровзрывоопасности технологических сред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Выполнить расчет классификационных показателей пожароопасных и взрывоопасных зон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Определить категории помещений по СП 12.13130.2009</w:t>
      </w:r>
    </w:p>
    <w:p>
      <w:pPr>
        <w:pStyle w:val="ListParagraph"/>
        <w:numPr>
          <w:ilvl w:val="0"/>
          <w:numId w:val="2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Разработать рекомендации по обеспечению пожарной безопасности</w:t>
      </w:r>
    </w:p>
    <w:p>
      <w:pPr>
        <w:pStyle w:val="Heading2"/>
        <w:jc w:val="left"/>
      </w:pPr>
      <w:r>
        <w:t xml:space="preserve">3. Исходные данные</w:t>
      </w:r>
    </w:p>
    <w:p>
      <w:pPr>
        <w:pStyle w:val="Heading3"/>
        <w:jc w:val="left"/>
      </w:pPr>
      <w:r>
        <w:t xml:space="preserve">3.1 Помещение 3.66 - Склад хранения проб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Площадь:</w:t>
      </w:r>
      <w:r>
        <w:rPr>
          <w:rFonts w:ascii="Times New Roman" w:eastAsia="SimSun" w:hAnsi="Times New Roman" w:cs="Times New Roman"/>
          <w:sz w:val="24"/>
          <w:szCs w:val="24"/>
        </w:rPr>
        <w:t xml:space="preserve"> 34,30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Объем:</w:t>
      </w:r>
      <w:r>
        <w:rPr>
          <w:rFonts w:ascii="Times New Roman" w:eastAsia="SimSun" w:hAnsi="Times New Roman" w:cs="Times New Roman"/>
          <w:sz w:val="24"/>
          <w:szCs w:val="24"/>
        </w:rPr>
        <w:t xml:space="preserve"> 92,61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эксплуатации: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обращающихся веществ: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Устьевая нефть: 430 литров (масса 378,92 кг), температура вспышки около 28°C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Стабильный конденсат: 2,5 литра (масса 1,88 кг), температура вспышки около 25°C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Углеводородные газы: 170 литров в баллонах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Пробоотборники с флюидами нефти: 1,8 литра</w:t>
      </w:r>
    </w:p>
    <w:p>
      <w:pPr>
        <w:pStyle w:val="Heading3"/>
        <w:jc w:val="left"/>
      </w:pPr>
      <w:r>
        <w:t xml:space="preserve">3.2 Помещение 3.64 - Склад прекурсоров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Площадь:</w:t>
      </w:r>
      <w:r>
        <w:rPr>
          <w:rFonts w:ascii="Times New Roman" w:eastAsia="SimSun" w:hAnsi="Times New Roman" w:cs="Times New Roman"/>
          <w:sz w:val="24"/>
          <w:szCs w:val="24"/>
        </w:rPr>
        <w:t xml:space="preserve"> 23,15 м²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Высота:</w:t>
      </w:r>
      <w:r>
        <w:rPr>
          <w:rFonts w:ascii="Times New Roman" w:eastAsia="SimSun" w:hAnsi="Times New Roman" w:cs="Times New Roman"/>
          <w:sz w:val="24"/>
          <w:szCs w:val="24"/>
        </w:rPr>
        <w:t xml:space="preserve"> 2,7 м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Объем:</w:t>
      </w:r>
      <w:r>
        <w:rPr>
          <w:rFonts w:ascii="Times New Roman" w:eastAsia="SimSun" w:hAnsi="Times New Roman" w:cs="Times New Roman"/>
          <w:sz w:val="24"/>
          <w:szCs w:val="24"/>
        </w:rPr>
        <w:t xml:space="preserve"> 62,51 м³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Температура эксплуатации: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15-18°C</w:t>
      </w:r>
      <w:r>
        <w:br/>
        <w:t xml:space="preserve"/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Кратность вентиляции:</w:t>
      </w:r>
      <w:r>
        <w:rPr>
          <w:rFonts w:ascii="Times New Roman" w:eastAsia="SimSun" w:hAnsi="Times New Roman" w:cs="Times New Roman"/>
          <w:sz w:val="24"/>
          <w:szCs w:val="24"/>
        </w:rPr>
        <w:t xml:space="preserve"> 3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Состав обращающихся веществ: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 технический: 15 литров (в канистрах)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Ацетон химически чистый: 22 литра (в бутылках)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Итого ацетон: 37 литров (масса 29,23 кг), температура вспышки -20°C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Толуол: 20 литров (в бутылках, масса 17,4 кг), температура вспышки 4°C</w:t>
      </w:r>
    </w:p>
    <w:p>
      <w:pPr>
        <w:pStyle w:val="Heading2"/>
        <w:jc w:val="left"/>
      </w:pPr>
      <w:r>
        <w:t xml:space="preserve">4. Результаты расчетов</w:t>
      </w:r>
    </w:p>
    <w:p>
      <w:pPr>
        <w:pStyle w:val="Heading3"/>
        <w:jc w:val="left"/>
      </w:pPr>
      <w:r>
        <w:t xml:space="preserve">4.1 Показатели пожаровзрывоопасности технологических сред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3.66: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ЛВЖ (устьевая нефть, стабильный конденсат) с температурой вспышки ниже 61°C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легкие углеводородные фракции и газы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Отнесено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взрывоопасным</w:t>
      </w:r>
      <w:r>
        <w:rPr>
          <w:rFonts w:ascii="Times New Roman" w:eastAsia="SimSun" w:hAnsi="Times New Roman" w:cs="Times New Roman"/>
          <w:sz w:val="24"/>
          <w:szCs w:val="24"/>
        </w:rPr>
        <w:t xml:space="preserve"> (группа 3) технологическим средам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эксплуатации 18°C концентрация паров ниже НКПВ при герметичном хранении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аварийной ситуации возможна концентрация паров/газов выше НКПВ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3.64: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Содержит ЛВЖ с очень низкой температурой вспышки (ацетон -20°C, толуол 4°C)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температуре эксплуатации 18°C концентрация паров ацетона может значительно превышать НКПВ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Отнесено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взрывоопасным</w:t>
      </w:r>
      <w:r>
        <w:rPr>
          <w:rFonts w:ascii="Times New Roman" w:eastAsia="SimSun" w:hAnsi="Times New Roman" w:cs="Times New Roman"/>
          <w:sz w:val="24"/>
          <w:szCs w:val="24"/>
        </w:rPr>
        <w:t xml:space="preserve"> (группа 3) технологическим средам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Высокий потенциал по образованию взрывоопасных концентраций</w:t>
      </w:r>
    </w:p>
    <w:p>
      <w:pPr>
        <w:pStyle w:val="Heading3"/>
        <w:jc w:val="left"/>
      </w:pPr>
      <w:r>
        <w:t xml:space="preserve">4.2 Классификационные показатели пожароопасных и взрывоопасных зон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3.66: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взрывоопасной зоны: 2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взрывоопасные смеси не образуются, но возможно их образование при аварии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не относится к пожароопасным зонам из-за приоритета взрывоопасности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3.64: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Класс взрывоопасной зоны: 2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нормальном режиме при герметичном хранении взрывоопасные смеси не образуются постоянно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Возможность образования взрывоопасных смесей при аварии или при нарушении герметичности емкостей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не относится к пожароопасным зонам из-за приоритета взрывоопасности</w:t>
      </w:r>
    </w:p>
    <w:p>
      <w:pPr>
        <w:pStyle w:val="Heading3"/>
        <w:jc w:val="left"/>
      </w:pPr>
      <w:r>
        <w:t xml:space="preserve">4.3 Категории помещений по СП 12.13130.2009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3.66: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Категория: 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Обоснование: В помещении обращаются ЛВЖ с температурой вспышки менее 61°C, и при аварийной ситуации (разгерметизация емкостей, пожар, нагрев) возможно образование взрывоопасной среды с избыточным давлением более 5 кПа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Помещение 3.64: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Категория: 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Обоснование: В помещении обращаются ЛВЖ с очень низкой температурой вспышки (ацетон -20°C, толуол 4°C), при аварийной ситуации возможно образование взрывоопасной среды с концентрацией паров, значительно превышающей НКПВ, и расчетное избыточное давление взрыва превысит 5 кПа</w:t>
      </w:r>
    </w:p>
    <w:p>
      <w:pPr>
        <w:pStyle w:val="Heading2"/>
        <w:jc w:val="left"/>
      </w:pPr>
      <w:r>
        <w:t xml:space="preserve">5. Сводная таблица результатов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e8eaed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e8eaed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Помещение 3.66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e8eaed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center"/>
            </w:pPr>
            <w:r>
              <w:rPr>
                <w:rFonts w:ascii="Times New Roman" w:eastAsia="SimSun" w:hAnsi="Times New Roman" w:cs="Times New Roman"/>
                <w:b/>
                <w:bCs/>
                <w:sz w:val="20"/>
                <w:szCs w:val="20"/>
              </w:rPr>
              <w:t xml:space="preserve">Помещение 3.64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Площадь, м²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34,30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23,15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Объем, м³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92,61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62,51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Основные вещества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Устьевая нефть, конденсат, углеводородные газы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Ацетон, толуол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Группа технологической среды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3 (взрывоопасная)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3 (взрывоопасная)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Класс взрывоопасной зоны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Категория помещения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А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shd w:fill="f6f8fa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А</w:t>
            </w:r>
          </w:p>
        </w:tc>
      </w:tr>
      <w:tr>
        <w:trPr>
          <w:tblHeader w:val="false"/>
        </w:trPr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Удельная пожарная нагрузка, МДж/м²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477,4</w:t>
            </w:r>
          </w:p>
        </w:tc>
        <w:tc>
          <w:tcPr>
            <w:tcBorders>
              <w:top w:val="single" w:color="dfe2e5" w:sz="8"/>
              <w:left w:val="single" w:color="dfe2e5" w:sz="8"/>
              <w:bottom w:val="single" w:color="dfe2e5" w:sz="8"/>
              <w:right w:val="single" w:color="dfe2e5" w:sz="8"/>
            </w:tcBorders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before="60" w:after="60" w:line="240"/>
              <w:jc w:val="left"/>
            </w:pPr>
            <w:r>
              <w:rPr>
                <w:rFonts w:ascii="Times New Roman" w:eastAsia="SimSun" w:hAnsi="Times New Roman" w:cs="Times New Roman"/>
                <w:sz w:val="20"/>
                <w:szCs w:val="20"/>
              </w:rPr>
              <w:t xml:space="preserve">68,1</w:t>
            </w:r>
          </w:p>
        </w:tc>
      </w:tr>
    </w:tbl>
    <w:p>
      <w:pPr>
        <w:pStyle w:val="Heading2"/>
        <w:jc w:val="left"/>
      </w:pPr>
      <w:r>
        <w:t xml:space="preserve">6. Анализ рисков</w:t>
      </w:r>
    </w:p>
    <w:p>
      <w:pPr>
        <w:pStyle w:val="Heading3"/>
        <w:jc w:val="left"/>
      </w:pPr>
      <w:r>
        <w:t xml:space="preserve">6.1 Помещение 3.66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Основные риски: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разгерметизации емкостей с устьевой нефтью и стабильным конденсатом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выделения углеводородных газов при нарушении герметичности баллонов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образования взрывоопасной среды при аварийной ситуации</w:t>
      </w:r>
    </w:p>
    <w:p>
      <w:pPr>
        <w:pStyle w:val="ListParagraph"/>
        <w:numPr>
          <w:ilvl w:val="0"/>
          <w:numId w:val="3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воспламенения при наличии источника зажигания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вероятности: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Низкая при соблюдении требований хранения и герметичности емкостей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Высокая при аварийной ситуации или нарушении требований безопасности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последствий: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воспламенении возможен взрыв с избыточным давлением более 5 кПа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Возможен пожар с высокой тепловой нагрузкой</w:t>
      </w:r>
    </w:p>
    <w:p>
      <w:pPr>
        <w:pStyle w:val="Heading3"/>
        <w:jc w:val="left"/>
      </w:pPr>
      <w:r>
        <w:t xml:space="preserve">6.2 Помещение 3.64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Основные риски: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Высокий риск образования взрывоопасных концентраций паров ацетона и толуола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разгерметизации емкостей с ЛВЖ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воспламенения при наличии источника зажигания</w:t>
      </w:r>
    </w:p>
    <w:p>
      <w:pPr>
        <w:pStyle w:val="ListParagraph"/>
        <w:numPr>
          <w:ilvl w:val="0"/>
          <w:numId w:val="4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Риск химического воздействия на персонал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вероятности: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Средняя при нормальной эксплуатации (в связи с низкой температурой вспышки веществ)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Высокая при аварийной ситуации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Оценка последствий: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 воспламенении возможен взрыв с избыточным давлением значительно более 5 кПа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Высокая скорость распространения пламени</w:t>
      </w:r>
    </w:p>
    <w:p>
      <w:pPr>
        <w:pStyle w:val="ListParagraph"/>
        <w:numPr>
          <w:ilvl w:val="0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Возможность детонации</w:t>
      </w:r>
    </w:p>
    <w:p>
      <w:pPr>
        <w:pStyle w:val="Heading2"/>
        <w:jc w:val="left"/>
      </w:pPr>
      <w:r>
        <w:t xml:space="preserve">7. Рекомендации по обеспечению пожарной безопасности</w:t>
      </w:r>
    </w:p>
    <w:p>
      <w:pPr>
        <w:pStyle w:val="Heading3"/>
        <w:jc w:val="left"/>
      </w:pPr>
      <w:r>
        <w:t xml:space="preserve">7.1 Общие рекомендации для обоих помещений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Обеспечение взрывозащиты: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Применение взрывозащищенного электрооборудования категории "ib" или выше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взрывозащищенных светильников и розеток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Использование искробезопасных приборов и инструментов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Системы вентиляции: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аварийной вентиляции с кратностью воздухообмена не менее 8-10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датчиков контроля концентрации паров ЛВЖ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независимого питания систем вентиляции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Системы пожарной безопасности: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систем автоматической пожарной сигнализации с датчиками горючих паров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Оборудование системами автоматического пожаротушения (порошковыми или газовыми установками)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ручных первичных средств пожаротушения</w:t>
      </w:r>
    </w:p>
    <w:p>
      <w:pPr>
        <w:pStyle w:val="ListParagraph"/>
        <w:numPr>
          <w:ilvl w:val="0"/>
          <w:numId w:val="5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Организационные меры: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Разработка инструкций по безопасному обращению с ЛВЖ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персонала средствами индивидуальной защиты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Проведение регулярных инструктажей по пожарной безопасности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Организация регулярного контроля герметичности емкостей</w:t>
      </w:r>
    </w:p>
    <w:p>
      <w:pPr>
        <w:pStyle w:val="Heading3"/>
        <w:jc w:val="left"/>
      </w:pPr>
      <w:r>
        <w:t xml:space="preserve">7.2 Специфические рекомендации для помещения 3.66</w:t>
      </w:r>
    </w:p>
    <w:p>
      <w:pPr>
        <w:pStyle w:val="ListParagraph"/>
        <w:numPr>
          <w:ilvl w:val="0"/>
          <w:numId w:val="6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Хранение нефти и конденсата: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герметичности ПЭТ-контейнеров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Организация хранения на поддонах из нержавеющей стали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систем контроля за состоянием емкостей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Организация регулярного осмотра и замены упаковки при необходимости</w:t>
      </w:r>
    </w:p>
    <w:p>
      <w:pPr>
        <w:pStyle w:val="ListParagraph"/>
        <w:numPr>
          <w:ilvl w:val="0"/>
          <w:numId w:val="6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Оборудование помещения: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Применение негерметичных приборов и оборудования только в обоснованных случаях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антистатических свойств полов и оборудования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систем газоанализа при необходимости</w:t>
      </w:r>
    </w:p>
    <w:p>
      <w:pPr>
        <w:pStyle w:val="Heading3"/>
        <w:jc w:val="left"/>
      </w:pPr>
      <w:r>
        <w:t xml:space="preserve">7.3 Специфические рекомендации для помещения 3.64</w:t>
      </w:r>
    </w:p>
    <w:p>
      <w:pPr>
        <w:pStyle w:val="ListParagraph"/>
        <w:numPr>
          <w:ilvl w:val="0"/>
          <w:numId w:val="7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Хранение ацетона и толуола: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герметичности всех емкостей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Хранение в шкафах для ЛВЖ при необходимости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Ограничение количества веществ до минимально необходимого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хранения вдали от источников тепла и воспламенения</w:t>
      </w:r>
    </w:p>
    <w:p>
      <w:pPr>
        <w:pStyle w:val="ListParagraph"/>
        <w:numPr>
          <w:ilvl w:val="0"/>
          <w:numId w:val="7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Оборудование помещения: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Обязательное применение взрывозащищенного электрооборудования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антистатических свойств полов и оборудования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Установка систем контроля концентрации паров ацетона и толуола</w:t>
      </w:r>
    </w:p>
    <w:p>
      <w:pPr>
        <w:pStyle w:val="ListParagraph"/>
        <w:numPr>
          <w:ilvl w:val="1"/>
          <w:numId w:val="1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Обеспечение быстродействующих систем вентиляции</w:t>
      </w:r>
    </w:p>
    <w:p>
      <w:pPr>
        <w:pStyle w:val="Heading2"/>
        <w:jc w:val="left"/>
      </w:pPr>
      <w:r>
        <w:t xml:space="preserve">8. Выводы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помещения (3.66 и 3.64) по результатам проведенных расчетов отнесены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категории А</w:t>
      </w:r>
      <w:r>
        <w:rPr>
          <w:rFonts w:ascii="Times New Roman" w:eastAsia="SimSun" w:hAnsi="Times New Roman" w:cs="Times New Roman"/>
          <w:sz w:val="24"/>
          <w:szCs w:val="24"/>
        </w:rPr>
        <w:t xml:space="preserve"> по взрывопожарной опасности в соответствии с СП 12.13130.2009.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Помещения содержат легковоспламеняющиеся жидкости (ЛВЖ) с температурой вспышки значительно ниже эксплуатационной температуры, что создает высокий потенциал по образованию взрывоопасных концентраций паров.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Оба помещения отнесены к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взрывоопасным зонам класса 2</w:t>
      </w:r>
      <w:r>
        <w:rPr>
          <w:rFonts w:ascii="Times New Roman" w:eastAsia="SimSun" w:hAnsi="Times New Roman" w:cs="Times New Roman"/>
          <w:sz w:val="24"/>
          <w:szCs w:val="24"/>
        </w:rPr>
        <w:t xml:space="preserve">, что означает отсутствие взрывоопасных смесей при нормальном режиме, но возможность их образования при аварийной ситуации.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Помещение 3.64 представляет более высокую опасность по сравнению с помещением 3.66 в связи с наличием веществ с очень низкой температурой вспышки (ацетон -20°C, толуол 4°C).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Для обеспечения пожарной безопасности в помещениях необходимо реализовать комплекс технических и организационных мероприятий, включая применение взрывозащищенного оборудования, систем вентиляции, пожарной сигнализации и пожаротушения.</w:t>
      </w:r>
    </w:p>
    <w:p>
      <w:pPr>
        <w:pStyle w:val="ListParagraph"/>
        <w:numPr>
          <w:ilvl w:val="0"/>
          <w:numId w:val="8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Рекомендуется разработать и утвердить регламенты по безопасному обращению с обращающимися веществами, а также обеспечить регулярный контроль за состоянием оборудования и емкостей для хранения.</w:t>
      </w:r>
    </w:p>
    <w:p>
      <w:pPr>
        <w:pStyle w:val="Heading2"/>
        <w:jc w:val="left"/>
      </w:pPr>
      <w:r>
        <w:t xml:space="preserve">9. Перечень нормативных документов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СП 12.13130.2009 "Определение категорий помещений, зданий и наружных установок по взрывопожарной и пожарной опасности"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Федеральный закон от 22 июля 2008 года № 123-ФЗ "Технический регламент о требованиях пожарной безопасности"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Р 12.3.047-99 "Пожаро- и взрывоопасность технологических процессов. Общие требования безопасности"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ГОСТ 12.1.044-2018 "Система стандартов безопасности труда. Пожаровзрывоопасность веществ и материалов. Номенклатура показателей и методы их определения"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Техническое задание "Выполнение комплекса работ по расчету категорий по взрывопожарной и пожарной опасности"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показателей пожаровзрывоопасности помещений 3.66 и 3.64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классификационных показателей пожароопасных и взрывоопасных зон помещений 3.6 и 3.64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Результаты расчета категорий помещений 3.66 и 3.64 по СП 12.13130.2009</w:t>
      </w:r>
    </w:p>
    <w:p>
      <w:pPr>
        <w:pStyle w:val="ListParagraph"/>
        <w:numPr>
          <w:ilvl w:val="0"/>
          <w:numId w:val="9"/>
        </w:numPr>
        <w:spacing w:before="0" w:after="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Физико-химическая характеристика устьевой нефти скв. 405Р Орехово-Ермаковского месторождения</w:t>
      </w:r>
    </w:p>
    <w:p>
      <w:pPr>
        <w:pStyle w:val="Heading2"/>
        <w:jc w:val="left"/>
      </w:pPr>
      <w:r>
        <w:t xml:space="preserve">10. Приложения</w:t>
      </w:r>
    </w:p>
    <w:p>
      <w:pPr>
        <w:spacing w:before="160" w:after="40" w:line="360"/>
        <w:jc w:val="left"/>
      </w:pPr>
      <w:r>
        <w:rPr>
          <w:rFonts w:ascii="Times New Roman" w:eastAsia="SimSun" w:hAnsi="Times New Roman" w:cs="Times New Roman"/>
          <w:sz w:val="24"/>
          <w:szCs w:val="24"/>
        </w:rPr>
        <w:t xml:space="preserve">Приложение 1: Результаты расчета показателей пожаровзрывоопасности помещений 3.66 и 3.64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Приложение 2: Результаты расчета классификационных показателей пожароопасных и взрывоопасных зон помещений 3.66 и 3.64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Приложение 3: Результаты расчета категорий помещений 3.66 и 3.64 по СП 12.13130.2009</w:t>
      </w:r>
      <w:r>
        <w:br/>
        <w:t xml:space="preserve"/>
      </w:r>
      <w:r>
        <w:rPr>
          <w:rFonts w:ascii="Times New Roman" w:eastAsia="SimSun" w:hAnsi="Times New Roman" w:cs="Times New Roman"/>
          <w:sz w:val="24"/>
          <w:szCs w:val="24"/>
        </w:rPr>
        <w:t xml:space="preserve">Приложение 4: Характеристики обращающихся веществ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04" w:hanging="403"/>
      </w:pPr>
    </w:lvl>
    <w:lvl w:ilvl="1" w15:tentative="1">
      <w:start w:val="1"/>
      <w:numFmt w:val="lowerRoman"/>
      <w:lvlText w:val="%2."/>
      <w:lvlJc w:val="start"/>
      <w:pPr>
        <w:ind w:left="1209" w:hanging="403"/>
      </w:pPr>
    </w:lvl>
    <w:lvl w:ilvl="2" w15:tentative="1">
      <w:start w:val="1"/>
      <w:numFmt w:val="lowerLetter"/>
      <w:lvlText w:val="%3."/>
      <w:lvlJc w:val="start"/>
      <w:pPr>
        <w:ind w:left="1814" w:hanging="403"/>
      </w:pPr>
    </w:lvl>
    <w:lvl w:ilvl="3" w15:tentative="1">
      <w:start w:val="1"/>
      <w:numFmt w:val="lowerLetter"/>
      <w:lvlText w:val="%4."/>
      <w:lvlJc w:val="start"/>
      <w:pPr>
        <w:ind w:left="2419" w:hanging="403"/>
      </w:pPr>
    </w:lvl>
    <w:lvl w:ilvl="4" w15:tentative="1">
      <w:start w:val="1"/>
      <w:numFmt w:val="lowerLetter"/>
      <w:lvlText w:val="%5."/>
      <w:lvlJc w:val="start"/>
      <w:pPr>
        <w:ind w:left="3024" w:hanging="403"/>
      </w:pPr>
    </w:lvl>
    <w:lvl w:ilvl="5" w15:tentative="1">
      <w:start w:val="1"/>
      <w:numFmt w:val="lowerLetter"/>
      <w:lvlText w:val="%6."/>
      <w:lvlJc w:val="start"/>
      <w:pPr>
        <w:ind w:left="3628" w:hanging="403"/>
      </w:pPr>
    </w:lvl>
    <w:lvl w:ilvl="6" w15:tentative="1">
      <w:start w:val="1"/>
      <w:numFmt w:val="lowerLetter"/>
      <w:lvlText w:val="%7."/>
      <w:lvlJc w:val="start"/>
      <w:pPr>
        <w:ind w:left="4233" w:hanging="403"/>
      </w:pPr>
    </w:lvl>
    <w:lvl w:ilvl="7" w15:tentative="1">
      <w:start w:val="1"/>
      <w:numFmt w:val="lowerLetter"/>
      <w:lvlText w:val="%8."/>
      <w:lvlJc w:val="start"/>
      <w:pPr>
        <w:ind w:left="4838" w:hanging="403"/>
      </w:pPr>
    </w:lvl>
    <w:lvl w:ilvl="8" w15:tentative="1">
      <w:start w:val="1"/>
      <w:numFmt w:val="lowerLetter"/>
      <w:lvlText w:val="%9."/>
      <w:lvlJc w:val="start"/>
      <w:pPr>
        <w:ind w:left="648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sz w:val="24"/>
        <w:szCs w:val="24"/>
      </w:rPr>
    </w:rPrDefault>
    <w:pPrDefault>
      <w:pPr>
        <w:spacing w:line="360" w:before="1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60" w:after="60" w:line="360"/>
      <w:jc w:val="center"/>
    </w:pPr>
    <w:rPr>
      <w:rFonts w:ascii="Times New Roman" w:eastAsia="SimSun" w:hAnsi="Times New Roman" w:cs="Times New Roman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20" w:after="20" w:line="360"/>
      <w:jc w:val="left"/>
    </w:pPr>
    <w:rPr>
      <w:rFonts w:ascii="Times New Roman" w:eastAsia="SimSu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00" w:after="10" w:line="360"/>
      <w:jc w:val="left"/>
    </w:pPr>
    <w:rPr>
      <w:rFonts w:ascii="Times New Roman" w:eastAsia="SimSu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180" w:after="0" w:line="360"/>
      <w:jc w:val="left"/>
    </w:pPr>
    <w:rPr>
      <w:rFonts w:ascii="Times New Roman" w:eastAsia="SimSu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160" w:after="0" w:line="360"/>
      <w:jc w:val="left"/>
    </w:pPr>
    <w:rPr>
      <w:rFonts w:ascii="Times New Roman" w:eastAsia="SimSun" w:hAnsi="Times New Roman" w:cs="Times New Roman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140" w:after="0" w:line="360"/>
      <w:jc w:val="left"/>
    </w:pPr>
    <w:rPr>
      <w:rFonts w:ascii="Times New Roman" w:eastAsia="SimSun" w:hAnsi="Times New Roman" w:cs="Times New Roman"/>
      <w:b/>
      <w:bCs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Техническое_заключение_по_помещениям_3.66_и_3.64</dc:title>
  <dc:creator>Markdown Viewer Extension</dc:creator>
  <dc:description>Generated from Markdown</dc:description>
  <cp:lastModifiedBy>Markdown Viewer Extension</cp:lastModifiedBy>
  <cp:revision>1</cp:revision>
  <dcterms:created xsi:type="dcterms:W3CDTF">2025-11-23T16:27:22.070Z</dcterms:created>
  <dcterms:modified xsi:type="dcterms:W3CDTF">2025-11-23T16:27:22.070Z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