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05a791017bbacc95fa7f71504c8af639296253"/>
    <w:p>
      <w:pPr>
        <w:pStyle w:val="Heading1"/>
      </w:pPr>
      <w:r>
        <w:t xml:space="preserve">Meridian Investment Committee Memo (Sample)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Meridian Holdings is a B2B SaaS company in the logistics vertical.</w:t>
      </w:r>
    </w:p>
    <w:bookmarkEnd w:id="9"/>
    <w:bookmarkStart w:id="10" w:name="investment-thesis"/>
    <w:p>
      <w:pPr>
        <w:pStyle w:val="Heading2"/>
      </w:pPr>
      <w:r>
        <w:t xml:space="preserve">Investment Thesis</w:t>
      </w:r>
    </w:p>
    <w:p>
      <w:pPr>
        <w:pStyle w:val="FirstParagraph"/>
      </w:pPr>
      <w:r>
        <w:t xml:space="preserve">Three drivers: market expansion, gross-margin uplift, M&amp;A roll-up.</w:t>
      </w:r>
    </w:p>
    <w:bookmarkEnd w:id="10"/>
    <w:bookmarkStart w:id="11" w:name="risks"/>
    <w:p>
      <w:pPr>
        <w:pStyle w:val="Heading2"/>
      </w:pPr>
      <w:r>
        <w:t xml:space="preserve">Risks</w:t>
      </w:r>
    </w:p>
    <w:p>
      <w:pPr>
        <w:pStyle w:val="FirstParagraph"/>
      </w:pPr>
      <w:r>
        <w:t xml:space="preserve">Customer concentration. Regulatory exposure in EU markets.</w:t>
      </w:r>
    </w:p>
    <w:bookmarkEnd w:id="11"/>
    <w:bookmarkStart w:id="12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Approve at $42M with seller earnout.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2026-05-14T18:18:59Z</dcterms:created>
  <dcterms:modified xsi:type="dcterms:W3CDTF">2026-05-14T18:18:59Z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