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6" w:type="dxa"/>
        <w:tblInd w:w="-431" w:type="dxa"/>
        <w:tblLook w:val="04A0" w:firstRow="1" w:lastRow="0" w:firstColumn="1" w:lastColumn="0" w:noHBand="0" w:noVBand="1"/>
      </w:tblPr>
      <w:tblGrid>
        <w:gridCol w:w="1841"/>
        <w:gridCol w:w="8505"/>
      </w:tblGrid>
      <w:tr w:rsidR="008B470E" w:rsidRPr="00AA2337" w14:paraId="45E59B98" w14:textId="77777777" w:rsidTr="001C2478">
        <w:tc>
          <w:tcPr>
            <w:tcW w:w="10346" w:type="dxa"/>
            <w:gridSpan w:val="2"/>
          </w:tcPr>
          <w:p w14:paraId="18BA80A3" w14:textId="605EFE55" w:rsidR="00695F2A" w:rsidRPr="00AA2337" w:rsidRDefault="008B470E" w:rsidP="00695F2A">
            <w:pPr>
              <w:jc w:val="center"/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Note For Approval</w:t>
            </w:r>
            <w:r w:rsidR="00C832C1" w:rsidRPr="00AA2337">
              <w:rPr>
                <w:rFonts w:cstheme="minorHAnsi"/>
                <w:b/>
              </w:rPr>
              <w:t xml:space="preserve"> </w:t>
            </w:r>
          </w:p>
        </w:tc>
      </w:tr>
      <w:tr w:rsidR="007468AD" w:rsidRPr="00AA2337" w14:paraId="76D15944" w14:textId="77777777" w:rsidTr="001C2478">
        <w:tc>
          <w:tcPr>
            <w:tcW w:w="1841" w:type="dxa"/>
          </w:tcPr>
          <w:p w14:paraId="148F00C5" w14:textId="77777777" w:rsidR="007468AD" w:rsidRPr="00AA2337" w:rsidRDefault="007468AD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Date</w:t>
            </w:r>
          </w:p>
        </w:tc>
        <w:tc>
          <w:tcPr>
            <w:tcW w:w="8505" w:type="dxa"/>
          </w:tcPr>
          <w:p w14:paraId="4D1D4448" w14:textId="7C79F560" w:rsidR="001C2478" w:rsidRPr="00AA2337" w:rsidRDefault="00EE6440" w:rsidP="00695F2A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26 May 2026</w:t>
            </w:r>
          </w:p>
        </w:tc>
      </w:tr>
      <w:tr w:rsidR="008B470E" w:rsidRPr="00AA2337" w14:paraId="21F9760C" w14:textId="77777777" w:rsidTr="001C2478">
        <w:tc>
          <w:tcPr>
            <w:tcW w:w="1841" w:type="dxa"/>
          </w:tcPr>
          <w:p w14:paraId="585A811C" w14:textId="77777777" w:rsidR="008B470E" w:rsidRPr="00AA2337" w:rsidRDefault="008B470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Subject</w:t>
            </w:r>
          </w:p>
        </w:tc>
        <w:tc>
          <w:tcPr>
            <w:tcW w:w="8505" w:type="dxa"/>
          </w:tcPr>
          <w:p w14:paraId="68445EE5" w14:textId="551AFAEC" w:rsidR="00556090" w:rsidRPr="00AA2337" w:rsidRDefault="00B1015C" w:rsidP="004B367F">
            <w:pPr>
              <w:pStyle w:val="NormalWeb"/>
              <w:rPr>
                <w:rFonts w:asciiTheme="minorHAnsi" w:hAnsiTheme="minorHAnsi" w:cstheme="minorHAnsi"/>
              </w:rPr>
            </w:pPr>
            <w:r w:rsidRPr="00AA2337">
              <w:rPr>
                <w:rFonts w:asciiTheme="minorHAnsi" w:hAnsiTheme="minorHAnsi" w:cstheme="minorHAnsi"/>
              </w:rPr>
              <w:t>Approval to onboard Plotline as In-App Engagement &amp; Personalization Platform Partner</w:t>
            </w:r>
          </w:p>
        </w:tc>
      </w:tr>
      <w:tr w:rsidR="00300464" w:rsidRPr="00AA2337" w14:paraId="40AFB63B" w14:textId="77777777" w:rsidTr="001C2478">
        <w:tc>
          <w:tcPr>
            <w:tcW w:w="1841" w:type="dxa"/>
          </w:tcPr>
          <w:p w14:paraId="15026846" w14:textId="09121BB0" w:rsidR="00300464" w:rsidRPr="00AA2337" w:rsidRDefault="009E6F1B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  <w:color w:val="000000"/>
              </w:rPr>
              <w:t xml:space="preserve">Final </w:t>
            </w:r>
            <w:r w:rsidR="0031263A" w:rsidRPr="00AA2337">
              <w:rPr>
                <w:rFonts w:cstheme="minorHAnsi"/>
                <w:b/>
                <w:color w:val="000000"/>
              </w:rPr>
              <w:t>Price,</w:t>
            </w:r>
            <w:r w:rsidRPr="00AA2337">
              <w:rPr>
                <w:rFonts w:cstheme="minorHAnsi"/>
                <w:b/>
                <w:color w:val="000000"/>
              </w:rPr>
              <w:t xml:space="preserve"> </w:t>
            </w:r>
            <w:r w:rsidR="0031263A" w:rsidRPr="00AA2337">
              <w:rPr>
                <w:rFonts w:cstheme="minorHAnsi"/>
                <w:b/>
                <w:color w:val="000000"/>
              </w:rPr>
              <w:t>Terms,</w:t>
            </w:r>
            <w:r w:rsidRPr="00AA2337">
              <w:rPr>
                <w:rFonts w:cstheme="minorHAnsi"/>
                <w:b/>
                <w:color w:val="000000"/>
              </w:rPr>
              <w:t xml:space="preserve"> Contract Period etc.</w:t>
            </w:r>
          </w:p>
        </w:tc>
        <w:tc>
          <w:tcPr>
            <w:tcW w:w="8505" w:type="dxa"/>
          </w:tcPr>
          <w:p w14:paraId="6F7AACE5" w14:textId="77777777" w:rsidR="00B1015C" w:rsidRPr="00AA2337" w:rsidRDefault="00B1015C" w:rsidP="00B1015C">
            <w:pPr>
              <w:tabs>
                <w:tab w:val="num" w:pos="1080"/>
              </w:tabs>
              <w:rPr>
                <w:rFonts w:cstheme="minorHAnsi"/>
              </w:rPr>
            </w:pPr>
            <w:r w:rsidRPr="00A755E0">
              <w:rPr>
                <w:rFonts w:cstheme="minorHAnsi"/>
                <w:highlight w:val="yellow"/>
              </w:rPr>
              <w:t>Commercials to be updated by Procurement team</w:t>
            </w:r>
          </w:p>
          <w:p w14:paraId="5047B1F8" w14:textId="2CADD6C6" w:rsidR="00B1015C" w:rsidRPr="00AA2337" w:rsidRDefault="00B1015C" w:rsidP="00B1015C">
            <w:pPr>
              <w:tabs>
                <w:tab w:val="num" w:pos="1080"/>
              </w:tabs>
              <w:rPr>
                <w:rFonts w:cstheme="minorHAnsi"/>
              </w:rPr>
            </w:pPr>
            <w:r w:rsidRPr="00A755E0">
              <w:rPr>
                <w:rFonts w:cstheme="minorHAnsi"/>
                <w:highlight w:val="yellow"/>
              </w:rPr>
              <w:t xml:space="preserve">Lock in: </w:t>
            </w:r>
            <w:r w:rsidR="00A755E0" w:rsidRPr="00A755E0">
              <w:rPr>
                <w:rFonts w:cstheme="minorHAnsi"/>
                <w:highlight w:val="yellow"/>
              </w:rPr>
              <w:t>To be updated by Procurement team</w:t>
            </w:r>
          </w:p>
          <w:p w14:paraId="1866F41D" w14:textId="69835CC5" w:rsidR="00556090" w:rsidRPr="00AA2337" w:rsidRDefault="00B1015C" w:rsidP="00B1015C">
            <w:pPr>
              <w:tabs>
                <w:tab w:val="num" w:pos="1080"/>
              </w:tabs>
              <w:rPr>
                <w:rFonts w:cstheme="minorHAnsi"/>
              </w:rPr>
            </w:pPr>
            <w:r w:rsidRPr="00AA2337">
              <w:rPr>
                <w:rFonts w:cstheme="minorHAnsi"/>
              </w:rPr>
              <w:t>Contract Term: 3 Years</w:t>
            </w:r>
          </w:p>
        </w:tc>
      </w:tr>
      <w:tr w:rsidR="0086711E" w:rsidRPr="00AA2337" w14:paraId="7520A961" w14:textId="77777777" w:rsidTr="001C2478">
        <w:tc>
          <w:tcPr>
            <w:tcW w:w="1841" w:type="dxa"/>
          </w:tcPr>
          <w:p w14:paraId="16BDD74B" w14:textId="0FD491A2" w:rsidR="0086711E" w:rsidRPr="00AA2337" w:rsidRDefault="0086711E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Preface &amp; Key Points</w:t>
            </w:r>
          </w:p>
        </w:tc>
        <w:tc>
          <w:tcPr>
            <w:tcW w:w="8505" w:type="dxa"/>
          </w:tcPr>
          <w:p w14:paraId="5E0B5F7C" w14:textId="77777777" w:rsidR="00951A11" w:rsidRPr="00AA2337" w:rsidRDefault="00951A11" w:rsidP="00951A11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The proposed platform is intended to support:</w:t>
            </w:r>
          </w:p>
          <w:p w14:paraId="755B0118" w14:textId="77777777" w:rsidR="00951A11" w:rsidRPr="00AA2337" w:rsidRDefault="00951A11" w:rsidP="00951A11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• Real-time contextual customer engagement across booking funnel, add-ons, payments, check-in and post-booking journeys</w:t>
            </w:r>
          </w:p>
          <w:p w14:paraId="3F45E8E2" w14:textId="77777777" w:rsidR="00951A11" w:rsidRPr="00AA2337" w:rsidRDefault="00951A11" w:rsidP="00951A11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• Personalized in-app experiences and notifications based on customer behavior, travel context, loyalty profile, and operational events</w:t>
            </w:r>
          </w:p>
          <w:p w14:paraId="780406FB" w14:textId="77777777" w:rsidR="00951A11" w:rsidRPr="00AA2337" w:rsidRDefault="00951A11" w:rsidP="00951A11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• Faster launch of campaigns and engagement journeys without engineering dependency and release cycles</w:t>
            </w:r>
          </w:p>
          <w:p w14:paraId="69BF90BE" w14:textId="4D8CC611" w:rsidR="00556090" w:rsidRPr="00AA2337" w:rsidRDefault="00951A11" w:rsidP="00951A11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• Improved ancillary attachment opportunities across seats, baggage, meals, Fast Forward, lounge and future marketplace initiatives</w:t>
            </w:r>
          </w:p>
        </w:tc>
      </w:tr>
      <w:tr w:rsidR="002D68B9" w:rsidRPr="00AA2337" w14:paraId="0F740423" w14:textId="77777777" w:rsidTr="001C2478">
        <w:tc>
          <w:tcPr>
            <w:tcW w:w="1841" w:type="dxa"/>
          </w:tcPr>
          <w:p w14:paraId="19832B4F" w14:textId="61C39E1F" w:rsidR="002D68B9" w:rsidRPr="00AA2337" w:rsidRDefault="002D68B9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Vendor/OEM</w:t>
            </w:r>
          </w:p>
        </w:tc>
        <w:tc>
          <w:tcPr>
            <w:tcW w:w="8505" w:type="dxa"/>
          </w:tcPr>
          <w:p w14:paraId="5821457F" w14:textId="1EF9803F" w:rsidR="002D68B9" w:rsidRPr="00AA2337" w:rsidRDefault="002D68B9" w:rsidP="00EE6440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Plotline (Commercial Ratings – L2 and Technical Ratings – T1)</w:t>
            </w:r>
          </w:p>
        </w:tc>
      </w:tr>
      <w:tr w:rsidR="002D68B9" w:rsidRPr="00AA2337" w14:paraId="61870FFE" w14:textId="77777777" w:rsidTr="001C2478">
        <w:tc>
          <w:tcPr>
            <w:tcW w:w="1841" w:type="dxa"/>
          </w:tcPr>
          <w:p w14:paraId="24921EB6" w14:textId="440C8765" w:rsidR="002D68B9" w:rsidRPr="00AA2337" w:rsidRDefault="002D68B9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Process followed / Price justification / Benchmark / Exception</w:t>
            </w:r>
          </w:p>
        </w:tc>
        <w:tc>
          <w:tcPr>
            <w:tcW w:w="8505" w:type="dxa"/>
          </w:tcPr>
          <w:p w14:paraId="5595EB00" w14:textId="30BC2164" w:rsidR="00AA2337" w:rsidRPr="00AA2337" w:rsidRDefault="00AA2337" w:rsidP="00AA2337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RFP process was followed to identify a suitable In-App Engagement &amp; Personalization Platform partner for IndiGo App ecosystem. Three vendors participated in the RFP and were evaluated across Technical, Functional and InfoSec parameters.</w:t>
            </w:r>
          </w:p>
          <w:p w14:paraId="2D454BEA" w14:textId="77777777" w:rsidR="00AA2337" w:rsidRPr="00AA2337" w:rsidRDefault="00AA2337" w:rsidP="00AA2337">
            <w:pPr>
              <w:rPr>
                <w:rFonts w:cstheme="minorHAnsi"/>
              </w:rPr>
            </w:pPr>
          </w:p>
          <w:p w14:paraId="02AD4836" w14:textId="26BABCC8" w:rsidR="002D68B9" w:rsidRPr="00AA2337" w:rsidRDefault="00AA2337" w:rsidP="002D68B9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Technical and commercial rankings were captured as below:</w:t>
            </w:r>
          </w:p>
          <w:tbl>
            <w:tblPr>
              <w:tblStyle w:val="GridTable6Colorful-Accent1"/>
              <w:tblW w:w="4768" w:type="dxa"/>
              <w:tblLook w:val="04A0" w:firstRow="1" w:lastRow="0" w:firstColumn="1" w:lastColumn="0" w:noHBand="0" w:noVBand="1"/>
            </w:tblPr>
            <w:tblGrid>
              <w:gridCol w:w="1264"/>
              <w:gridCol w:w="1891"/>
              <w:gridCol w:w="1650"/>
            </w:tblGrid>
            <w:tr w:rsidR="002D68B9" w:rsidRPr="00AA2337" w14:paraId="1756A3E3" w14:textId="77777777" w:rsidTr="002D68B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7" w:type="dxa"/>
                  <w:noWrap/>
                  <w:hideMark/>
                </w:tcPr>
                <w:p w14:paraId="511400EA" w14:textId="77777777" w:rsidR="002D68B9" w:rsidRPr="00AA2337" w:rsidRDefault="002D68B9" w:rsidP="002D68B9">
                  <w:pPr>
                    <w:spacing w:before="100" w:beforeAutospacing="1" w:after="100" w:afterAutospacing="1"/>
                    <w:rPr>
                      <w:rFonts w:cstheme="minorHAnsi"/>
                    </w:rPr>
                  </w:pPr>
                  <w:r w:rsidRPr="00AA2337">
                    <w:rPr>
                      <w:rFonts w:cstheme="minorHAnsi"/>
                    </w:rPr>
                    <w:t>Vendor Name</w:t>
                  </w:r>
                </w:p>
              </w:tc>
              <w:tc>
                <w:tcPr>
                  <w:tcW w:w="1891" w:type="dxa"/>
                  <w:noWrap/>
                  <w:hideMark/>
                </w:tcPr>
                <w:p w14:paraId="0773F770" w14:textId="77777777" w:rsidR="002D68B9" w:rsidRPr="00AA2337" w:rsidRDefault="002D68B9" w:rsidP="002D68B9">
                  <w:pPr>
                    <w:spacing w:before="100" w:beforeAutospacing="1" w:after="100" w:afterAutospacing="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AA2337">
                    <w:rPr>
                      <w:rFonts w:cstheme="minorHAnsi"/>
                      <w:color w:val="auto"/>
                    </w:rPr>
                    <w:t>Commercial Ratings</w:t>
                  </w:r>
                </w:p>
              </w:tc>
              <w:tc>
                <w:tcPr>
                  <w:tcW w:w="1650" w:type="dxa"/>
                  <w:noWrap/>
                  <w:hideMark/>
                </w:tcPr>
                <w:p w14:paraId="06E842C8" w14:textId="77777777" w:rsidR="002D68B9" w:rsidRPr="00AA2337" w:rsidRDefault="002D68B9" w:rsidP="002D68B9">
                  <w:pPr>
                    <w:spacing w:before="100" w:beforeAutospacing="1" w:after="100" w:afterAutospacing="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AA2337">
                    <w:rPr>
                      <w:rFonts w:cstheme="minorHAnsi"/>
                      <w:color w:val="auto"/>
                    </w:rPr>
                    <w:t>Technical Ratings</w:t>
                  </w:r>
                </w:p>
              </w:tc>
            </w:tr>
            <w:tr w:rsidR="002D68B9" w:rsidRPr="00AA2337" w14:paraId="49534142" w14:textId="77777777" w:rsidTr="002D68B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7" w:type="dxa"/>
                  <w:noWrap/>
                  <w:hideMark/>
                </w:tcPr>
                <w:p w14:paraId="71D9FBE7" w14:textId="77777777" w:rsidR="002D68B9" w:rsidRPr="00AA2337" w:rsidRDefault="002D68B9" w:rsidP="002D68B9">
                  <w:pPr>
                    <w:spacing w:before="100" w:beforeAutospacing="1" w:after="100" w:afterAutospacing="1"/>
                    <w:rPr>
                      <w:rFonts w:cstheme="minorHAnsi"/>
                    </w:rPr>
                  </w:pPr>
                  <w:proofErr w:type="spellStart"/>
                  <w:r w:rsidRPr="00AA2337">
                    <w:rPr>
                      <w:rFonts w:cstheme="minorHAnsi"/>
                      <w:color w:val="auto"/>
                    </w:rPr>
                    <w:t>Pushwoosh</w:t>
                  </w:r>
                  <w:proofErr w:type="spellEnd"/>
                </w:p>
              </w:tc>
              <w:tc>
                <w:tcPr>
                  <w:tcW w:w="1891" w:type="dxa"/>
                  <w:noWrap/>
                  <w:hideMark/>
                </w:tcPr>
                <w:p w14:paraId="52A1AED9" w14:textId="77777777" w:rsidR="002D68B9" w:rsidRPr="00AA2337" w:rsidRDefault="002D68B9" w:rsidP="002D68B9">
                  <w:pPr>
                    <w:spacing w:before="100" w:beforeAutospacing="1" w:after="100" w:afterAutospacing="1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AA2337">
                    <w:rPr>
                      <w:rFonts w:cstheme="minorHAnsi"/>
                      <w:color w:val="auto"/>
                    </w:rPr>
                    <w:t>L1</w:t>
                  </w:r>
                </w:p>
              </w:tc>
              <w:tc>
                <w:tcPr>
                  <w:tcW w:w="1650" w:type="dxa"/>
                  <w:noWrap/>
                  <w:hideMark/>
                </w:tcPr>
                <w:p w14:paraId="1FBDA442" w14:textId="77777777" w:rsidR="002D68B9" w:rsidRPr="00AA2337" w:rsidRDefault="002D68B9" w:rsidP="002D68B9">
                  <w:pPr>
                    <w:spacing w:before="100" w:beforeAutospacing="1" w:after="100" w:afterAutospacing="1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AA2337">
                    <w:rPr>
                      <w:rFonts w:cstheme="minorHAnsi"/>
                      <w:color w:val="auto"/>
                    </w:rPr>
                    <w:t>T3</w:t>
                  </w:r>
                </w:p>
              </w:tc>
            </w:tr>
            <w:tr w:rsidR="002D68B9" w:rsidRPr="00AA2337" w14:paraId="050B44C8" w14:textId="77777777" w:rsidTr="002D68B9">
              <w:trPr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7" w:type="dxa"/>
                  <w:noWrap/>
                  <w:hideMark/>
                </w:tcPr>
                <w:p w14:paraId="19FB4D2E" w14:textId="77777777" w:rsidR="002D68B9" w:rsidRPr="00AA2337" w:rsidRDefault="002D68B9" w:rsidP="002D68B9">
                  <w:pPr>
                    <w:spacing w:before="100" w:beforeAutospacing="1" w:after="100" w:afterAutospacing="1"/>
                    <w:rPr>
                      <w:rFonts w:cstheme="minorHAnsi"/>
                    </w:rPr>
                  </w:pPr>
                  <w:r w:rsidRPr="00AA2337">
                    <w:rPr>
                      <w:rFonts w:cstheme="minorHAnsi"/>
                      <w:color w:val="auto"/>
                    </w:rPr>
                    <w:t>Plot Line</w:t>
                  </w:r>
                </w:p>
              </w:tc>
              <w:tc>
                <w:tcPr>
                  <w:tcW w:w="1891" w:type="dxa"/>
                  <w:noWrap/>
                  <w:hideMark/>
                </w:tcPr>
                <w:p w14:paraId="58CCAD22" w14:textId="77777777" w:rsidR="002D68B9" w:rsidRPr="00AA2337" w:rsidRDefault="002D68B9" w:rsidP="002D68B9">
                  <w:pPr>
                    <w:spacing w:before="100" w:beforeAutospacing="1" w:after="100" w:afterAutospacing="1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AA2337">
                    <w:rPr>
                      <w:rFonts w:cstheme="minorHAnsi"/>
                      <w:color w:val="auto"/>
                    </w:rPr>
                    <w:t>L2</w:t>
                  </w:r>
                </w:p>
              </w:tc>
              <w:tc>
                <w:tcPr>
                  <w:tcW w:w="1650" w:type="dxa"/>
                  <w:noWrap/>
                  <w:hideMark/>
                </w:tcPr>
                <w:p w14:paraId="3F1ADFDF" w14:textId="77777777" w:rsidR="002D68B9" w:rsidRPr="00AA2337" w:rsidRDefault="002D68B9" w:rsidP="002D68B9">
                  <w:pPr>
                    <w:spacing w:before="100" w:beforeAutospacing="1" w:after="100" w:afterAutospacing="1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AA2337">
                    <w:rPr>
                      <w:rFonts w:cstheme="minorHAnsi"/>
                      <w:color w:val="auto"/>
                    </w:rPr>
                    <w:t>T1</w:t>
                  </w:r>
                </w:p>
              </w:tc>
            </w:tr>
            <w:tr w:rsidR="002D68B9" w:rsidRPr="00AA2337" w14:paraId="10F02F8C" w14:textId="77777777" w:rsidTr="002D68B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7" w:type="dxa"/>
                  <w:noWrap/>
                  <w:hideMark/>
                </w:tcPr>
                <w:p w14:paraId="1C5A6D2C" w14:textId="77777777" w:rsidR="002D68B9" w:rsidRPr="00AA2337" w:rsidRDefault="002D68B9" w:rsidP="002D68B9">
                  <w:pPr>
                    <w:spacing w:before="100" w:beforeAutospacing="1" w:after="100" w:afterAutospacing="1"/>
                    <w:rPr>
                      <w:rFonts w:cstheme="minorHAnsi"/>
                    </w:rPr>
                  </w:pPr>
                  <w:proofErr w:type="spellStart"/>
                  <w:r w:rsidRPr="00AA2337">
                    <w:rPr>
                      <w:rFonts w:cstheme="minorHAnsi"/>
                      <w:color w:val="auto"/>
                    </w:rPr>
                    <w:t>Purpletalk</w:t>
                  </w:r>
                  <w:proofErr w:type="spellEnd"/>
                </w:p>
              </w:tc>
              <w:tc>
                <w:tcPr>
                  <w:tcW w:w="1891" w:type="dxa"/>
                  <w:noWrap/>
                  <w:hideMark/>
                </w:tcPr>
                <w:p w14:paraId="541AF385" w14:textId="77777777" w:rsidR="002D68B9" w:rsidRPr="00AA2337" w:rsidRDefault="002D68B9" w:rsidP="002D68B9">
                  <w:pPr>
                    <w:spacing w:before="100" w:beforeAutospacing="1" w:after="100" w:afterAutospacing="1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AA2337">
                    <w:rPr>
                      <w:rFonts w:cstheme="minorHAnsi"/>
                      <w:color w:val="auto"/>
                    </w:rPr>
                    <w:t>L3</w:t>
                  </w:r>
                </w:p>
              </w:tc>
              <w:tc>
                <w:tcPr>
                  <w:tcW w:w="1650" w:type="dxa"/>
                  <w:noWrap/>
                  <w:hideMark/>
                </w:tcPr>
                <w:p w14:paraId="28FD1A8C" w14:textId="77777777" w:rsidR="002D68B9" w:rsidRPr="00AA2337" w:rsidRDefault="002D68B9" w:rsidP="002D68B9">
                  <w:pPr>
                    <w:spacing w:before="100" w:beforeAutospacing="1" w:after="100" w:afterAutospacing="1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AA2337">
                    <w:rPr>
                      <w:rFonts w:cstheme="minorHAnsi"/>
                      <w:color w:val="auto"/>
                    </w:rPr>
                    <w:t>T2</w:t>
                  </w:r>
                </w:p>
              </w:tc>
            </w:tr>
          </w:tbl>
          <w:p w14:paraId="0099C45C" w14:textId="77777777" w:rsidR="002D68B9" w:rsidRPr="00AA2337" w:rsidRDefault="002D68B9" w:rsidP="002D68B9">
            <w:pPr>
              <w:rPr>
                <w:rFonts w:cstheme="minorHAnsi"/>
              </w:rPr>
            </w:pPr>
          </w:p>
          <w:p w14:paraId="3FDC24A2" w14:textId="7B8D7C93" w:rsidR="00B27FC1" w:rsidRPr="0076306D" w:rsidRDefault="00B27FC1" w:rsidP="00B27FC1">
            <w:pPr>
              <w:rPr>
                <w:rFonts w:cstheme="minorHAnsi"/>
                <w:b/>
              </w:rPr>
            </w:pPr>
            <w:r w:rsidRPr="0076306D">
              <w:rPr>
                <w:rFonts w:cstheme="minorHAnsi"/>
                <w:b/>
              </w:rPr>
              <w:t>Key evaluation observations favoring Plotline were as below:</w:t>
            </w:r>
          </w:p>
          <w:p w14:paraId="7585E5F4" w14:textId="75BEA41F" w:rsidR="00616FCD" w:rsidRDefault="00B27FC1" w:rsidP="00B27FC1">
            <w:pPr>
              <w:rPr>
                <w:rFonts w:cstheme="minorHAnsi"/>
              </w:rPr>
            </w:pPr>
            <w:r w:rsidRPr="00B27FC1">
              <w:rPr>
                <w:rFonts w:cstheme="minorHAnsi"/>
              </w:rPr>
              <w:t xml:space="preserve">• </w:t>
            </w:r>
            <w:r w:rsidR="00E03146" w:rsidRPr="00E03146">
              <w:rPr>
                <w:rFonts w:cstheme="minorHAnsi"/>
              </w:rPr>
              <w:t>Supports A/B testing, personalization, and behavior-driven targeting, alongside strong in-app engagement and contextual journey orchestration across key user flows</w:t>
            </w:r>
          </w:p>
          <w:p w14:paraId="3276AA6E" w14:textId="18802480" w:rsidR="00B27FC1" w:rsidRPr="00B27FC1" w:rsidRDefault="00B27FC1" w:rsidP="00B27FC1">
            <w:pPr>
              <w:rPr>
                <w:rFonts w:cstheme="minorHAnsi"/>
              </w:rPr>
            </w:pPr>
            <w:r w:rsidRPr="00B27FC1">
              <w:rPr>
                <w:rFonts w:cstheme="minorHAnsi"/>
              </w:rPr>
              <w:t xml:space="preserve">• </w:t>
            </w:r>
            <w:r w:rsidR="00457CAE">
              <w:rPr>
                <w:rFonts w:cstheme="minorHAnsi"/>
              </w:rPr>
              <w:t>Superior</w:t>
            </w:r>
            <w:r w:rsidRPr="00B27FC1">
              <w:rPr>
                <w:rFonts w:cstheme="minorHAnsi"/>
              </w:rPr>
              <w:t xml:space="preserve"> personalization capability using dynamic rendering, audience targeting, contextual campaign execution, and customer behavior-based engagement workflows</w:t>
            </w:r>
          </w:p>
          <w:p w14:paraId="5EDCF3A1" w14:textId="60578B67" w:rsidR="00B27FC1" w:rsidRPr="00B27FC1" w:rsidRDefault="00B27FC1" w:rsidP="00B27FC1">
            <w:pPr>
              <w:rPr>
                <w:rFonts w:cstheme="minorHAnsi"/>
              </w:rPr>
            </w:pPr>
            <w:r w:rsidRPr="00B27FC1">
              <w:rPr>
                <w:rFonts w:cstheme="minorHAnsi"/>
              </w:rPr>
              <w:t xml:space="preserve">• </w:t>
            </w:r>
            <w:r w:rsidR="00457CAE" w:rsidRPr="00457CAE">
              <w:rPr>
                <w:rFonts w:cstheme="minorHAnsi"/>
              </w:rPr>
              <w:t>No-code/low-code campaign management enabling rapid rollout, backed by scalable and configurable platform capabilities aligned with future Digital Experience needs</w:t>
            </w:r>
          </w:p>
          <w:p w14:paraId="6B41FEBB" w14:textId="74DC0748" w:rsidR="00B27FC1" w:rsidRPr="00B27FC1" w:rsidRDefault="00B27FC1" w:rsidP="00B27FC1">
            <w:pPr>
              <w:rPr>
                <w:rFonts w:cstheme="minorHAnsi"/>
              </w:rPr>
            </w:pPr>
            <w:r w:rsidRPr="00B27FC1">
              <w:rPr>
                <w:rFonts w:cstheme="minorHAnsi"/>
              </w:rPr>
              <w:t>• SDK and architecture alignment considering app responsiveness, real-time event handling, low latency engagement delivery, and customer experience expectations for airline operations</w:t>
            </w:r>
            <w:r w:rsidR="005D280C">
              <w:rPr>
                <w:rFonts w:cstheme="minorHAnsi"/>
              </w:rPr>
              <w:t xml:space="preserve"> as compared to the other vendors</w:t>
            </w:r>
          </w:p>
          <w:p w14:paraId="77F597C9" w14:textId="5AB8A4F5" w:rsidR="00AA2337" w:rsidRDefault="00B27FC1" w:rsidP="00B27FC1">
            <w:pPr>
              <w:rPr>
                <w:rFonts w:cstheme="minorHAnsi"/>
              </w:rPr>
            </w:pPr>
            <w:r w:rsidRPr="00B27FC1">
              <w:rPr>
                <w:rFonts w:cstheme="minorHAnsi"/>
              </w:rPr>
              <w:t xml:space="preserve">• </w:t>
            </w:r>
            <w:r w:rsidR="00942C07">
              <w:rPr>
                <w:rFonts w:cstheme="minorHAnsi"/>
              </w:rPr>
              <w:t>A</w:t>
            </w:r>
            <w:r w:rsidRPr="00B27FC1">
              <w:rPr>
                <w:rFonts w:cstheme="minorHAnsi"/>
              </w:rPr>
              <w:t>lignment with IndiGo Digital roadmap for future AI-driven engagement, personalization, experimentation, and marketplace ecosystem expansion initiatives</w:t>
            </w:r>
          </w:p>
          <w:p w14:paraId="4637F88E" w14:textId="77777777" w:rsidR="0076306D" w:rsidRPr="00AA2337" w:rsidRDefault="0076306D" w:rsidP="00B27FC1">
            <w:pPr>
              <w:rPr>
                <w:rFonts w:cstheme="minorHAnsi"/>
              </w:rPr>
            </w:pPr>
          </w:p>
          <w:p w14:paraId="1F206839" w14:textId="5541A038" w:rsidR="002D68B9" w:rsidRPr="00AA2337" w:rsidRDefault="002D68B9" w:rsidP="002D68B9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 xml:space="preserve">Although </w:t>
            </w:r>
            <w:proofErr w:type="spellStart"/>
            <w:r w:rsidRPr="00AA2337">
              <w:rPr>
                <w:rFonts w:cstheme="minorHAnsi"/>
              </w:rPr>
              <w:t>Pushwoosh</w:t>
            </w:r>
            <w:proofErr w:type="spellEnd"/>
            <w:r w:rsidRPr="00AA2337">
              <w:rPr>
                <w:rFonts w:cstheme="minorHAnsi"/>
              </w:rPr>
              <w:t xml:space="preserve"> emerged as the L1 vendor commercially, Digital team </w:t>
            </w:r>
            <w:r w:rsidRPr="00AA2337">
              <w:rPr>
                <w:rFonts w:cstheme="minorHAnsi"/>
                <w:b/>
              </w:rPr>
              <w:t>recommends proceeding with Plotline</w:t>
            </w:r>
            <w:r w:rsidRPr="00AA2337">
              <w:rPr>
                <w:rFonts w:cstheme="minorHAnsi"/>
              </w:rPr>
              <w:t xml:space="preserve"> considering overall strategic product capability, long-term scalability, operational fitment, and future Digital Experience roadmap alignment.</w:t>
            </w:r>
          </w:p>
          <w:p w14:paraId="51AC6693" w14:textId="77777777" w:rsidR="002D68B9" w:rsidRPr="00AA2337" w:rsidRDefault="002D68B9" w:rsidP="002D68B9">
            <w:pPr>
              <w:rPr>
                <w:rFonts w:cstheme="minorHAnsi"/>
              </w:rPr>
            </w:pPr>
          </w:p>
          <w:p w14:paraId="394B0536" w14:textId="77777777" w:rsidR="002D68B9" w:rsidRPr="00AA2337" w:rsidRDefault="002D68B9" w:rsidP="002D68B9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From an operational perspective, the proposed platform is expected to:</w:t>
            </w:r>
          </w:p>
          <w:p w14:paraId="0C78AEBA" w14:textId="276D184F" w:rsidR="00AA2337" w:rsidRPr="00AA2337" w:rsidRDefault="00AA2337" w:rsidP="00AA2337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 xml:space="preserve">• </w:t>
            </w:r>
            <w:r w:rsidR="00902C3B" w:rsidRPr="00902C3B">
              <w:rPr>
                <w:rFonts w:cstheme="minorHAnsi"/>
              </w:rPr>
              <w:t>Improved booking conversion via contextual nudges and journey-driven engagement</w:t>
            </w:r>
          </w:p>
          <w:p w14:paraId="424D52B7" w14:textId="5C990FE9" w:rsidR="00B16170" w:rsidRDefault="00AA2337" w:rsidP="00AA2337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 xml:space="preserve">• </w:t>
            </w:r>
            <w:r w:rsidR="00B16170" w:rsidRPr="00B16170">
              <w:rPr>
                <w:rFonts w:cstheme="minorHAnsi"/>
              </w:rPr>
              <w:t xml:space="preserve">Faster campaign rollout without engineering </w:t>
            </w:r>
            <w:r w:rsidR="00B16170">
              <w:rPr>
                <w:rFonts w:cstheme="minorHAnsi"/>
              </w:rPr>
              <w:t xml:space="preserve">deployment cycle </w:t>
            </w:r>
            <w:r w:rsidR="00B16170" w:rsidRPr="00B16170">
              <w:rPr>
                <w:rFonts w:cstheme="minorHAnsi"/>
              </w:rPr>
              <w:t>dependency</w:t>
            </w:r>
          </w:p>
          <w:p w14:paraId="37135DA8" w14:textId="77777777" w:rsidR="00AA2337" w:rsidRPr="00AA2337" w:rsidRDefault="00AA2337" w:rsidP="00AA2337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• Improved ancillary conversion opportunities and customer targeting capability</w:t>
            </w:r>
          </w:p>
          <w:p w14:paraId="58CEBEA9" w14:textId="77777777" w:rsidR="00327288" w:rsidRDefault="00AA2337" w:rsidP="00AA2337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• Better operational engagement capability during disruption and travel events</w:t>
            </w:r>
          </w:p>
          <w:p w14:paraId="178A3BF0" w14:textId="77777777" w:rsidR="00E03146" w:rsidRDefault="00E03146" w:rsidP="00AA2337">
            <w:pPr>
              <w:rPr>
                <w:rFonts w:cstheme="minorHAnsi"/>
              </w:rPr>
            </w:pPr>
          </w:p>
          <w:p w14:paraId="14B0E67D" w14:textId="0E753ABB" w:rsidR="002D68B9" w:rsidRPr="00AA2337" w:rsidRDefault="002D68B9" w:rsidP="00AA2337">
            <w:pPr>
              <w:rPr>
                <w:rFonts w:cstheme="minorHAnsi"/>
              </w:rPr>
            </w:pPr>
            <w:r w:rsidRPr="00E67380">
              <w:rPr>
                <w:rFonts w:cstheme="minorHAnsi"/>
                <w:highlight w:val="yellow"/>
              </w:rPr>
              <w:t>Commercial comparison and negotiated commercials shall be updated by Procurement team in the final version of NFA.</w:t>
            </w:r>
          </w:p>
        </w:tc>
      </w:tr>
      <w:tr w:rsidR="00C5049E" w:rsidRPr="00AA2337" w14:paraId="09A5780D" w14:textId="77777777" w:rsidTr="001C2478">
        <w:tc>
          <w:tcPr>
            <w:tcW w:w="1841" w:type="dxa"/>
          </w:tcPr>
          <w:p w14:paraId="0F66F324" w14:textId="3DA2AEDF" w:rsidR="00C5049E" w:rsidRPr="00AA2337" w:rsidRDefault="002D68B9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lastRenderedPageBreak/>
              <w:t>What are the budgetary allocations</w:t>
            </w:r>
          </w:p>
        </w:tc>
        <w:tc>
          <w:tcPr>
            <w:tcW w:w="8505" w:type="dxa"/>
          </w:tcPr>
          <w:p w14:paraId="7B8A7488" w14:textId="1C3F125E" w:rsidR="00EE6440" w:rsidRPr="00AA2337" w:rsidRDefault="002D68B9" w:rsidP="004B367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AA2337">
              <w:rPr>
                <w:rFonts w:asciiTheme="minorHAnsi" w:hAnsiTheme="minorHAnsi" w:cstheme="minorHAnsi"/>
              </w:rPr>
              <w:t>The proposed platform cost shall be funded through approved Digital platform and customer engagement budget allocation for FY 2026-27.</w:t>
            </w:r>
          </w:p>
        </w:tc>
      </w:tr>
      <w:tr w:rsidR="007F6CE8" w:rsidRPr="00AA2337" w14:paraId="473EF63E" w14:textId="77777777" w:rsidTr="00E6289D">
        <w:trPr>
          <w:trHeight w:val="557"/>
        </w:trPr>
        <w:tc>
          <w:tcPr>
            <w:tcW w:w="1841" w:type="dxa"/>
          </w:tcPr>
          <w:p w14:paraId="3832DF54" w14:textId="75642B78" w:rsidR="007F6CE8" w:rsidRPr="00AA2337" w:rsidRDefault="00C5049E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 xml:space="preserve"> Vendor Justification</w:t>
            </w:r>
          </w:p>
        </w:tc>
        <w:tc>
          <w:tcPr>
            <w:tcW w:w="8505" w:type="dxa"/>
          </w:tcPr>
          <w:p w14:paraId="12AE63FF" w14:textId="46D36C57" w:rsidR="007F6CE8" w:rsidRPr="00AA2337" w:rsidRDefault="002D68B9" w:rsidP="00EE6440">
            <w:pPr>
              <w:rPr>
                <w:rFonts w:eastAsia="Times New Roman" w:cstheme="minorHAnsi"/>
              </w:rPr>
            </w:pPr>
            <w:r w:rsidRPr="00AA2337">
              <w:rPr>
                <w:rFonts w:eastAsia="Times New Roman" w:cstheme="minorHAnsi"/>
              </w:rPr>
              <w:t>Plotline demonstrated stronger product maturity, contextual engagement capability, operational scalability, and Digital Experience alignment compared to other participating vendors. The platform provides better long-term strategic fitment for IndiGo’s evolving customer engagement and personalization ecosystem.</w:t>
            </w:r>
          </w:p>
        </w:tc>
      </w:tr>
      <w:tr w:rsidR="00385687" w:rsidRPr="00AA2337" w14:paraId="3CFC965B" w14:textId="77777777" w:rsidTr="001C2478">
        <w:trPr>
          <w:trHeight w:val="458"/>
        </w:trPr>
        <w:tc>
          <w:tcPr>
            <w:tcW w:w="1841" w:type="dxa"/>
          </w:tcPr>
          <w:p w14:paraId="5C99A949" w14:textId="3F9B0A6C" w:rsidR="00385687" w:rsidRPr="00AA2337" w:rsidRDefault="002D68B9" w:rsidP="004D124D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Exception on which approval is requested (Vendor Justification)</w:t>
            </w:r>
          </w:p>
        </w:tc>
        <w:tc>
          <w:tcPr>
            <w:tcW w:w="8505" w:type="dxa"/>
          </w:tcPr>
          <w:p w14:paraId="0E004FA8" w14:textId="11D064FA" w:rsidR="004B367F" w:rsidRPr="00AA2337" w:rsidRDefault="002D68B9" w:rsidP="00EE6440">
            <w:pPr>
              <w:rPr>
                <w:rFonts w:cstheme="minorHAnsi"/>
                <w:b/>
                <w:bCs/>
              </w:rPr>
            </w:pPr>
            <w:r w:rsidRPr="00AA2337">
              <w:rPr>
                <w:rFonts w:eastAsia="Times New Roman" w:cstheme="minorHAnsi"/>
                <w:color w:val="000000"/>
              </w:rPr>
              <w:t xml:space="preserve">Despite being the second-lowest cost bidder (L2), </w:t>
            </w:r>
            <w:r w:rsidRPr="00AA2337">
              <w:rPr>
                <w:rFonts w:eastAsia="Times New Roman" w:cstheme="minorHAnsi"/>
                <w:b/>
                <w:color w:val="000000"/>
              </w:rPr>
              <w:t>Plotline is recommended</w:t>
            </w:r>
            <w:r w:rsidRPr="00AA2337">
              <w:rPr>
                <w:rFonts w:eastAsia="Times New Roman" w:cstheme="minorHAnsi"/>
                <w:color w:val="000000"/>
              </w:rPr>
              <w:t xml:space="preserve"> as the preferred partner due to its superior technical rating (T1), stronger Digital Experience capability, operational scalability, better future readiness, and overall alignment with IndiGo’s long-term customer engagement and personalization strategy. Digital team recommends proceeding with Plotline considering the overall business and operational advantage over the L1 vendor.</w:t>
            </w:r>
          </w:p>
        </w:tc>
      </w:tr>
      <w:tr w:rsidR="0086711E" w:rsidRPr="00AA2337" w14:paraId="53284E1C" w14:textId="77777777" w:rsidTr="001C2478">
        <w:tc>
          <w:tcPr>
            <w:tcW w:w="1841" w:type="dxa"/>
          </w:tcPr>
          <w:p w14:paraId="5A2D71E9" w14:textId="77777777" w:rsidR="0086711E" w:rsidRPr="00AA2337" w:rsidRDefault="0086711E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Prepared By</w:t>
            </w:r>
          </w:p>
        </w:tc>
        <w:tc>
          <w:tcPr>
            <w:tcW w:w="8505" w:type="dxa"/>
          </w:tcPr>
          <w:p w14:paraId="0398A35F" w14:textId="77777777" w:rsidR="002D68B9" w:rsidRPr="00AA2337" w:rsidRDefault="00BE0829" w:rsidP="002D68B9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br/>
            </w:r>
          </w:p>
          <w:p w14:paraId="11C0354D" w14:textId="577D75E2" w:rsidR="002D68B9" w:rsidRPr="00AA2337" w:rsidRDefault="002D68B9" w:rsidP="002D68B9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-------------------------                                                                                  ------------------------</w:t>
            </w:r>
          </w:p>
          <w:p w14:paraId="4EF61FA1" w14:textId="6CD881FB" w:rsidR="0086711E" w:rsidRPr="00AA2337" w:rsidRDefault="002D68B9" w:rsidP="002D68B9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 xml:space="preserve">(Rinika </w:t>
            </w:r>
            <w:proofErr w:type="gramStart"/>
            <w:r w:rsidRPr="00AA2337">
              <w:rPr>
                <w:rFonts w:cstheme="minorHAnsi"/>
              </w:rPr>
              <w:t xml:space="preserve">Gautam)   </w:t>
            </w:r>
            <w:proofErr w:type="gramEnd"/>
            <w:r w:rsidRPr="00AA2337">
              <w:rPr>
                <w:rFonts w:cstheme="minorHAnsi"/>
              </w:rPr>
              <w:t xml:space="preserve">                                                                                 </w:t>
            </w:r>
            <w:proofErr w:type="gramStart"/>
            <w:r w:rsidRPr="00AA2337">
              <w:rPr>
                <w:rFonts w:cstheme="minorHAnsi"/>
              </w:rPr>
              <w:t xml:space="preserve">   (</w:t>
            </w:r>
            <w:proofErr w:type="gramEnd"/>
            <w:r w:rsidRPr="00AA2337">
              <w:rPr>
                <w:rFonts w:cstheme="minorHAnsi"/>
              </w:rPr>
              <w:t xml:space="preserve">Ashwani </w:t>
            </w:r>
            <w:proofErr w:type="gramStart"/>
            <w:r w:rsidRPr="00AA2337">
              <w:rPr>
                <w:rFonts w:cstheme="minorHAnsi"/>
              </w:rPr>
              <w:t>Sharma )</w:t>
            </w:r>
            <w:proofErr w:type="gramEnd"/>
            <w:r w:rsidRPr="00AA2337">
              <w:rPr>
                <w:rFonts w:cstheme="minorHAnsi"/>
              </w:rPr>
              <w:t xml:space="preserve">                                                                                              </w:t>
            </w:r>
          </w:p>
        </w:tc>
      </w:tr>
      <w:tr w:rsidR="00684CDC" w:rsidRPr="00AA2337" w14:paraId="32350745" w14:textId="77777777" w:rsidTr="00782BBB">
        <w:trPr>
          <w:trHeight w:val="1331"/>
        </w:trPr>
        <w:tc>
          <w:tcPr>
            <w:tcW w:w="1841" w:type="dxa"/>
          </w:tcPr>
          <w:p w14:paraId="67065431" w14:textId="2876697E" w:rsidR="00684CDC" w:rsidRPr="00AA2337" w:rsidRDefault="00196BE4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Reviewed By</w:t>
            </w:r>
          </w:p>
        </w:tc>
        <w:tc>
          <w:tcPr>
            <w:tcW w:w="8505" w:type="dxa"/>
          </w:tcPr>
          <w:p w14:paraId="379F2D25" w14:textId="4A09E70A" w:rsidR="00684CDC" w:rsidRPr="00AA2337" w:rsidRDefault="00684CDC" w:rsidP="00684CDC">
            <w:pPr>
              <w:rPr>
                <w:rFonts w:cstheme="minorHAnsi"/>
                <w:color w:val="000000"/>
              </w:rPr>
            </w:pPr>
          </w:p>
          <w:p w14:paraId="0208C8F6" w14:textId="7E1E1463" w:rsidR="00E56116" w:rsidRPr="00AA2337" w:rsidRDefault="00E56116" w:rsidP="00E56116">
            <w:pPr>
              <w:rPr>
                <w:rFonts w:cstheme="minorHAnsi"/>
                <w:color w:val="000000"/>
              </w:rPr>
            </w:pPr>
            <w:r w:rsidRPr="00AA2337">
              <w:rPr>
                <w:rFonts w:cstheme="minorHAnsi"/>
                <w:color w:val="000000"/>
              </w:rPr>
              <w:t xml:space="preserve">------------------                                  ------------------                                                 ------------------ </w:t>
            </w:r>
          </w:p>
          <w:p w14:paraId="78D8DA20" w14:textId="0EB85459" w:rsidR="00684CDC" w:rsidRPr="00AA2337" w:rsidRDefault="00E56116" w:rsidP="00E56116">
            <w:pPr>
              <w:rPr>
                <w:rFonts w:cstheme="minorHAnsi"/>
              </w:rPr>
            </w:pPr>
            <w:r w:rsidRPr="00AA2337">
              <w:rPr>
                <w:rFonts w:cstheme="minorHAnsi"/>
                <w:color w:val="000000"/>
              </w:rPr>
              <w:t xml:space="preserve">(Sunil </w:t>
            </w:r>
            <w:proofErr w:type="gramStart"/>
            <w:r w:rsidRPr="00AA2337">
              <w:rPr>
                <w:rFonts w:cstheme="minorHAnsi"/>
                <w:color w:val="000000"/>
              </w:rPr>
              <w:t xml:space="preserve">Kumar)   </w:t>
            </w:r>
            <w:proofErr w:type="gramEnd"/>
            <w:r w:rsidRPr="00AA2337">
              <w:rPr>
                <w:rFonts w:cstheme="minorHAnsi"/>
                <w:color w:val="000000"/>
              </w:rPr>
              <w:t xml:space="preserve">                           </w:t>
            </w:r>
            <w:proofErr w:type="gramStart"/>
            <w:r w:rsidRPr="00AA2337">
              <w:rPr>
                <w:rFonts w:cstheme="minorHAnsi"/>
                <w:color w:val="000000"/>
              </w:rPr>
              <w:t xml:space="preserve">   (</w:t>
            </w:r>
            <w:proofErr w:type="gramEnd"/>
            <w:r w:rsidRPr="00AA2337">
              <w:rPr>
                <w:rFonts w:cstheme="minorHAnsi"/>
                <w:color w:val="000000"/>
              </w:rPr>
              <w:t xml:space="preserve">Charu </w:t>
            </w:r>
            <w:proofErr w:type="gramStart"/>
            <w:r w:rsidRPr="00AA2337">
              <w:rPr>
                <w:rFonts w:cstheme="minorHAnsi"/>
                <w:color w:val="000000"/>
              </w:rPr>
              <w:t xml:space="preserve">Verma)   </w:t>
            </w:r>
            <w:proofErr w:type="gramEnd"/>
            <w:r w:rsidRPr="00AA2337">
              <w:rPr>
                <w:rFonts w:cstheme="minorHAnsi"/>
                <w:color w:val="000000"/>
              </w:rPr>
              <w:t xml:space="preserve">                                        </w:t>
            </w:r>
            <w:proofErr w:type="gramStart"/>
            <w:r w:rsidRPr="00AA2337">
              <w:rPr>
                <w:rFonts w:cstheme="minorHAnsi"/>
                <w:color w:val="000000"/>
              </w:rPr>
              <w:t xml:space="preserve">   (</w:t>
            </w:r>
            <w:proofErr w:type="gramEnd"/>
            <w:r w:rsidRPr="00AA2337">
              <w:rPr>
                <w:rFonts w:cstheme="minorHAnsi"/>
                <w:color w:val="000000"/>
              </w:rPr>
              <w:t>Ravideep Singh)</w:t>
            </w:r>
          </w:p>
        </w:tc>
      </w:tr>
      <w:tr w:rsidR="00196BE4" w:rsidRPr="00AA2337" w14:paraId="47731A6C" w14:textId="77777777" w:rsidTr="00782BBB">
        <w:trPr>
          <w:trHeight w:val="1331"/>
        </w:trPr>
        <w:tc>
          <w:tcPr>
            <w:tcW w:w="1841" w:type="dxa"/>
          </w:tcPr>
          <w:p w14:paraId="0B394849" w14:textId="4C2EAB34" w:rsidR="00196BE4" w:rsidRPr="00AA2337" w:rsidRDefault="00196BE4" w:rsidP="00196BE4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Approved By</w:t>
            </w:r>
          </w:p>
        </w:tc>
        <w:tc>
          <w:tcPr>
            <w:tcW w:w="8505" w:type="dxa"/>
          </w:tcPr>
          <w:p w14:paraId="356ABF63" w14:textId="77777777" w:rsidR="00196BE4" w:rsidRPr="00AA2337" w:rsidRDefault="00196BE4" w:rsidP="00196BE4">
            <w:pPr>
              <w:rPr>
                <w:rFonts w:cstheme="minorHAnsi"/>
                <w:color w:val="000000"/>
              </w:rPr>
            </w:pPr>
          </w:p>
          <w:p w14:paraId="3FC387FA" w14:textId="2E8E0191" w:rsidR="00E56116" w:rsidRPr="00AA2337" w:rsidRDefault="00E56116" w:rsidP="00E56116">
            <w:pPr>
              <w:rPr>
                <w:rFonts w:cstheme="minorHAnsi"/>
                <w:color w:val="000000"/>
              </w:rPr>
            </w:pPr>
            <w:r w:rsidRPr="00AA2337">
              <w:rPr>
                <w:rFonts w:cstheme="minorHAnsi"/>
                <w:color w:val="000000"/>
              </w:rPr>
              <w:t xml:space="preserve">---------------------                                                                                -----------------                                          </w:t>
            </w:r>
          </w:p>
          <w:p w14:paraId="2F96CE3F" w14:textId="4B74B844" w:rsidR="00196BE4" w:rsidRPr="00AA2337" w:rsidRDefault="00E56116" w:rsidP="00E56116">
            <w:pPr>
              <w:rPr>
                <w:rFonts w:cstheme="minorHAnsi"/>
                <w:color w:val="000000"/>
              </w:rPr>
            </w:pPr>
            <w:r w:rsidRPr="00AA2337">
              <w:rPr>
                <w:rFonts w:cstheme="minorHAnsi"/>
                <w:color w:val="000000"/>
              </w:rPr>
              <w:t>(</w:t>
            </w:r>
            <w:proofErr w:type="spellStart"/>
            <w:r w:rsidRPr="00AA2337">
              <w:rPr>
                <w:rFonts w:cstheme="minorHAnsi"/>
                <w:color w:val="000000"/>
              </w:rPr>
              <w:t>Neetan</w:t>
            </w:r>
            <w:proofErr w:type="spellEnd"/>
            <w:r w:rsidRPr="00AA2337">
              <w:rPr>
                <w:rFonts w:cstheme="minorHAnsi"/>
                <w:color w:val="000000"/>
              </w:rPr>
              <w:t xml:space="preserve"> </w:t>
            </w:r>
            <w:proofErr w:type="gramStart"/>
            <w:r w:rsidRPr="00AA2337">
              <w:rPr>
                <w:rFonts w:cstheme="minorHAnsi"/>
                <w:color w:val="000000"/>
              </w:rPr>
              <w:t xml:space="preserve">Chopra)   </w:t>
            </w:r>
            <w:proofErr w:type="gramEnd"/>
            <w:r w:rsidRPr="00AA2337">
              <w:rPr>
                <w:rFonts w:cstheme="minorHAnsi"/>
                <w:color w:val="000000"/>
              </w:rPr>
              <w:t xml:space="preserve">                                                                           </w:t>
            </w:r>
            <w:proofErr w:type="gramStart"/>
            <w:r w:rsidRPr="00AA2337">
              <w:rPr>
                <w:rFonts w:cstheme="minorHAnsi"/>
                <w:color w:val="000000"/>
              </w:rPr>
              <w:t xml:space="preserve">   (</w:t>
            </w:r>
            <w:proofErr w:type="gramEnd"/>
            <w:r w:rsidRPr="00AA2337">
              <w:rPr>
                <w:rFonts w:cstheme="minorHAnsi"/>
                <w:color w:val="000000"/>
              </w:rPr>
              <w:t>Sanjay Jha)</w:t>
            </w:r>
          </w:p>
        </w:tc>
      </w:tr>
    </w:tbl>
    <w:p w14:paraId="61F9C5BD" w14:textId="4623C5BE" w:rsidR="008D46CA" w:rsidRDefault="008D46CA" w:rsidP="008D46CA"/>
    <w:p w14:paraId="6565DAF2" w14:textId="0F8D565A" w:rsidR="008D46CA" w:rsidRPr="008D46CA" w:rsidRDefault="008D46CA" w:rsidP="008D46CA">
      <w:pPr>
        <w:tabs>
          <w:tab w:val="left" w:pos="3310"/>
        </w:tabs>
      </w:pPr>
      <w:r>
        <w:tab/>
      </w:r>
    </w:p>
    <w:sectPr w:rsidR="008D46CA" w:rsidRPr="008D46CA" w:rsidSect="004B367F">
      <w:pgSz w:w="11906" w:h="16838" w:code="9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2C23F" w14:textId="77777777" w:rsidR="00992CE5" w:rsidRDefault="00992CE5" w:rsidP="00953128">
      <w:pPr>
        <w:spacing w:after="0" w:line="240" w:lineRule="auto"/>
      </w:pPr>
      <w:r>
        <w:separator/>
      </w:r>
    </w:p>
  </w:endnote>
  <w:endnote w:type="continuationSeparator" w:id="0">
    <w:p w14:paraId="69BA7ABF" w14:textId="77777777" w:rsidR="00992CE5" w:rsidRDefault="00992CE5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5944" w14:textId="77777777" w:rsidR="00992CE5" w:rsidRDefault="00992CE5" w:rsidP="00953128">
      <w:pPr>
        <w:spacing w:after="0" w:line="240" w:lineRule="auto"/>
      </w:pPr>
      <w:r>
        <w:separator/>
      </w:r>
    </w:p>
  </w:footnote>
  <w:footnote w:type="continuationSeparator" w:id="0">
    <w:p w14:paraId="13DF931D" w14:textId="77777777" w:rsidR="00992CE5" w:rsidRDefault="00992CE5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360DE"/>
    <w:multiLevelType w:val="multilevel"/>
    <w:tmpl w:val="E58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AA41E6A"/>
    <w:multiLevelType w:val="multilevel"/>
    <w:tmpl w:val="EE4A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D7F66"/>
    <w:multiLevelType w:val="multilevel"/>
    <w:tmpl w:val="7CE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9453F92"/>
    <w:multiLevelType w:val="multilevel"/>
    <w:tmpl w:val="F24E1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4B56AF"/>
    <w:multiLevelType w:val="multilevel"/>
    <w:tmpl w:val="90E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56CFC"/>
    <w:multiLevelType w:val="multilevel"/>
    <w:tmpl w:val="8946E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0D0B83"/>
    <w:multiLevelType w:val="multilevel"/>
    <w:tmpl w:val="C6B2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2818AC"/>
    <w:multiLevelType w:val="multilevel"/>
    <w:tmpl w:val="6AC0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6467338">
    <w:abstractNumId w:val="14"/>
  </w:num>
  <w:num w:numId="2" w16cid:durableId="408769818">
    <w:abstractNumId w:val="7"/>
  </w:num>
  <w:num w:numId="3" w16cid:durableId="438379222">
    <w:abstractNumId w:val="5"/>
  </w:num>
  <w:num w:numId="4" w16cid:durableId="642658724">
    <w:abstractNumId w:val="1"/>
  </w:num>
  <w:num w:numId="5" w16cid:durableId="817304441">
    <w:abstractNumId w:val="19"/>
  </w:num>
  <w:num w:numId="6" w16cid:durableId="1439057696">
    <w:abstractNumId w:val="11"/>
  </w:num>
  <w:num w:numId="7" w16cid:durableId="823006347">
    <w:abstractNumId w:val="0"/>
  </w:num>
  <w:num w:numId="8" w16cid:durableId="491145681">
    <w:abstractNumId w:val="9"/>
  </w:num>
  <w:num w:numId="9" w16cid:durableId="1037780197">
    <w:abstractNumId w:val="20"/>
  </w:num>
  <w:num w:numId="10" w16cid:durableId="2060129007">
    <w:abstractNumId w:val="16"/>
  </w:num>
  <w:num w:numId="11" w16cid:durableId="1314867498">
    <w:abstractNumId w:val="12"/>
  </w:num>
  <w:num w:numId="12" w16cid:durableId="1846437601">
    <w:abstractNumId w:val="4"/>
  </w:num>
  <w:num w:numId="13" w16cid:durableId="140276469">
    <w:abstractNumId w:val="25"/>
  </w:num>
  <w:num w:numId="14" w16cid:durableId="400907174">
    <w:abstractNumId w:val="10"/>
  </w:num>
  <w:num w:numId="15" w16cid:durableId="805784302">
    <w:abstractNumId w:val="3"/>
  </w:num>
  <w:num w:numId="16" w16cid:durableId="1044132863">
    <w:abstractNumId w:val="17"/>
  </w:num>
  <w:num w:numId="17" w16cid:durableId="662901788">
    <w:abstractNumId w:val="6"/>
  </w:num>
  <w:num w:numId="18" w16cid:durableId="830485734">
    <w:abstractNumId w:val="24"/>
  </w:num>
  <w:num w:numId="19" w16cid:durableId="139573607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7150874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56899821">
    <w:abstractNumId w:val="21"/>
  </w:num>
  <w:num w:numId="22" w16cid:durableId="1979141589">
    <w:abstractNumId w:val="8"/>
  </w:num>
  <w:num w:numId="23" w16cid:durableId="1459301384">
    <w:abstractNumId w:val="28"/>
  </w:num>
  <w:num w:numId="24" w16cid:durableId="290207399">
    <w:abstractNumId w:val="18"/>
  </w:num>
  <w:num w:numId="25" w16cid:durableId="135224654">
    <w:abstractNumId w:val="2"/>
  </w:num>
  <w:num w:numId="26" w16cid:durableId="1207451106">
    <w:abstractNumId w:val="27"/>
  </w:num>
  <w:num w:numId="27" w16cid:durableId="863556">
    <w:abstractNumId w:val="23"/>
  </w:num>
  <w:num w:numId="28" w16cid:durableId="798064446">
    <w:abstractNumId w:val="22"/>
  </w:num>
  <w:num w:numId="29" w16cid:durableId="669601668">
    <w:abstractNumId w:val="15"/>
  </w:num>
  <w:num w:numId="30" w16cid:durableId="192599515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536705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071FD"/>
    <w:rsid w:val="0001268B"/>
    <w:rsid w:val="00012F26"/>
    <w:rsid w:val="00017229"/>
    <w:rsid w:val="000204D0"/>
    <w:rsid w:val="00031E0A"/>
    <w:rsid w:val="00040F34"/>
    <w:rsid w:val="00041BF6"/>
    <w:rsid w:val="00042048"/>
    <w:rsid w:val="00042CF3"/>
    <w:rsid w:val="00044D4C"/>
    <w:rsid w:val="00051514"/>
    <w:rsid w:val="00054858"/>
    <w:rsid w:val="000836E3"/>
    <w:rsid w:val="000C613A"/>
    <w:rsid w:val="000C6649"/>
    <w:rsid w:val="000E3001"/>
    <w:rsid w:val="000E3C46"/>
    <w:rsid w:val="000E7825"/>
    <w:rsid w:val="000F4312"/>
    <w:rsid w:val="00105B73"/>
    <w:rsid w:val="00112EE3"/>
    <w:rsid w:val="00120A54"/>
    <w:rsid w:val="001610BD"/>
    <w:rsid w:val="00164AEA"/>
    <w:rsid w:val="0017331B"/>
    <w:rsid w:val="00181EDD"/>
    <w:rsid w:val="0018342B"/>
    <w:rsid w:val="00192AB7"/>
    <w:rsid w:val="00194519"/>
    <w:rsid w:val="00196BE4"/>
    <w:rsid w:val="001B703E"/>
    <w:rsid w:val="001C2478"/>
    <w:rsid w:val="001C6129"/>
    <w:rsid w:val="001E04B0"/>
    <w:rsid w:val="001E0C29"/>
    <w:rsid w:val="001F0EA3"/>
    <w:rsid w:val="001F3325"/>
    <w:rsid w:val="00203D64"/>
    <w:rsid w:val="00210460"/>
    <w:rsid w:val="002155E6"/>
    <w:rsid w:val="002237CD"/>
    <w:rsid w:val="002279A3"/>
    <w:rsid w:val="00242244"/>
    <w:rsid w:val="00275676"/>
    <w:rsid w:val="00284C1A"/>
    <w:rsid w:val="0028576C"/>
    <w:rsid w:val="002A1087"/>
    <w:rsid w:val="002A5CE0"/>
    <w:rsid w:val="002B0064"/>
    <w:rsid w:val="002C2905"/>
    <w:rsid w:val="002C73D9"/>
    <w:rsid w:val="002D36ED"/>
    <w:rsid w:val="002D5E18"/>
    <w:rsid w:val="002D68B9"/>
    <w:rsid w:val="002E01D5"/>
    <w:rsid w:val="002E5333"/>
    <w:rsid w:val="002E7F27"/>
    <w:rsid w:val="002F39F1"/>
    <w:rsid w:val="00300464"/>
    <w:rsid w:val="00307D19"/>
    <w:rsid w:val="0031263A"/>
    <w:rsid w:val="00327288"/>
    <w:rsid w:val="00335D08"/>
    <w:rsid w:val="00336E68"/>
    <w:rsid w:val="003409D1"/>
    <w:rsid w:val="003423AC"/>
    <w:rsid w:val="003478BA"/>
    <w:rsid w:val="003602A4"/>
    <w:rsid w:val="003607FA"/>
    <w:rsid w:val="003668B3"/>
    <w:rsid w:val="003823D5"/>
    <w:rsid w:val="00385687"/>
    <w:rsid w:val="003A3C76"/>
    <w:rsid w:val="003A51A8"/>
    <w:rsid w:val="003B4CEA"/>
    <w:rsid w:val="003D093E"/>
    <w:rsid w:val="003D23FD"/>
    <w:rsid w:val="00412856"/>
    <w:rsid w:val="00412FDE"/>
    <w:rsid w:val="004137E2"/>
    <w:rsid w:val="00454BED"/>
    <w:rsid w:val="00457CAE"/>
    <w:rsid w:val="00464EFD"/>
    <w:rsid w:val="004710A2"/>
    <w:rsid w:val="00482D7B"/>
    <w:rsid w:val="00485977"/>
    <w:rsid w:val="00491EB2"/>
    <w:rsid w:val="0049417D"/>
    <w:rsid w:val="004B161E"/>
    <w:rsid w:val="004B367F"/>
    <w:rsid w:val="004B4461"/>
    <w:rsid w:val="004C4D52"/>
    <w:rsid w:val="004D124D"/>
    <w:rsid w:val="004D1442"/>
    <w:rsid w:val="004D365D"/>
    <w:rsid w:val="004F1FEC"/>
    <w:rsid w:val="004F542B"/>
    <w:rsid w:val="004F54B9"/>
    <w:rsid w:val="005012A4"/>
    <w:rsid w:val="00524CAE"/>
    <w:rsid w:val="005300B2"/>
    <w:rsid w:val="0053135A"/>
    <w:rsid w:val="005345FF"/>
    <w:rsid w:val="005401EA"/>
    <w:rsid w:val="00541024"/>
    <w:rsid w:val="00551566"/>
    <w:rsid w:val="00556090"/>
    <w:rsid w:val="00556715"/>
    <w:rsid w:val="00561617"/>
    <w:rsid w:val="00561AAE"/>
    <w:rsid w:val="00564125"/>
    <w:rsid w:val="00565550"/>
    <w:rsid w:val="00573C44"/>
    <w:rsid w:val="00587B35"/>
    <w:rsid w:val="00593134"/>
    <w:rsid w:val="005B28BF"/>
    <w:rsid w:val="005B648E"/>
    <w:rsid w:val="005C32FC"/>
    <w:rsid w:val="005D1999"/>
    <w:rsid w:val="005D280C"/>
    <w:rsid w:val="005E14DE"/>
    <w:rsid w:val="00605EA9"/>
    <w:rsid w:val="00611B15"/>
    <w:rsid w:val="006138A5"/>
    <w:rsid w:val="00613ECF"/>
    <w:rsid w:val="00616FCD"/>
    <w:rsid w:val="00643540"/>
    <w:rsid w:val="006442AD"/>
    <w:rsid w:val="00660A95"/>
    <w:rsid w:val="0066242E"/>
    <w:rsid w:val="0067441B"/>
    <w:rsid w:val="00677E7B"/>
    <w:rsid w:val="00680194"/>
    <w:rsid w:val="006847D3"/>
    <w:rsid w:val="00684CDC"/>
    <w:rsid w:val="00687536"/>
    <w:rsid w:val="00690802"/>
    <w:rsid w:val="00692EE6"/>
    <w:rsid w:val="00695F2A"/>
    <w:rsid w:val="0069635B"/>
    <w:rsid w:val="006A425C"/>
    <w:rsid w:val="006A63FF"/>
    <w:rsid w:val="006B00A1"/>
    <w:rsid w:val="006B2215"/>
    <w:rsid w:val="006F4E42"/>
    <w:rsid w:val="006F536A"/>
    <w:rsid w:val="007055E3"/>
    <w:rsid w:val="0070716C"/>
    <w:rsid w:val="007119AE"/>
    <w:rsid w:val="00720C13"/>
    <w:rsid w:val="007233AE"/>
    <w:rsid w:val="00724CC0"/>
    <w:rsid w:val="007276D6"/>
    <w:rsid w:val="00733206"/>
    <w:rsid w:val="00735977"/>
    <w:rsid w:val="007468AD"/>
    <w:rsid w:val="007479EC"/>
    <w:rsid w:val="0075774E"/>
    <w:rsid w:val="0076027C"/>
    <w:rsid w:val="0076129F"/>
    <w:rsid w:val="0076306D"/>
    <w:rsid w:val="00766D6E"/>
    <w:rsid w:val="00782BBB"/>
    <w:rsid w:val="00787137"/>
    <w:rsid w:val="00794058"/>
    <w:rsid w:val="007A20FF"/>
    <w:rsid w:val="007B0E71"/>
    <w:rsid w:val="007B2100"/>
    <w:rsid w:val="007C2B2D"/>
    <w:rsid w:val="007D09A9"/>
    <w:rsid w:val="007D7C90"/>
    <w:rsid w:val="007F481A"/>
    <w:rsid w:val="007F5DAF"/>
    <w:rsid w:val="007F6CE8"/>
    <w:rsid w:val="00802D1F"/>
    <w:rsid w:val="00804277"/>
    <w:rsid w:val="00810CEC"/>
    <w:rsid w:val="00821951"/>
    <w:rsid w:val="00855AAB"/>
    <w:rsid w:val="008645D9"/>
    <w:rsid w:val="00864D5A"/>
    <w:rsid w:val="0086711E"/>
    <w:rsid w:val="00867D35"/>
    <w:rsid w:val="008712B6"/>
    <w:rsid w:val="00871616"/>
    <w:rsid w:val="00872E6B"/>
    <w:rsid w:val="00885492"/>
    <w:rsid w:val="00886FCC"/>
    <w:rsid w:val="00895895"/>
    <w:rsid w:val="00895A96"/>
    <w:rsid w:val="008B13D0"/>
    <w:rsid w:val="008B470E"/>
    <w:rsid w:val="008C0105"/>
    <w:rsid w:val="008C7D4A"/>
    <w:rsid w:val="008D372A"/>
    <w:rsid w:val="008D4611"/>
    <w:rsid w:val="008D46CA"/>
    <w:rsid w:val="00901B03"/>
    <w:rsid w:val="00902C3B"/>
    <w:rsid w:val="00903738"/>
    <w:rsid w:val="00925D82"/>
    <w:rsid w:val="009267BB"/>
    <w:rsid w:val="00932049"/>
    <w:rsid w:val="00932AE3"/>
    <w:rsid w:val="00933F00"/>
    <w:rsid w:val="0093694F"/>
    <w:rsid w:val="00942C07"/>
    <w:rsid w:val="00951A11"/>
    <w:rsid w:val="00953128"/>
    <w:rsid w:val="00966D89"/>
    <w:rsid w:val="0098435E"/>
    <w:rsid w:val="00992CE5"/>
    <w:rsid w:val="009A5B7E"/>
    <w:rsid w:val="009B00AC"/>
    <w:rsid w:val="009B29DE"/>
    <w:rsid w:val="009C38FB"/>
    <w:rsid w:val="009C695D"/>
    <w:rsid w:val="009C718C"/>
    <w:rsid w:val="009D42DE"/>
    <w:rsid w:val="009E6F1B"/>
    <w:rsid w:val="009F3848"/>
    <w:rsid w:val="009F6951"/>
    <w:rsid w:val="00A020DA"/>
    <w:rsid w:val="00A1136C"/>
    <w:rsid w:val="00A16B04"/>
    <w:rsid w:val="00A223CE"/>
    <w:rsid w:val="00A41713"/>
    <w:rsid w:val="00A755E0"/>
    <w:rsid w:val="00A8148A"/>
    <w:rsid w:val="00A87261"/>
    <w:rsid w:val="00AA2337"/>
    <w:rsid w:val="00AA2F30"/>
    <w:rsid w:val="00AB2406"/>
    <w:rsid w:val="00AB5E75"/>
    <w:rsid w:val="00AB6F61"/>
    <w:rsid w:val="00AC0D5A"/>
    <w:rsid w:val="00AC2C6D"/>
    <w:rsid w:val="00AD01CC"/>
    <w:rsid w:val="00AD6BED"/>
    <w:rsid w:val="00AE25DB"/>
    <w:rsid w:val="00AE52CC"/>
    <w:rsid w:val="00AE6A05"/>
    <w:rsid w:val="00AF0F24"/>
    <w:rsid w:val="00AF17B2"/>
    <w:rsid w:val="00AF43FE"/>
    <w:rsid w:val="00B00244"/>
    <w:rsid w:val="00B1015C"/>
    <w:rsid w:val="00B16170"/>
    <w:rsid w:val="00B25C8A"/>
    <w:rsid w:val="00B27FC1"/>
    <w:rsid w:val="00B31C18"/>
    <w:rsid w:val="00B31E67"/>
    <w:rsid w:val="00B43CA9"/>
    <w:rsid w:val="00B51761"/>
    <w:rsid w:val="00B54173"/>
    <w:rsid w:val="00B65251"/>
    <w:rsid w:val="00B7277C"/>
    <w:rsid w:val="00B77F13"/>
    <w:rsid w:val="00B8141A"/>
    <w:rsid w:val="00B8492E"/>
    <w:rsid w:val="00B92A22"/>
    <w:rsid w:val="00BA2A49"/>
    <w:rsid w:val="00BA7C5F"/>
    <w:rsid w:val="00BB6F96"/>
    <w:rsid w:val="00BD4BF9"/>
    <w:rsid w:val="00BD5326"/>
    <w:rsid w:val="00BE0829"/>
    <w:rsid w:val="00BE31CF"/>
    <w:rsid w:val="00BE42A7"/>
    <w:rsid w:val="00BE5571"/>
    <w:rsid w:val="00BE7155"/>
    <w:rsid w:val="00BF27F4"/>
    <w:rsid w:val="00C045C6"/>
    <w:rsid w:val="00C12D83"/>
    <w:rsid w:val="00C2090B"/>
    <w:rsid w:val="00C27B19"/>
    <w:rsid w:val="00C424D7"/>
    <w:rsid w:val="00C5049E"/>
    <w:rsid w:val="00C51256"/>
    <w:rsid w:val="00C57E15"/>
    <w:rsid w:val="00C64CFB"/>
    <w:rsid w:val="00C75079"/>
    <w:rsid w:val="00C7610C"/>
    <w:rsid w:val="00C832C1"/>
    <w:rsid w:val="00C94C7D"/>
    <w:rsid w:val="00CB7BDD"/>
    <w:rsid w:val="00CC1B9A"/>
    <w:rsid w:val="00CD5A5D"/>
    <w:rsid w:val="00CE4F16"/>
    <w:rsid w:val="00CF3DEF"/>
    <w:rsid w:val="00CF4EE6"/>
    <w:rsid w:val="00D22AB2"/>
    <w:rsid w:val="00D35D3A"/>
    <w:rsid w:val="00D412CB"/>
    <w:rsid w:val="00D6495A"/>
    <w:rsid w:val="00D654F1"/>
    <w:rsid w:val="00D72507"/>
    <w:rsid w:val="00D7517A"/>
    <w:rsid w:val="00D91F7D"/>
    <w:rsid w:val="00D97141"/>
    <w:rsid w:val="00DB0BC1"/>
    <w:rsid w:val="00DD4A36"/>
    <w:rsid w:val="00DD6FBF"/>
    <w:rsid w:val="00DE19A9"/>
    <w:rsid w:val="00DE243E"/>
    <w:rsid w:val="00E03146"/>
    <w:rsid w:val="00E058F4"/>
    <w:rsid w:val="00E15C59"/>
    <w:rsid w:val="00E17B57"/>
    <w:rsid w:val="00E26C32"/>
    <w:rsid w:val="00E30C17"/>
    <w:rsid w:val="00E33E61"/>
    <w:rsid w:val="00E36E68"/>
    <w:rsid w:val="00E54397"/>
    <w:rsid w:val="00E56116"/>
    <w:rsid w:val="00E6289D"/>
    <w:rsid w:val="00E64D78"/>
    <w:rsid w:val="00E66568"/>
    <w:rsid w:val="00E67380"/>
    <w:rsid w:val="00E74782"/>
    <w:rsid w:val="00E817E3"/>
    <w:rsid w:val="00E84926"/>
    <w:rsid w:val="00E864EC"/>
    <w:rsid w:val="00E9049D"/>
    <w:rsid w:val="00EA29BE"/>
    <w:rsid w:val="00EA43B1"/>
    <w:rsid w:val="00EA4564"/>
    <w:rsid w:val="00EB4CC8"/>
    <w:rsid w:val="00EB5363"/>
    <w:rsid w:val="00EB6CA8"/>
    <w:rsid w:val="00EC0EDE"/>
    <w:rsid w:val="00EC3737"/>
    <w:rsid w:val="00EC4F9F"/>
    <w:rsid w:val="00ED5C58"/>
    <w:rsid w:val="00EE6440"/>
    <w:rsid w:val="00EF2B8B"/>
    <w:rsid w:val="00F004B9"/>
    <w:rsid w:val="00F12BCE"/>
    <w:rsid w:val="00F154F6"/>
    <w:rsid w:val="00F367FD"/>
    <w:rsid w:val="00F428EF"/>
    <w:rsid w:val="00F437C8"/>
    <w:rsid w:val="00F443A1"/>
    <w:rsid w:val="00F46325"/>
    <w:rsid w:val="00F56231"/>
    <w:rsid w:val="00F77221"/>
    <w:rsid w:val="00F82F00"/>
    <w:rsid w:val="00F84A92"/>
    <w:rsid w:val="00F90FDB"/>
    <w:rsid w:val="00F91CD5"/>
    <w:rsid w:val="00FE3328"/>
    <w:rsid w:val="00FF1E4D"/>
    <w:rsid w:val="00FF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703DFD9B-4C9E-46C0-A585-1AA5CA81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semiHidden/>
    <w:unhideWhenUsed/>
    <w:qFormat/>
    <w:rsid w:val="004B367F"/>
    <w:pPr>
      <w:spacing w:before="100" w:beforeAutospacing="1" w:after="100" w:afterAutospacing="1" w:line="240" w:lineRule="auto"/>
      <w:outlineLvl w:val="3"/>
    </w:pPr>
    <w:rPr>
      <w:rFonts w:ascii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B367F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7F"/>
    <w:rPr>
      <w:rFonts w:ascii="Calibri" w:hAnsi="Calibri" w:cs="Calibri"/>
      <w:b/>
      <w:bCs/>
      <w:sz w:val="24"/>
      <w:szCs w:val="24"/>
    </w:rPr>
  </w:style>
  <w:style w:type="table" w:styleId="GridTable6Colorful-Accent1">
    <w:name w:val="Grid Table 6 Colorful Accent 1"/>
    <w:basedOn w:val="TableNormal"/>
    <w:uiPriority w:val="51"/>
    <w:rsid w:val="002D68B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2567e6-16f4-4c6b-b0e9-0ea0396e433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A78701D9CB74A94E38252BAB16D34" ma:contentTypeVersion="15" ma:contentTypeDescription="Create a new document." ma:contentTypeScope="" ma:versionID="9cd3424a73fb776ce000b1b5bb13b20a">
  <xsd:schema xmlns:xsd="http://www.w3.org/2001/XMLSchema" xmlns:xs="http://www.w3.org/2001/XMLSchema" xmlns:p="http://schemas.microsoft.com/office/2006/metadata/properties" xmlns:ns3="bf2567e6-16f4-4c6b-b0e9-0ea0396e433b" xmlns:ns4="5add0bd2-c77a-462d-bf1b-4bc5b2b102e1" targetNamespace="http://schemas.microsoft.com/office/2006/metadata/properties" ma:root="true" ma:fieldsID="8df173fb0339a05726bf1a29330b6932" ns3:_="" ns4:_="">
    <xsd:import namespace="bf2567e6-16f4-4c6b-b0e9-0ea0396e433b"/>
    <xsd:import namespace="5add0bd2-c77a-462d-bf1b-4bc5b2b102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567e6-16f4-4c6b-b0e9-0ea0396e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d0bd2-c77a-462d-bf1b-4bc5b2b10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9940D1-B23B-49F2-9DBB-5E743DEF93BB}">
  <ds:schemaRefs>
    <ds:schemaRef ds:uri="http://schemas.microsoft.com/office/2006/metadata/properties"/>
    <ds:schemaRef ds:uri="http://schemas.microsoft.com/office/infopath/2007/PartnerControls"/>
    <ds:schemaRef ds:uri="bf2567e6-16f4-4c6b-b0e9-0ea0396e433b"/>
  </ds:schemaRefs>
</ds:datastoreItem>
</file>

<file path=customXml/itemProps2.xml><?xml version="1.0" encoding="utf-8"?>
<ds:datastoreItem xmlns:ds="http://schemas.openxmlformats.org/officeDocument/2006/customXml" ds:itemID="{59166596-B349-4DAC-9993-58F76D0DD3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D83B8D-6142-4313-B998-8DACE89E5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567e6-16f4-4c6b-b0e9-0ea0396e433b"/>
    <ds:schemaRef ds:uri="5add0bd2-c77a-462d-bf1b-4bc5b2b10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748</Words>
  <Characters>4266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Rinika Gautam (Digital,ISC)</cp:lastModifiedBy>
  <cp:revision>2</cp:revision>
  <cp:lastPrinted>2019-09-02T12:57:00Z</cp:lastPrinted>
  <dcterms:created xsi:type="dcterms:W3CDTF">2026-06-01T07:29:00Z</dcterms:created>
  <dcterms:modified xsi:type="dcterms:W3CDTF">2026-06-01T07:29:00Z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0x01010005EA78701D9CB74A94E38252BAB16D34</vt:lpwstr>
  </property>
  <property fmtid="{D5CDD505-2E9C-101B-9397-08002B2CF9AE}" pid="3" name="MSIP_Label_c5616f8d-06f9-41da-a1a3-92ca0c5ba98a_Enabled">
    <vt:lpwstr>true</vt:lpwstr>
  </property>
  <property fmtid="{D5CDD505-2E9C-101B-9397-08002B2CF9AE}" pid="4" name="MSIP_Label_c5616f8d-06f9-41da-a1a3-92ca0c5ba98a_SetDate">
    <vt:lpwstr>2026-02-17T10:51:06Z</vt:lpwstr>
  </property>
  <property fmtid="{D5CDD505-2E9C-101B-9397-08002B2CF9AE}" pid="5" name="MSIP_Label_c5616f8d-06f9-41da-a1a3-92ca0c5ba98a_Method">
    <vt:lpwstr>Standard</vt:lpwstr>
  </property>
  <property fmtid="{D5CDD505-2E9C-101B-9397-08002B2CF9AE}" pid="6" name="MSIP_Label_c5616f8d-06f9-41da-a1a3-92ca0c5ba98a_Name">
    <vt:lpwstr>Internal</vt:lpwstr>
  </property>
  <property fmtid="{D5CDD505-2E9C-101B-9397-08002B2CF9AE}" pid="7" name="MSIP_Label_c5616f8d-06f9-41da-a1a3-92ca0c5ba98a_SiteId">
    <vt:lpwstr>73f2e714-a32e-4697-9449-dffe1df8a5d5</vt:lpwstr>
  </property>
  <property fmtid="{D5CDD505-2E9C-101B-9397-08002B2CF9AE}" pid="8" name="MSIP_Label_c5616f8d-06f9-41da-a1a3-92ca0c5ba98a_ActionId">
    <vt:lpwstr>e1ef58bb-5fe8-4d34-b17c-44154a5c0966</vt:lpwstr>
  </property>
  <property fmtid="{D5CDD505-2E9C-101B-9397-08002B2CF9AE}" pid="9" name="MSIP_Label_c5616f8d-06f9-41da-a1a3-92ca0c5ba98a_ContentBits">
    <vt:lpwstr>0</vt:lpwstr>
  </property>
  <property fmtid="{D5CDD505-2E9C-101B-9397-08002B2CF9AE}" pid="10" name="MSIP_Label_c5616f8d-06f9-41da-a1a3-92ca0c5ba98a_Tag">
    <vt:lpwstr>10, 3, 0, 1</vt:lpwstr>
  </property>
</Properties>
</file>