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575F10" w14:textId="010880E3" w:rsidR="00CB5A4E" w:rsidRPr="007845DF" w:rsidRDefault="007845DF">
      <w:pPr>
        <w:pStyle w:val="Title"/>
        <w:rPr>
          <w:rFonts w:ascii="Calibri" w:hAnsi="Calibri" w:cs="Calibri"/>
          <w:color w:val="auto"/>
          <w:sz w:val="22"/>
          <w:szCs w:val="22"/>
        </w:rPr>
      </w:pPr>
      <w:r w:rsidRPr="007845DF">
        <w:rPr>
          <w:rFonts w:ascii="Calibri" w:hAnsi="Calibri" w:cs="Calibri"/>
          <w:color w:val="auto"/>
          <w:sz w:val="22"/>
          <w:szCs w:val="22"/>
        </w:rPr>
        <w:t xml:space="preserve">Managed Testing Services RFP Clarification </w:t>
      </w:r>
      <w:r>
        <w:rPr>
          <w:rFonts w:ascii="Calibri" w:hAnsi="Calibri" w:cs="Calibri"/>
          <w:color w:val="auto"/>
          <w:sz w:val="22"/>
          <w:szCs w:val="22"/>
        </w:rPr>
        <w:t>document</w:t>
      </w:r>
    </w:p>
    <w:p w14:paraId="5AE6C50C" w14:textId="77777777" w:rsidR="00CB5A4E" w:rsidRPr="007845DF" w:rsidRDefault="007845DF">
      <w:pPr>
        <w:pStyle w:val="Heading1"/>
        <w:rPr>
          <w:rFonts w:ascii="Calibri" w:hAnsi="Calibri" w:cs="Calibri"/>
          <w:color w:val="auto"/>
          <w:sz w:val="22"/>
          <w:szCs w:val="22"/>
        </w:rPr>
      </w:pPr>
      <w:r w:rsidRPr="007845DF">
        <w:rPr>
          <w:rFonts w:ascii="Calibri" w:hAnsi="Calibri" w:cs="Calibri"/>
          <w:color w:val="auto"/>
          <w:sz w:val="22"/>
          <w:szCs w:val="22"/>
        </w:rPr>
        <w:t>1. Introduction</w:t>
      </w:r>
    </w:p>
    <w:p w14:paraId="591EE97F" w14:textId="77777777" w:rsidR="00CB5A4E" w:rsidRPr="007845DF" w:rsidRDefault="007845DF">
      <w:pPr>
        <w:pStyle w:val="Heading1"/>
        <w:rPr>
          <w:rFonts w:ascii="Calibri" w:hAnsi="Calibri" w:cs="Calibri"/>
          <w:color w:val="auto"/>
          <w:sz w:val="22"/>
          <w:szCs w:val="22"/>
        </w:rPr>
      </w:pPr>
      <w:bookmarkStart w:id="0" w:name="_GoBack"/>
      <w:bookmarkEnd w:id="0"/>
      <w:r w:rsidRPr="007845DF">
        <w:rPr>
          <w:rFonts w:ascii="Calibri" w:hAnsi="Calibri" w:cs="Calibri"/>
          <w:color w:val="auto"/>
          <w:sz w:val="22"/>
          <w:szCs w:val="22"/>
        </w:rPr>
        <w:t>2. No Volume Threshold for Test Cases</w:t>
      </w:r>
    </w:p>
    <w:p w14:paraId="11F0875B" w14:textId="77777777" w:rsidR="00CB5A4E" w:rsidRPr="007845DF" w:rsidRDefault="007845DF" w:rsidP="007845DF">
      <w:pPr>
        <w:jc w:val="both"/>
        <w:rPr>
          <w:rFonts w:ascii="Calibri" w:hAnsi="Calibri" w:cs="Calibri"/>
        </w:rPr>
      </w:pPr>
      <w:r w:rsidRPr="007845DF">
        <w:rPr>
          <w:rFonts w:ascii="Calibri" w:hAnsi="Calibri" w:cs="Calibri"/>
        </w:rPr>
        <w:t>There will be no predefined or capped volume threshold for the number of test cases to be designed, automated, or executed under this engagement. The volume of testing will be entirely driven by product priorities, business needs, and incident response requirements.</w:t>
      </w:r>
    </w:p>
    <w:p w14:paraId="538555D8" w14:textId="37D6E6FC" w:rsidR="00CB5A4E" w:rsidRPr="007845DF" w:rsidRDefault="007845DF">
      <w:pPr>
        <w:rPr>
          <w:rFonts w:ascii="Calibri" w:hAnsi="Calibri" w:cs="Calibri"/>
        </w:rPr>
      </w:pPr>
      <w:r w:rsidRPr="007845DF">
        <w:rPr>
          <w:rFonts w:ascii="Calibri" w:hAnsi="Calibri" w:cs="Calibri"/>
        </w:rPr>
        <w:t>Key points to note include:</w:t>
      </w:r>
    </w:p>
    <w:p w14:paraId="3D3B2A9E" w14:textId="77777777" w:rsidR="00CB5A4E" w:rsidRPr="007845DF" w:rsidRDefault="007845DF">
      <w:pPr>
        <w:pStyle w:val="ListBullet"/>
        <w:rPr>
          <w:rFonts w:ascii="Calibri" w:hAnsi="Calibri" w:cs="Calibri"/>
        </w:rPr>
      </w:pPr>
      <w:r w:rsidRPr="007845DF">
        <w:rPr>
          <w:rFonts w:ascii="Calibri" w:hAnsi="Calibri" w:cs="Calibri"/>
        </w:rPr>
        <w:t>Vendors must be prepared to scale up or down based on the dynamic nature of product releases.</w:t>
      </w:r>
    </w:p>
    <w:p w14:paraId="21DEBF80" w14:textId="77777777" w:rsidR="00CB5A4E" w:rsidRPr="007845DF" w:rsidRDefault="007845DF">
      <w:pPr>
        <w:pStyle w:val="ListBullet"/>
        <w:rPr>
          <w:rFonts w:ascii="Calibri" w:hAnsi="Calibri" w:cs="Calibri"/>
        </w:rPr>
      </w:pPr>
      <w:r w:rsidRPr="007845DF">
        <w:rPr>
          <w:rFonts w:ascii="Calibri" w:hAnsi="Calibri" w:cs="Calibri"/>
        </w:rPr>
        <w:t>Test case volume may vary significantly across quarters.</w:t>
      </w:r>
    </w:p>
    <w:p w14:paraId="79654BA4" w14:textId="77777777" w:rsidR="00CB5A4E" w:rsidRPr="007845DF" w:rsidRDefault="007845DF">
      <w:pPr>
        <w:pStyle w:val="ListBullet"/>
        <w:rPr>
          <w:rFonts w:ascii="Calibri" w:hAnsi="Calibri" w:cs="Calibri"/>
        </w:rPr>
      </w:pPr>
      <w:r w:rsidRPr="007845DF">
        <w:rPr>
          <w:rFonts w:ascii="Calibri" w:hAnsi="Calibri" w:cs="Calibri"/>
        </w:rPr>
        <w:t>Efficiency, automation, maturity, and resource agility will be critical success factors.</w:t>
      </w:r>
    </w:p>
    <w:p w14:paraId="3E13D0FC" w14:textId="77777777" w:rsidR="00CB5A4E" w:rsidRPr="007845DF" w:rsidRDefault="007845DF">
      <w:pPr>
        <w:pStyle w:val="Heading1"/>
        <w:rPr>
          <w:rFonts w:ascii="Calibri" w:hAnsi="Calibri" w:cs="Calibri"/>
          <w:color w:val="auto"/>
          <w:sz w:val="22"/>
          <w:szCs w:val="22"/>
        </w:rPr>
      </w:pPr>
      <w:r w:rsidRPr="007845DF">
        <w:rPr>
          <w:rFonts w:ascii="Calibri" w:hAnsi="Calibri" w:cs="Calibri"/>
          <w:color w:val="auto"/>
          <w:sz w:val="22"/>
          <w:szCs w:val="22"/>
        </w:rPr>
        <w:t>3. Quarterly Release Planning Framework</w:t>
      </w:r>
    </w:p>
    <w:p w14:paraId="19451782" w14:textId="0B801655" w:rsidR="00CB5A4E" w:rsidRPr="007845DF" w:rsidRDefault="007845DF" w:rsidP="007845DF">
      <w:pPr>
        <w:jc w:val="both"/>
        <w:rPr>
          <w:rFonts w:ascii="Calibri" w:hAnsi="Calibri" w:cs="Calibri"/>
        </w:rPr>
      </w:pPr>
      <w:r w:rsidRPr="007845DF">
        <w:rPr>
          <w:rFonts w:ascii="Calibri" w:hAnsi="Calibri" w:cs="Calibri"/>
        </w:rPr>
        <w:t>A structured Quarterly Release Planning (QRP) process known as product prioritization board in IndiGo (PPB) will be conducted prior to the start of each quarter, covering approximately 60 to 70% of the total release volume.</w:t>
      </w:r>
    </w:p>
    <w:p w14:paraId="0AA3A667" w14:textId="77777777" w:rsidR="00CB5A4E" w:rsidRPr="007845DF" w:rsidRDefault="007845DF">
      <w:pPr>
        <w:pStyle w:val="Heading2"/>
        <w:rPr>
          <w:rFonts w:ascii="Calibri" w:hAnsi="Calibri" w:cs="Calibri"/>
          <w:color w:val="auto"/>
          <w:sz w:val="22"/>
          <w:szCs w:val="22"/>
        </w:rPr>
      </w:pPr>
      <w:r w:rsidRPr="007845DF">
        <w:rPr>
          <w:rFonts w:ascii="Calibri" w:hAnsi="Calibri" w:cs="Calibri"/>
          <w:color w:val="auto"/>
          <w:sz w:val="22"/>
          <w:szCs w:val="22"/>
        </w:rPr>
        <w:t>3.1 Objectives of QRP</w:t>
      </w:r>
    </w:p>
    <w:p w14:paraId="43337E88" w14:textId="77777777" w:rsidR="00CB5A4E" w:rsidRPr="007845DF" w:rsidRDefault="007845DF">
      <w:pPr>
        <w:pStyle w:val="ListBullet"/>
        <w:rPr>
          <w:rFonts w:ascii="Calibri" w:hAnsi="Calibri" w:cs="Calibri"/>
        </w:rPr>
      </w:pPr>
      <w:r w:rsidRPr="007845DF">
        <w:rPr>
          <w:rFonts w:ascii="Calibri" w:hAnsi="Calibri" w:cs="Calibri"/>
        </w:rPr>
        <w:t>Align testing scope with product and business priorities.</w:t>
      </w:r>
    </w:p>
    <w:p w14:paraId="2989FB54" w14:textId="77777777" w:rsidR="00CB5A4E" w:rsidRPr="007845DF" w:rsidRDefault="007845DF">
      <w:pPr>
        <w:pStyle w:val="ListBullet"/>
        <w:rPr>
          <w:rFonts w:ascii="Calibri" w:hAnsi="Calibri" w:cs="Calibri"/>
        </w:rPr>
      </w:pPr>
      <w:r w:rsidRPr="007845DF">
        <w:rPr>
          <w:rFonts w:ascii="Calibri" w:hAnsi="Calibri" w:cs="Calibri"/>
        </w:rPr>
        <w:t>Enable proactive resources and capacity planning.</w:t>
      </w:r>
    </w:p>
    <w:p w14:paraId="2D7B89C7" w14:textId="77777777" w:rsidR="00CB5A4E" w:rsidRPr="007845DF" w:rsidRDefault="007845DF">
      <w:pPr>
        <w:pStyle w:val="ListBullet"/>
        <w:rPr>
          <w:rFonts w:ascii="Calibri" w:hAnsi="Calibri" w:cs="Calibri"/>
        </w:rPr>
      </w:pPr>
      <w:r w:rsidRPr="007845DF">
        <w:rPr>
          <w:rFonts w:ascii="Calibri" w:hAnsi="Calibri" w:cs="Calibri"/>
        </w:rPr>
        <w:t>Establish test automation and regression strategies.</w:t>
      </w:r>
    </w:p>
    <w:p w14:paraId="77615CF9" w14:textId="77777777" w:rsidR="00CB5A4E" w:rsidRPr="007845DF" w:rsidRDefault="007845DF">
      <w:pPr>
        <w:pStyle w:val="ListBullet"/>
        <w:rPr>
          <w:rFonts w:ascii="Calibri" w:hAnsi="Calibri" w:cs="Calibri"/>
        </w:rPr>
      </w:pPr>
      <w:r w:rsidRPr="007845DF">
        <w:rPr>
          <w:rFonts w:ascii="Calibri" w:hAnsi="Calibri" w:cs="Calibri"/>
        </w:rPr>
        <w:t>Identify dependencies, risks, and environmental needs.</w:t>
      </w:r>
    </w:p>
    <w:p w14:paraId="6D38B9CF" w14:textId="77777777" w:rsidR="00CB5A4E" w:rsidRPr="007845DF" w:rsidRDefault="007845DF">
      <w:pPr>
        <w:pStyle w:val="Heading2"/>
        <w:rPr>
          <w:rFonts w:ascii="Calibri" w:hAnsi="Calibri" w:cs="Calibri"/>
          <w:color w:val="auto"/>
          <w:sz w:val="22"/>
          <w:szCs w:val="22"/>
        </w:rPr>
      </w:pPr>
      <w:r w:rsidRPr="007845DF">
        <w:rPr>
          <w:rFonts w:ascii="Calibri" w:hAnsi="Calibri" w:cs="Calibri"/>
          <w:color w:val="auto"/>
          <w:sz w:val="22"/>
          <w:szCs w:val="22"/>
        </w:rPr>
        <w:t>3.2 Vendor Responsibilities</w:t>
      </w:r>
    </w:p>
    <w:p w14:paraId="343D360F" w14:textId="77777777" w:rsidR="00CB5A4E" w:rsidRPr="007845DF" w:rsidRDefault="007845DF">
      <w:pPr>
        <w:pStyle w:val="ListBullet"/>
        <w:rPr>
          <w:rFonts w:ascii="Calibri" w:hAnsi="Calibri" w:cs="Calibri"/>
        </w:rPr>
      </w:pPr>
      <w:r w:rsidRPr="007845DF">
        <w:rPr>
          <w:rFonts w:ascii="Calibri" w:hAnsi="Calibri" w:cs="Calibri"/>
        </w:rPr>
        <w:t>Participate in QRP workshops.</w:t>
      </w:r>
    </w:p>
    <w:p w14:paraId="2B4F9AAB" w14:textId="77777777" w:rsidR="00CB5A4E" w:rsidRPr="007845DF" w:rsidRDefault="007845DF">
      <w:pPr>
        <w:pStyle w:val="ListBullet"/>
        <w:rPr>
          <w:rFonts w:ascii="Calibri" w:hAnsi="Calibri" w:cs="Calibri"/>
        </w:rPr>
      </w:pPr>
      <w:r w:rsidRPr="007845DF">
        <w:rPr>
          <w:rFonts w:ascii="Calibri" w:hAnsi="Calibri" w:cs="Calibri"/>
        </w:rPr>
        <w:t>Provide estimates for test design, automation, and execution.</w:t>
      </w:r>
    </w:p>
    <w:p w14:paraId="27ED54F5" w14:textId="77777777" w:rsidR="00CB5A4E" w:rsidRPr="007845DF" w:rsidRDefault="007845DF">
      <w:pPr>
        <w:pStyle w:val="ListBullet"/>
        <w:rPr>
          <w:rFonts w:ascii="Calibri" w:hAnsi="Calibri" w:cs="Calibri"/>
        </w:rPr>
      </w:pPr>
      <w:r w:rsidRPr="007845DF">
        <w:rPr>
          <w:rFonts w:ascii="Calibri" w:hAnsi="Calibri" w:cs="Calibri"/>
        </w:rPr>
        <w:t>Align test coverage with risk-based prioritization.</w:t>
      </w:r>
    </w:p>
    <w:p w14:paraId="56E115BE" w14:textId="77777777" w:rsidR="00CB5A4E" w:rsidRPr="007845DF" w:rsidRDefault="007845DF">
      <w:pPr>
        <w:pStyle w:val="ListBullet"/>
        <w:rPr>
          <w:rFonts w:ascii="Calibri" w:hAnsi="Calibri" w:cs="Calibri"/>
        </w:rPr>
      </w:pPr>
      <w:r w:rsidRPr="007845DF">
        <w:rPr>
          <w:rFonts w:ascii="Calibri" w:hAnsi="Calibri" w:cs="Calibri"/>
        </w:rPr>
        <w:t>Commit to timelines and deliverables.</w:t>
      </w:r>
    </w:p>
    <w:p w14:paraId="140BF297" w14:textId="77777777" w:rsidR="00CB5A4E" w:rsidRPr="007845DF" w:rsidRDefault="007845DF">
      <w:pPr>
        <w:pStyle w:val="Heading1"/>
        <w:rPr>
          <w:rFonts w:ascii="Calibri" w:hAnsi="Calibri" w:cs="Calibri"/>
          <w:color w:val="auto"/>
          <w:sz w:val="22"/>
          <w:szCs w:val="22"/>
        </w:rPr>
      </w:pPr>
      <w:r w:rsidRPr="007845DF">
        <w:rPr>
          <w:rFonts w:ascii="Calibri" w:hAnsi="Calibri" w:cs="Calibri"/>
          <w:color w:val="auto"/>
          <w:sz w:val="22"/>
          <w:szCs w:val="22"/>
        </w:rPr>
        <w:t>4. Ad-hoc, Incident-Driven, and Business-Critical Releases</w:t>
      </w:r>
    </w:p>
    <w:p w14:paraId="29665928" w14:textId="77777777" w:rsidR="00CB5A4E" w:rsidRPr="007845DF" w:rsidRDefault="007845DF">
      <w:pPr>
        <w:rPr>
          <w:rFonts w:ascii="Calibri" w:hAnsi="Calibri" w:cs="Calibri"/>
        </w:rPr>
      </w:pPr>
      <w:r w:rsidRPr="007845DF">
        <w:rPr>
          <w:rFonts w:ascii="Calibri" w:hAnsi="Calibri" w:cs="Calibri"/>
        </w:rPr>
        <w:t>Vendors must support unplanned and reactive testing needs (~30% of workload), including:</w:t>
      </w:r>
    </w:p>
    <w:p w14:paraId="56772640" w14:textId="77777777" w:rsidR="00CB5A4E" w:rsidRPr="007845DF" w:rsidRDefault="007845DF">
      <w:pPr>
        <w:pStyle w:val="ListBullet"/>
        <w:rPr>
          <w:rFonts w:ascii="Calibri" w:hAnsi="Calibri" w:cs="Calibri"/>
        </w:rPr>
      </w:pPr>
      <w:r w:rsidRPr="007845DF">
        <w:rPr>
          <w:rFonts w:ascii="Calibri" w:hAnsi="Calibri" w:cs="Calibri"/>
        </w:rPr>
        <w:t>Urgent business-driven releases.</w:t>
      </w:r>
    </w:p>
    <w:p w14:paraId="34035378" w14:textId="77777777" w:rsidR="00CB5A4E" w:rsidRPr="007845DF" w:rsidRDefault="007845DF">
      <w:pPr>
        <w:pStyle w:val="ListBullet"/>
        <w:rPr>
          <w:rFonts w:ascii="Calibri" w:hAnsi="Calibri" w:cs="Calibri"/>
        </w:rPr>
      </w:pPr>
      <w:r w:rsidRPr="007845DF">
        <w:rPr>
          <w:rFonts w:ascii="Calibri" w:hAnsi="Calibri" w:cs="Calibri"/>
        </w:rPr>
        <w:t>Incident-driven changes.</w:t>
      </w:r>
    </w:p>
    <w:p w14:paraId="7EA603D9" w14:textId="77777777" w:rsidR="00CB5A4E" w:rsidRPr="007845DF" w:rsidRDefault="007845DF">
      <w:pPr>
        <w:pStyle w:val="ListBullet"/>
        <w:rPr>
          <w:rFonts w:ascii="Calibri" w:hAnsi="Calibri" w:cs="Calibri"/>
        </w:rPr>
      </w:pPr>
      <w:r w:rsidRPr="007845DF">
        <w:rPr>
          <w:rFonts w:ascii="Calibri" w:hAnsi="Calibri" w:cs="Calibri"/>
        </w:rPr>
        <w:t>Regulatory updates.</w:t>
      </w:r>
    </w:p>
    <w:p w14:paraId="41EE9331" w14:textId="77777777" w:rsidR="00CB5A4E" w:rsidRPr="007845DF" w:rsidRDefault="007845DF">
      <w:pPr>
        <w:pStyle w:val="ListBullet"/>
        <w:rPr>
          <w:rFonts w:ascii="Calibri" w:hAnsi="Calibri" w:cs="Calibri"/>
        </w:rPr>
      </w:pPr>
      <w:r w:rsidRPr="007845DF">
        <w:rPr>
          <w:rFonts w:ascii="Calibri" w:hAnsi="Calibri" w:cs="Calibri"/>
        </w:rPr>
        <w:t>Hotfixes and patch releases.</w:t>
      </w:r>
    </w:p>
    <w:p w14:paraId="7891A646" w14:textId="77777777" w:rsidR="00CB5A4E" w:rsidRPr="007845DF" w:rsidRDefault="007845DF">
      <w:pPr>
        <w:pStyle w:val="Heading2"/>
        <w:rPr>
          <w:rFonts w:ascii="Calibri" w:hAnsi="Calibri" w:cs="Calibri"/>
          <w:color w:val="auto"/>
          <w:sz w:val="22"/>
          <w:szCs w:val="22"/>
        </w:rPr>
      </w:pPr>
      <w:r w:rsidRPr="007845DF">
        <w:rPr>
          <w:rFonts w:ascii="Calibri" w:hAnsi="Calibri" w:cs="Calibri"/>
          <w:color w:val="auto"/>
          <w:sz w:val="22"/>
          <w:szCs w:val="22"/>
        </w:rPr>
        <w:lastRenderedPageBreak/>
        <w:t>4.1 Characteristics</w:t>
      </w:r>
    </w:p>
    <w:p w14:paraId="06A4C5B7" w14:textId="77777777" w:rsidR="00CB5A4E" w:rsidRPr="007845DF" w:rsidRDefault="007845DF">
      <w:pPr>
        <w:pStyle w:val="ListBullet"/>
        <w:rPr>
          <w:rFonts w:ascii="Calibri" w:hAnsi="Calibri" w:cs="Calibri"/>
        </w:rPr>
      </w:pPr>
      <w:r w:rsidRPr="007845DF">
        <w:rPr>
          <w:rFonts w:ascii="Calibri" w:hAnsi="Calibri" w:cs="Calibri"/>
        </w:rPr>
        <w:t>Short lead times and compressed cycles.</w:t>
      </w:r>
    </w:p>
    <w:p w14:paraId="7A41C1BD" w14:textId="3ED5478E" w:rsidR="00CB5A4E" w:rsidRPr="007845DF" w:rsidRDefault="007845DF">
      <w:pPr>
        <w:pStyle w:val="ListBullet"/>
        <w:rPr>
          <w:rFonts w:ascii="Calibri" w:hAnsi="Calibri" w:cs="Calibri"/>
        </w:rPr>
      </w:pPr>
      <w:r w:rsidRPr="007845DF">
        <w:rPr>
          <w:rFonts w:ascii="Calibri" w:hAnsi="Calibri" w:cs="Calibri"/>
        </w:rPr>
        <w:t>High-impact changes require focused validation.</w:t>
      </w:r>
    </w:p>
    <w:p w14:paraId="47B25BB5" w14:textId="77777777" w:rsidR="00CB5A4E" w:rsidRPr="007845DF" w:rsidRDefault="007845DF">
      <w:pPr>
        <w:pStyle w:val="ListBullet"/>
        <w:rPr>
          <w:rFonts w:ascii="Calibri" w:hAnsi="Calibri" w:cs="Calibri"/>
        </w:rPr>
      </w:pPr>
      <w:r w:rsidRPr="007845DF">
        <w:rPr>
          <w:rFonts w:ascii="Calibri" w:hAnsi="Calibri" w:cs="Calibri"/>
        </w:rPr>
        <w:t>Parallel execution with planned releases.</w:t>
      </w:r>
    </w:p>
    <w:p w14:paraId="207505E6" w14:textId="77777777" w:rsidR="00CB5A4E" w:rsidRPr="007845DF" w:rsidRDefault="007845DF">
      <w:pPr>
        <w:pStyle w:val="Heading2"/>
        <w:rPr>
          <w:rFonts w:ascii="Calibri" w:hAnsi="Calibri" w:cs="Calibri"/>
          <w:color w:val="auto"/>
          <w:sz w:val="22"/>
          <w:szCs w:val="22"/>
        </w:rPr>
      </w:pPr>
      <w:r w:rsidRPr="007845DF">
        <w:rPr>
          <w:rFonts w:ascii="Calibri" w:hAnsi="Calibri" w:cs="Calibri"/>
          <w:color w:val="auto"/>
          <w:sz w:val="22"/>
          <w:szCs w:val="22"/>
        </w:rPr>
        <w:t>4.2 Vendor Expectations</w:t>
      </w:r>
    </w:p>
    <w:p w14:paraId="4470058C" w14:textId="77777777" w:rsidR="00CB5A4E" w:rsidRPr="007845DF" w:rsidRDefault="007845DF">
      <w:pPr>
        <w:pStyle w:val="ListBullet"/>
        <w:rPr>
          <w:rFonts w:ascii="Calibri" w:hAnsi="Calibri" w:cs="Calibri"/>
        </w:rPr>
      </w:pPr>
      <w:r w:rsidRPr="007845DF">
        <w:rPr>
          <w:rFonts w:ascii="Calibri" w:hAnsi="Calibri" w:cs="Calibri"/>
        </w:rPr>
        <w:t>Maintain buffer capacity or on-demand resource pool.</w:t>
      </w:r>
    </w:p>
    <w:p w14:paraId="1891A028" w14:textId="77777777" w:rsidR="00CB5A4E" w:rsidRPr="007845DF" w:rsidRDefault="007845DF">
      <w:pPr>
        <w:pStyle w:val="ListBullet"/>
        <w:rPr>
          <w:rFonts w:ascii="Calibri" w:hAnsi="Calibri" w:cs="Calibri"/>
        </w:rPr>
      </w:pPr>
      <w:r w:rsidRPr="007845DF">
        <w:rPr>
          <w:rFonts w:ascii="Calibri" w:hAnsi="Calibri" w:cs="Calibri"/>
        </w:rPr>
        <w:t>Implement shift-left practices.</w:t>
      </w:r>
    </w:p>
    <w:p w14:paraId="25B9DF45" w14:textId="77777777" w:rsidR="00CB5A4E" w:rsidRPr="007845DF" w:rsidRDefault="007845DF">
      <w:pPr>
        <w:pStyle w:val="ListBullet"/>
        <w:rPr>
          <w:rFonts w:ascii="Calibri" w:hAnsi="Calibri" w:cs="Calibri"/>
        </w:rPr>
      </w:pPr>
      <w:r w:rsidRPr="007845DF">
        <w:rPr>
          <w:rFonts w:ascii="Calibri" w:hAnsi="Calibri" w:cs="Calibri"/>
        </w:rPr>
        <w:t>Leverage automation and CI/CD pipelines.</w:t>
      </w:r>
    </w:p>
    <w:p w14:paraId="66B73181" w14:textId="77777777" w:rsidR="00CB5A4E" w:rsidRPr="007845DF" w:rsidRDefault="007845DF">
      <w:pPr>
        <w:pStyle w:val="ListBullet"/>
        <w:rPr>
          <w:rFonts w:ascii="Calibri" w:hAnsi="Calibri" w:cs="Calibri"/>
        </w:rPr>
      </w:pPr>
      <w:r w:rsidRPr="007845DF">
        <w:rPr>
          <w:rFonts w:ascii="Calibri" w:hAnsi="Calibri" w:cs="Calibri"/>
        </w:rPr>
        <w:t>Ensure 24x7 support readiness.</w:t>
      </w:r>
    </w:p>
    <w:p w14:paraId="1CF32118" w14:textId="77777777" w:rsidR="00CB5A4E" w:rsidRPr="007845DF" w:rsidRDefault="007845DF">
      <w:pPr>
        <w:pStyle w:val="Heading1"/>
        <w:rPr>
          <w:rFonts w:ascii="Calibri" w:hAnsi="Calibri" w:cs="Calibri"/>
          <w:color w:val="auto"/>
          <w:sz w:val="22"/>
          <w:szCs w:val="22"/>
        </w:rPr>
      </w:pPr>
      <w:r w:rsidRPr="007845DF">
        <w:rPr>
          <w:rFonts w:ascii="Calibri" w:hAnsi="Calibri" w:cs="Calibri"/>
          <w:color w:val="auto"/>
          <w:sz w:val="22"/>
          <w:szCs w:val="22"/>
        </w:rPr>
        <w:t>5. Test Automation and Execution Strategy</w:t>
      </w:r>
    </w:p>
    <w:p w14:paraId="36495988" w14:textId="77777777" w:rsidR="00CB5A4E" w:rsidRPr="007845DF" w:rsidRDefault="007845DF">
      <w:pPr>
        <w:rPr>
          <w:rFonts w:ascii="Calibri" w:hAnsi="Calibri" w:cs="Calibri"/>
        </w:rPr>
      </w:pPr>
      <w:r w:rsidRPr="007845DF">
        <w:rPr>
          <w:rFonts w:ascii="Calibri" w:hAnsi="Calibri" w:cs="Calibri"/>
        </w:rPr>
        <w:t>Vendors must adopt a scalable automation strategy supporting:</w:t>
      </w:r>
    </w:p>
    <w:p w14:paraId="36FC78A5" w14:textId="77777777" w:rsidR="00CB5A4E" w:rsidRPr="007845DF" w:rsidRDefault="007845DF">
      <w:pPr>
        <w:pStyle w:val="ListBullet"/>
        <w:rPr>
          <w:rFonts w:ascii="Calibri" w:hAnsi="Calibri" w:cs="Calibri"/>
        </w:rPr>
      </w:pPr>
      <w:r w:rsidRPr="007845DF">
        <w:rPr>
          <w:rFonts w:ascii="Calibri" w:hAnsi="Calibri" w:cs="Calibri"/>
        </w:rPr>
        <w:t>Daily and release-based regression execution.</w:t>
      </w:r>
    </w:p>
    <w:p w14:paraId="0EAD1B4D" w14:textId="77777777" w:rsidR="00CB5A4E" w:rsidRPr="007845DF" w:rsidRDefault="007845DF">
      <w:pPr>
        <w:pStyle w:val="ListBullet"/>
        <w:rPr>
          <w:rFonts w:ascii="Calibri" w:hAnsi="Calibri" w:cs="Calibri"/>
        </w:rPr>
      </w:pPr>
      <w:r w:rsidRPr="007845DF">
        <w:rPr>
          <w:rFonts w:ascii="Calibri" w:hAnsi="Calibri" w:cs="Calibri"/>
        </w:rPr>
        <w:t>Modular, reusable test components.</w:t>
      </w:r>
    </w:p>
    <w:p w14:paraId="21FD05C8" w14:textId="77777777" w:rsidR="00CB5A4E" w:rsidRPr="007845DF" w:rsidRDefault="007845DF">
      <w:pPr>
        <w:pStyle w:val="ListBullet"/>
        <w:rPr>
          <w:rFonts w:ascii="Calibri" w:hAnsi="Calibri" w:cs="Calibri"/>
        </w:rPr>
      </w:pPr>
      <w:r w:rsidRPr="007845DF">
        <w:rPr>
          <w:rFonts w:ascii="Calibri" w:hAnsi="Calibri" w:cs="Calibri"/>
        </w:rPr>
        <w:t>API-first testing.</w:t>
      </w:r>
    </w:p>
    <w:p w14:paraId="02D394F7" w14:textId="77777777" w:rsidR="00CB5A4E" w:rsidRPr="007845DF" w:rsidRDefault="007845DF">
      <w:pPr>
        <w:pStyle w:val="ListBullet"/>
        <w:rPr>
          <w:rFonts w:ascii="Calibri" w:hAnsi="Calibri" w:cs="Calibri"/>
        </w:rPr>
      </w:pPr>
      <w:r w:rsidRPr="007845DF">
        <w:rPr>
          <w:rFonts w:ascii="Calibri" w:hAnsi="Calibri" w:cs="Calibri"/>
        </w:rPr>
        <w:t>CI/CD integration.</w:t>
      </w:r>
    </w:p>
    <w:p w14:paraId="0A0669E7" w14:textId="77777777" w:rsidR="00CB5A4E" w:rsidRPr="007845DF" w:rsidRDefault="007845DF">
      <w:pPr>
        <w:pStyle w:val="Heading1"/>
        <w:rPr>
          <w:rFonts w:ascii="Calibri" w:hAnsi="Calibri" w:cs="Calibri"/>
          <w:color w:val="auto"/>
          <w:sz w:val="22"/>
          <w:szCs w:val="22"/>
        </w:rPr>
      </w:pPr>
      <w:r w:rsidRPr="007845DF">
        <w:rPr>
          <w:rFonts w:ascii="Calibri" w:hAnsi="Calibri" w:cs="Calibri"/>
          <w:color w:val="auto"/>
          <w:sz w:val="22"/>
          <w:szCs w:val="22"/>
        </w:rPr>
        <w:t>6. Governance and Reporting</w:t>
      </w:r>
    </w:p>
    <w:p w14:paraId="33196FCE" w14:textId="77777777" w:rsidR="00CB5A4E" w:rsidRPr="007845DF" w:rsidRDefault="007845DF">
      <w:pPr>
        <w:pStyle w:val="ListBullet"/>
        <w:rPr>
          <w:rFonts w:ascii="Calibri" w:hAnsi="Calibri" w:cs="Calibri"/>
        </w:rPr>
      </w:pPr>
      <w:r w:rsidRPr="007845DF">
        <w:rPr>
          <w:rFonts w:ascii="Calibri" w:hAnsi="Calibri" w:cs="Calibri"/>
        </w:rPr>
        <w:t>Monthly dashboards: coverage, automation metrics, defect leakage, execution trends.</w:t>
      </w:r>
    </w:p>
    <w:p w14:paraId="71E2F4BC" w14:textId="77777777" w:rsidR="00CB5A4E" w:rsidRPr="007845DF" w:rsidRDefault="007845DF">
      <w:pPr>
        <w:pStyle w:val="ListBullet"/>
        <w:rPr>
          <w:rFonts w:ascii="Calibri" w:hAnsi="Calibri" w:cs="Calibri"/>
        </w:rPr>
      </w:pPr>
      <w:r w:rsidRPr="007845DF">
        <w:rPr>
          <w:rFonts w:ascii="Calibri" w:hAnsi="Calibri" w:cs="Calibri"/>
        </w:rPr>
        <w:t>Quarterly governance reviews.</w:t>
      </w:r>
    </w:p>
    <w:p w14:paraId="2AD3C91F" w14:textId="77777777" w:rsidR="00CB5A4E" w:rsidRPr="007845DF" w:rsidRDefault="007845DF">
      <w:pPr>
        <w:pStyle w:val="ListBullet"/>
        <w:rPr>
          <w:rFonts w:ascii="Calibri" w:hAnsi="Calibri" w:cs="Calibri"/>
        </w:rPr>
      </w:pPr>
      <w:r w:rsidRPr="007845DF">
        <w:rPr>
          <w:rFonts w:ascii="Calibri" w:hAnsi="Calibri" w:cs="Calibri"/>
        </w:rPr>
        <w:t>Traceability matrices linking test cases to requirements and defects.</w:t>
      </w:r>
    </w:p>
    <w:p w14:paraId="19D76D07" w14:textId="77777777" w:rsidR="00CB5A4E" w:rsidRPr="007845DF" w:rsidRDefault="007845DF">
      <w:pPr>
        <w:pStyle w:val="Heading1"/>
        <w:rPr>
          <w:rFonts w:ascii="Calibri" w:hAnsi="Calibri" w:cs="Calibri"/>
          <w:color w:val="auto"/>
          <w:sz w:val="22"/>
          <w:szCs w:val="22"/>
        </w:rPr>
      </w:pPr>
      <w:r w:rsidRPr="007845DF">
        <w:rPr>
          <w:rFonts w:ascii="Calibri" w:hAnsi="Calibri" w:cs="Calibri"/>
          <w:color w:val="auto"/>
          <w:sz w:val="22"/>
          <w:szCs w:val="22"/>
        </w:rPr>
        <w:t>7. Scope and Testing Types</w:t>
      </w:r>
    </w:p>
    <w:p w14:paraId="787E52F2" w14:textId="77777777" w:rsidR="00CB5A4E" w:rsidRPr="007845DF" w:rsidRDefault="007845DF">
      <w:pPr>
        <w:rPr>
          <w:rFonts w:ascii="Calibri" w:hAnsi="Calibri" w:cs="Calibri"/>
        </w:rPr>
      </w:pPr>
      <w:r w:rsidRPr="007845DF">
        <w:rPr>
          <w:rFonts w:ascii="Calibri" w:hAnsi="Calibri" w:cs="Calibri"/>
        </w:rPr>
        <w:t>Vendors are expected to validate integration points and conduct sanity checks across portals.</w:t>
      </w:r>
    </w:p>
    <w:p w14:paraId="214110F7" w14:textId="77777777" w:rsidR="00CB5A4E" w:rsidRPr="007845DF" w:rsidRDefault="007845DF">
      <w:pPr>
        <w:rPr>
          <w:rFonts w:ascii="Calibri" w:hAnsi="Calibri" w:cs="Calibri"/>
        </w:rPr>
      </w:pPr>
      <w:r w:rsidRPr="007845DF">
        <w:rPr>
          <w:rFonts w:ascii="Calibri" w:hAnsi="Calibri" w:cs="Calibri"/>
        </w:rPr>
        <w:t>Additional testing types applicable to both B2B and B2C:</w:t>
      </w:r>
    </w:p>
    <w:p w14:paraId="5834A1BB" w14:textId="77777777" w:rsidR="00CB5A4E" w:rsidRPr="007845DF" w:rsidRDefault="007845DF">
      <w:pPr>
        <w:pStyle w:val="ListBullet"/>
        <w:rPr>
          <w:rFonts w:ascii="Calibri" w:hAnsi="Calibri" w:cs="Calibri"/>
        </w:rPr>
      </w:pPr>
      <w:r w:rsidRPr="007845DF">
        <w:rPr>
          <w:rFonts w:ascii="Calibri" w:hAnsi="Calibri" w:cs="Calibri"/>
        </w:rPr>
        <w:t>Usability Testing: Assess user experience and interface intuitiveness.</w:t>
      </w:r>
    </w:p>
    <w:p w14:paraId="762D6024" w14:textId="77777777" w:rsidR="00CB5A4E" w:rsidRPr="007845DF" w:rsidRDefault="007845DF">
      <w:pPr>
        <w:pStyle w:val="ListBullet"/>
        <w:rPr>
          <w:rFonts w:ascii="Calibri" w:hAnsi="Calibri" w:cs="Calibri"/>
        </w:rPr>
      </w:pPr>
      <w:r w:rsidRPr="007845DF">
        <w:rPr>
          <w:rFonts w:ascii="Calibri" w:hAnsi="Calibri" w:cs="Calibri"/>
        </w:rPr>
        <w:t>Globalization &amp; Localization: Support for future multilingual and regional adaptations.</w:t>
      </w:r>
    </w:p>
    <w:p w14:paraId="45CE43C8" w14:textId="77777777" w:rsidR="00CB5A4E" w:rsidRPr="007845DF" w:rsidRDefault="007845DF">
      <w:pPr>
        <w:pStyle w:val="ListBullet"/>
        <w:rPr>
          <w:rFonts w:ascii="Calibri" w:hAnsi="Calibri" w:cs="Calibri"/>
        </w:rPr>
      </w:pPr>
      <w:r w:rsidRPr="007845DF">
        <w:rPr>
          <w:rFonts w:ascii="Calibri" w:hAnsi="Calibri" w:cs="Calibri"/>
        </w:rPr>
        <w:t>Performance Profiling: Deep-dive analysis to identify performance bottlenecks across layers.</w:t>
      </w:r>
    </w:p>
    <w:p w14:paraId="150B2F7E" w14:textId="77777777" w:rsidR="00CB5A4E" w:rsidRPr="007845DF" w:rsidRDefault="007845DF">
      <w:pPr>
        <w:pStyle w:val="ListBullet"/>
        <w:rPr>
          <w:rFonts w:ascii="Calibri" w:hAnsi="Calibri" w:cs="Calibri"/>
        </w:rPr>
      </w:pPr>
      <w:r w:rsidRPr="007845DF">
        <w:rPr>
          <w:rFonts w:ascii="Calibri" w:hAnsi="Calibri" w:cs="Calibri"/>
        </w:rPr>
        <w:t>Contract Testing: Ensure compatibility and reliability between integrating components.</w:t>
      </w:r>
    </w:p>
    <w:p w14:paraId="6929B476" w14:textId="77777777" w:rsidR="00CB5A4E" w:rsidRPr="007845DF" w:rsidRDefault="007845DF">
      <w:pPr>
        <w:pStyle w:val="ListBullet"/>
        <w:rPr>
          <w:rFonts w:ascii="Calibri" w:hAnsi="Calibri" w:cs="Calibri"/>
        </w:rPr>
      </w:pPr>
      <w:r w:rsidRPr="007845DF">
        <w:rPr>
          <w:rFonts w:ascii="Calibri" w:hAnsi="Calibri" w:cs="Calibri"/>
        </w:rPr>
        <w:t>OS Version Coverage: Include testing across relevant mobile OS versions (Android/iOS) to ensure compatibility.</w:t>
      </w:r>
    </w:p>
    <w:p w14:paraId="7FFCFBD7" w14:textId="77777777" w:rsidR="00CB5A4E" w:rsidRPr="007845DF" w:rsidRDefault="007845DF">
      <w:pPr>
        <w:pStyle w:val="Heading1"/>
        <w:rPr>
          <w:rFonts w:ascii="Calibri" w:hAnsi="Calibri" w:cs="Calibri"/>
          <w:color w:val="auto"/>
          <w:sz w:val="22"/>
          <w:szCs w:val="22"/>
        </w:rPr>
      </w:pPr>
      <w:r w:rsidRPr="007845DF">
        <w:rPr>
          <w:rFonts w:ascii="Calibri" w:hAnsi="Calibri" w:cs="Calibri"/>
          <w:color w:val="auto"/>
          <w:sz w:val="22"/>
          <w:szCs w:val="22"/>
        </w:rPr>
        <w:lastRenderedPageBreak/>
        <w:t>8. Operational Expectations</w:t>
      </w:r>
    </w:p>
    <w:p w14:paraId="2756534E" w14:textId="77777777" w:rsidR="00CB5A4E" w:rsidRPr="007845DF" w:rsidRDefault="007845DF">
      <w:pPr>
        <w:pStyle w:val="Heading2"/>
        <w:rPr>
          <w:rFonts w:ascii="Calibri" w:hAnsi="Calibri" w:cs="Calibri"/>
          <w:color w:val="auto"/>
          <w:sz w:val="22"/>
          <w:szCs w:val="22"/>
        </w:rPr>
      </w:pPr>
      <w:r w:rsidRPr="007845DF">
        <w:rPr>
          <w:rFonts w:ascii="Calibri" w:hAnsi="Calibri" w:cs="Calibri"/>
          <w:color w:val="auto"/>
          <w:sz w:val="22"/>
          <w:szCs w:val="22"/>
        </w:rPr>
        <w:t>8.1 Release Timing</w:t>
      </w:r>
    </w:p>
    <w:p w14:paraId="35C695E7" w14:textId="77777777" w:rsidR="00CB5A4E" w:rsidRPr="007845DF" w:rsidRDefault="007845DF">
      <w:pPr>
        <w:rPr>
          <w:rFonts w:ascii="Calibri" w:hAnsi="Calibri" w:cs="Calibri"/>
        </w:rPr>
      </w:pPr>
      <w:r w:rsidRPr="007845DF">
        <w:rPr>
          <w:rFonts w:ascii="Calibri" w:hAnsi="Calibri" w:cs="Calibri"/>
        </w:rPr>
        <w:t>Releases are scheduled during off-peak hours. Vendors must provide extended support, including late-night and early-morning availability.</w:t>
      </w:r>
    </w:p>
    <w:p w14:paraId="1E718C19" w14:textId="77777777" w:rsidR="00CB5A4E" w:rsidRPr="007845DF" w:rsidRDefault="007845DF">
      <w:pPr>
        <w:pStyle w:val="Heading2"/>
        <w:rPr>
          <w:rFonts w:ascii="Calibri" w:hAnsi="Calibri" w:cs="Calibri"/>
          <w:color w:val="auto"/>
          <w:sz w:val="22"/>
          <w:szCs w:val="22"/>
        </w:rPr>
      </w:pPr>
      <w:r w:rsidRPr="007845DF">
        <w:rPr>
          <w:rFonts w:ascii="Calibri" w:hAnsi="Calibri" w:cs="Calibri"/>
          <w:color w:val="auto"/>
          <w:sz w:val="22"/>
          <w:szCs w:val="22"/>
        </w:rPr>
        <w:t>8.2 Testing Responsibilities</w:t>
      </w:r>
    </w:p>
    <w:p w14:paraId="05185202" w14:textId="77777777" w:rsidR="00CB5A4E" w:rsidRPr="007845DF" w:rsidRDefault="007845DF">
      <w:pPr>
        <w:pStyle w:val="ListBullet"/>
        <w:rPr>
          <w:rFonts w:ascii="Calibri" w:hAnsi="Calibri" w:cs="Calibri"/>
        </w:rPr>
      </w:pPr>
      <w:r w:rsidRPr="007845DF">
        <w:rPr>
          <w:rFonts w:ascii="Calibri" w:hAnsi="Calibri" w:cs="Calibri"/>
        </w:rPr>
        <w:t>Test Devices: Vendors must procure all necessary devices (handsets, tablets, MacBooks).</w:t>
      </w:r>
    </w:p>
    <w:p w14:paraId="110ECFAD" w14:textId="77777777" w:rsidR="00CB5A4E" w:rsidRPr="007845DF" w:rsidRDefault="007845DF">
      <w:pPr>
        <w:pStyle w:val="ListBullet"/>
        <w:rPr>
          <w:rFonts w:ascii="Calibri" w:hAnsi="Calibri" w:cs="Calibri"/>
        </w:rPr>
      </w:pPr>
      <w:r w:rsidRPr="007845DF">
        <w:rPr>
          <w:rFonts w:ascii="Calibri" w:hAnsi="Calibri" w:cs="Calibri"/>
        </w:rPr>
        <w:t>Licensing: Vendors bear all software/tool licensing costs.</w:t>
      </w:r>
    </w:p>
    <w:p w14:paraId="0041D520" w14:textId="77777777" w:rsidR="00CB5A4E" w:rsidRPr="007845DF" w:rsidRDefault="007845DF">
      <w:pPr>
        <w:pStyle w:val="ListBullet"/>
        <w:rPr>
          <w:rFonts w:ascii="Calibri" w:hAnsi="Calibri" w:cs="Calibri"/>
        </w:rPr>
      </w:pPr>
      <w:r w:rsidRPr="007845DF">
        <w:rPr>
          <w:rFonts w:ascii="Calibri" w:hAnsi="Calibri" w:cs="Calibri"/>
        </w:rPr>
        <w:t>Payment Instruments: Vendors must arrange valid instruments for payment flow testing. Some scenarios may involve non-refundable costs.</w:t>
      </w:r>
    </w:p>
    <w:p w14:paraId="7899E5B8" w14:textId="77777777" w:rsidR="00CB5A4E" w:rsidRPr="007845DF" w:rsidRDefault="007845DF">
      <w:pPr>
        <w:pStyle w:val="Heading1"/>
        <w:rPr>
          <w:rFonts w:ascii="Calibri" w:hAnsi="Calibri" w:cs="Calibri"/>
          <w:color w:val="auto"/>
          <w:sz w:val="22"/>
          <w:szCs w:val="22"/>
        </w:rPr>
      </w:pPr>
      <w:r w:rsidRPr="007845DF">
        <w:rPr>
          <w:rFonts w:ascii="Calibri" w:hAnsi="Calibri" w:cs="Calibri"/>
          <w:color w:val="auto"/>
          <w:sz w:val="22"/>
          <w:szCs w:val="22"/>
        </w:rPr>
        <w:t>9. Additional Clarifications and Requirements</w:t>
      </w:r>
    </w:p>
    <w:p w14:paraId="430EAD6B" w14:textId="77777777" w:rsidR="00CB5A4E" w:rsidRPr="007845DF" w:rsidRDefault="007845DF" w:rsidP="007845DF">
      <w:pPr>
        <w:jc w:val="both"/>
        <w:rPr>
          <w:rFonts w:ascii="Calibri" w:hAnsi="Calibri" w:cs="Calibri"/>
        </w:rPr>
      </w:pPr>
      <w:r w:rsidRPr="007845DF">
        <w:rPr>
          <w:rFonts w:ascii="Calibri" w:hAnsi="Calibri" w:cs="Calibri"/>
        </w:rPr>
        <w:t>We would like to clarify that we are not restricted to any specific testing tools, however, preference will be given to tools that integrate with or are supported by JIRA, as all requirements are managed within JIRA.</w:t>
      </w:r>
    </w:p>
    <w:p w14:paraId="251FC78D" w14:textId="77777777" w:rsidR="00CB5A4E" w:rsidRPr="007845DF" w:rsidRDefault="007845DF">
      <w:pPr>
        <w:pStyle w:val="Heading2"/>
        <w:rPr>
          <w:rFonts w:ascii="Calibri" w:hAnsi="Calibri" w:cs="Calibri"/>
          <w:color w:val="auto"/>
          <w:sz w:val="22"/>
          <w:szCs w:val="22"/>
        </w:rPr>
      </w:pPr>
      <w:r w:rsidRPr="007845DF">
        <w:rPr>
          <w:rFonts w:ascii="Calibri" w:hAnsi="Calibri" w:cs="Calibri"/>
          <w:color w:val="auto"/>
          <w:sz w:val="22"/>
          <w:szCs w:val="22"/>
        </w:rPr>
        <w:t>Testing Scope</w:t>
      </w:r>
    </w:p>
    <w:p w14:paraId="4F37325B" w14:textId="77777777" w:rsidR="00CB5A4E" w:rsidRPr="007845DF" w:rsidRDefault="007845DF">
      <w:pPr>
        <w:pStyle w:val="ListBullet"/>
        <w:rPr>
          <w:rFonts w:ascii="Calibri" w:hAnsi="Calibri" w:cs="Calibri"/>
        </w:rPr>
      </w:pPr>
      <w:r w:rsidRPr="007845DF">
        <w:rPr>
          <w:rFonts w:ascii="Calibri" w:hAnsi="Calibri" w:cs="Calibri"/>
        </w:rPr>
        <w:t>Functional and Regression Testing</w:t>
      </w:r>
    </w:p>
    <w:p w14:paraId="1393A780" w14:textId="77777777" w:rsidR="00CB5A4E" w:rsidRPr="007845DF" w:rsidRDefault="007845DF">
      <w:pPr>
        <w:pStyle w:val="ListBullet"/>
        <w:rPr>
          <w:rFonts w:ascii="Calibri" w:hAnsi="Calibri" w:cs="Calibri"/>
        </w:rPr>
      </w:pPr>
      <w:r w:rsidRPr="007845DF">
        <w:rPr>
          <w:rFonts w:ascii="Calibri" w:hAnsi="Calibri" w:cs="Calibri"/>
        </w:rPr>
        <w:t>Automation Testing</w:t>
      </w:r>
    </w:p>
    <w:p w14:paraId="228D9632" w14:textId="77777777" w:rsidR="00CB5A4E" w:rsidRPr="007845DF" w:rsidRDefault="007845DF">
      <w:pPr>
        <w:pStyle w:val="ListBullet"/>
        <w:rPr>
          <w:rFonts w:ascii="Calibri" w:hAnsi="Calibri" w:cs="Calibri"/>
        </w:rPr>
      </w:pPr>
      <w:r w:rsidRPr="007845DF">
        <w:rPr>
          <w:rFonts w:ascii="Calibri" w:hAnsi="Calibri" w:cs="Calibri"/>
        </w:rPr>
        <w:t>API Testing</w:t>
      </w:r>
    </w:p>
    <w:p w14:paraId="2CC7B496" w14:textId="77777777" w:rsidR="00CB5A4E" w:rsidRPr="007845DF" w:rsidRDefault="007845DF">
      <w:pPr>
        <w:pStyle w:val="ListBullet"/>
        <w:rPr>
          <w:rFonts w:ascii="Calibri" w:hAnsi="Calibri" w:cs="Calibri"/>
        </w:rPr>
      </w:pPr>
      <w:r w:rsidRPr="007845DF">
        <w:rPr>
          <w:rFonts w:ascii="Calibri" w:hAnsi="Calibri" w:cs="Calibri"/>
        </w:rPr>
        <w:t>Usability Testing</w:t>
      </w:r>
    </w:p>
    <w:p w14:paraId="0467AFB8" w14:textId="77777777" w:rsidR="00CB5A4E" w:rsidRPr="007845DF" w:rsidRDefault="007845DF">
      <w:pPr>
        <w:pStyle w:val="ListBullet"/>
        <w:rPr>
          <w:rFonts w:ascii="Calibri" w:hAnsi="Calibri" w:cs="Calibri"/>
        </w:rPr>
      </w:pPr>
      <w:r w:rsidRPr="007845DF">
        <w:rPr>
          <w:rFonts w:ascii="Calibri" w:hAnsi="Calibri" w:cs="Calibri"/>
        </w:rPr>
        <w:t>Design Acceptance Testing (DAT)</w:t>
      </w:r>
    </w:p>
    <w:p w14:paraId="18CCD56D" w14:textId="77777777" w:rsidR="00CB5A4E" w:rsidRPr="007845DF" w:rsidRDefault="007845DF">
      <w:pPr>
        <w:pStyle w:val="ListBullet"/>
        <w:rPr>
          <w:rFonts w:ascii="Calibri" w:hAnsi="Calibri" w:cs="Calibri"/>
        </w:rPr>
      </w:pPr>
      <w:r w:rsidRPr="007845DF">
        <w:rPr>
          <w:rFonts w:ascii="Calibri" w:hAnsi="Calibri" w:cs="Calibri"/>
        </w:rPr>
        <w:t>Security Testing</w:t>
      </w:r>
    </w:p>
    <w:p w14:paraId="05247731" w14:textId="77777777" w:rsidR="00CB5A4E" w:rsidRPr="007845DF" w:rsidRDefault="007845DF">
      <w:pPr>
        <w:pStyle w:val="ListBullet"/>
        <w:rPr>
          <w:rFonts w:ascii="Calibri" w:hAnsi="Calibri" w:cs="Calibri"/>
        </w:rPr>
      </w:pPr>
      <w:r w:rsidRPr="007845DF">
        <w:rPr>
          <w:rFonts w:ascii="Calibri" w:hAnsi="Calibri" w:cs="Calibri"/>
        </w:rPr>
        <w:t>Performance Testing</w:t>
      </w:r>
    </w:p>
    <w:p w14:paraId="62FD35F1" w14:textId="77777777" w:rsidR="00CB5A4E" w:rsidRPr="007845DF" w:rsidRDefault="007845DF">
      <w:pPr>
        <w:pStyle w:val="ListBullet"/>
        <w:rPr>
          <w:rFonts w:ascii="Calibri" w:hAnsi="Calibri" w:cs="Calibri"/>
        </w:rPr>
      </w:pPr>
      <w:r w:rsidRPr="007845DF">
        <w:rPr>
          <w:rFonts w:ascii="Calibri" w:hAnsi="Calibri" w:cs="Calibri"/>
        </w:rPr>
        <w:t>White Box Testing</w:t>
      </w:r>
    </w:p>
    <w:p w14:paraId="270B3FA9" w14:textId="77777777" w:rsidR="00CB5A4E" w:rsidRPr="007845DF" w:rsidRDefault="007845DF">
      <w:pPr>
        <w:pStyle w:val="ListBullet"/>
        <w:rPr>
          <w:rFonts w:ascii="Calibri" w:hAnsi="Calibri" w:cs="Calibri"/>
        </w:rPr>
      </w:pPr>
      <w:r w:rsidRPr="007845DF">
        <w:rPr>
          <w:rFonts w:ascii="Calibri" w:hAnsi="Calibri" w:cs="Calibri"/>
        </w:rPr>
        <w:t>Requirements Analysis</w:t>
      </w:r>
    </w:p>
    <w:p w14:paraId="7595F974" w14:textId="77777777" w:rsidR="00CB5A4E" w:rsidRPr="007845DF" w:rsidRDefault="007845DF">
      <w:pPr>
        <w:pStyle w:val="ListBullet"/>
        <w:rPr>
          <w:rFonts w:ascii="Calibri" w:hAnsi="Calibri" w:cs="Calibri"/>
        </w:rPr>
      </w:pPr>
      <w:r w:rsidRPr="007845DF">
        <w:rPr>
          <w:rFonts w:ascii="Calibri" w:hAnsi="Calibri" w:cs="Calibri"/>
        </w:rPr>
        <w:t>Any other testing recommended by Vendor to improve overall quality</w:t>
      </w:r>
    </w:p>
    <w:p w14:paraId="158FC6C9" w14:textId="77777777" w:rsidR="00CB5A4E" w:rsidRPr="007845DF" w:rsidRDefault="007845DF">
      <w:pPr>
        <w:pStyle w:val="Heading2"/>
        <w:rPr>
          <w:rFonts w:ascii="Calibri" w:hAnsi="Calibri" w:cs="Calibri"/>
          <w:color w:val="auto"/>
          <w:sz w:val="22"/>
          <w:szCs w:val="22"/>
        </w:rPr>
      </w:pPr>
      <w:r w:rsidRPr="007845DF">
        <w:rPr>
          <w:rFonts w:ascii="Calibri" w:hAnsi="Calibri" w:cs="Calibri"/>
          <w:color w:val="auto"/>
          <w:sz w:val="22"/>
          <w:szCs w:val="22"/>
        </w:rPr>
        <w:t>Tool Requirements</w:t>
      </w:r>
    </w:p>
    <w:p w14:paraId="47C9D95F" w14:textId="77777777" w:rsidR="00CB5A4E" w:rsidRPr="007845DF" w:rsidRDefault="007845DF">
      <w:pPr>
        <w:pStyle w:val="ListBullet"/>
        <w:rPr>
          <w:rFonts w:ascii="Calibri" w:hAnsi="Calibri" w:cs="Calibri"/>
        </w:rPr>
      </w:pPr>
      <w:r w:rsidRPr="007845DF">
        <w:rPr>
          <w:rFonts w:ascii="Calibri" w:hAnsi="Calibri" w:cs="Calibri"/>
        </w:rPr>
        <w:t>Test Case Repository – for both manual and automated test cases</w:t>
      </w:r>
    </w:p>
    <w:p w14:paraId="25A4EEE0" w14:textId="77777777" w:rsidR="00CB5A4E" w:rsidRPr="007845DF" w:rsidRDefault="007845DF">
      <w:pPr>
        <w:pStyle w:val="ListBullet"/>
        <w:rPr>
          <w:rFonts w:ascii="Calibri" w:hAnsi="Calibri" w:cs="Calibri"/>
        </w:rPr>
      </w:pPr>
      <w:r w:rsidRPr="007845DF">
        <w:rPr>
          <w:rFonts w:ascii="Calibri" w:hAnsi="Calibri" w:cs="Calibri"/>
        </w:rPr>
        <w:t>Test Execution and Reporting – manual and automated</w:t>
      </w:r>
    </w:p>
    <w:p w14:paraId="436CC74A" w14:textId="77777777" w:rsidR="00CB5A4E" w:rsidRPr="007845DF" w:rsidRDefault="007845DF">
      <w:pPr>
        <w:pStyle w:val="ListBullet"/>
        <w:rPr>
          <w:rFonts w:ascii="Calibri" w:hAnsi="Calibri" w:cs="Calibri"/>
        </w:rPr>
      </w:pPr>
      <w:r w:rsidRPr="007845DF">
        <w:rPr>
          <w:rFonts w:ascii="Calibri" w:hAnsi="Calibri" w:cs="Calibri"/>
        </w:rPr>
        <w:t>Automation Code Coverage</w:t>
      </w:r>
    </w:p>
    <w:p w14:paraId="3F263966" w14:textId="77777777" w:rsidR="00CB5A4E" w:rsidRDefault="007845DF">
      <w:pPr>
        <w:pStyle w:val="ListBullet"/>
        <w:rPr>
          <w:rFonts w:ascii="Calibri" w:hAnsi="Calibri" w:cs="Calibri"/>
        </w:rPr>
      </w:pPr>
      <w:r w:rsidRPr="007845DF">
        <w:rPr>
          <w:rFonts w:ascii="Calibri" w:hAnsi="Calibri" w:cs="Calibri"/>
        </w:rPr>
        <w:t>White Box Testing Support</w:t>
      </w:r>
    </w:p>
    <w:p w14:paraId="49F5B288" w14:textId="77777777" w:rsidR="007845DF" w:rsidRDefault="007845DF" w:rsidP="007845DF">
      <w:pPr>
        <w:pStyle w:val="ListBullet"/>
        <w:numPr>
          <w:ilvl w:val="0"/>
          <w:numId w:val="0"/>
        </w:numPr>
        <w:rPr>
          <w:rFonts w:ascii="Calibri" w:hAnsi="Calibri" w:cs="Calibri"/>
        </w:rPr>
      </w:pPr>
    </w:p>
    <w:p w14:paraId="274F09CE" w14:textId="77777777" w:rsidR="007845DF" w:rsidRDefault="007845DF" w:rsidP="007845DF">
      <w:pPr>
        <w:pStyle w:val="ListBullet"/>
        <w:numPr>
          <w:ilvl w:val="0"/>
          <w:numId w:val="0"/>
        </w:numPr>
        <w:rPr>
          <w:rFonts w:ascii="Calibri" w:hAnsi="Calibri" w:cs="Calibri"/>
        </w:rPr>
      </w:pPr>
    </w:p>
    <w:p w14:paraId="61FDCAB2" w14:textId="77777777" w:rsidR="007845DF" w:rsidRPr="007845DF" w:rsidRDefault="007845DF" w:rsidP="007845DF">
      <w:pPr>
        <w:pStyle w:val="ListBullet"/>
        <w:numPr>
          <w:ilvl w:val="0"/>
          <w:numId w:val="0"/>
        </w:numPr>
        <w:rPr>
          <w:rFonts w:ascii="Calibri" w:hAnsi="Calibri" w:cs="Calibri"/>
        </w:rPr>
      </w:pPr>
    </w:p>
    <w:p w14:paraId="3874DDE4" w14:textId="77777777" w:rsidR="00CB5A4E" w:rsidRPr="007845DF" w:rsidRDefault="007845DF">
      <w:pPr>
        <w:pStyle w:val="Heading2"/>
        <w:rPr>
          <w:rFonts w:ascii="Calibri" w:hAnsi="Calibri" w:cs="Calibri"/>
          <w:color w:val="auto"/>
          <w:sz w:val="22"/>
          <w:szCs w:val="22"/>
        </w:rPr>
      </w:pPr>
      <w:r w:rsidRPr="007845DF">
        <w:rPr>
          <w:rFonts w:ascii="Calibri" w:hAnsi="Calibri" w:cs="Calibri"/>
          <w:color w:val="auto"/>
          <w:sz w:val="22"/>
          <w:szCs w:val="22"/>
        </w:rPr>
        <w:t>Additional Considerations Impacting Financials</w:t>
      </w:r>
    </w:p>
    <w:p w14:paraId="76713384" w14:textId="77777777" w:rsidR="00CB5A4E" w:rsidRPr="007845DF" w:rsidRDefault="007845DF">
      <w:pPr>
        <w:rPr>
          <w:rFonts w:ascii="Calibri" w:hAnsi="Calibri" w:cs="Calibri"/>
        </w:rPr>
      </w:pPr>
      <w:r w:rsidRPr="007845DF">
        <w:rPr>
          <w:rFonts w:ascii="Calibri" w:hAnsi="Calibri" w:cs="Calibri"/>
        </w:rPr>
        <w:t>1. Form of Payment (FOP) Support</w:t>
      </w:r>
    </w:p>
    <w:p w14:paraId="6FD237ED" w14:textId="77777777" w:rsidR="00CB5A4E" w:rsidRPr="007845DF" w:rsidRDefault="007845DF">
      <w:pPr>
        <w:pStyle w:val="ListBullet"/>
        <w:rPr>
          <w:rFonts w:ascii="Calibri" w:hAnsi="Calibri" w:cs="Calibri"/>
        </w:rPr>
      </w:pPr>
      <w:r w:rsidRPr="007845DF">
        <w:rPr>
          <w:rFonts w:ascii="Calibri" w:hAnsi="Calibri" w:cs="Calibri"/>
        </w:rPr>
        <w:t>UPI</w:t>
      </w:r>
    </w:p>
    <w:p w14:paraId="6EB86B5E" w14:textId="77777777" w:rsidR="00CB5A4E" w:rsidRPr="007845DF" w:rsidRDefault="007845DF">
      <w:pPr>
        <w:pStyle w:val="ListBullet"/>
        <w:rPr>
          <w:rFonts w:ascii="Calibri" w:hAnsi="Calibri" w:cs="Calibri"/>
        </w:rPr>
      </w:pPr>
      <w:r w:rsidRPr="007845DF">
        <w:rPr>
          <w:rFonts w:ascii="Calibri" w:hAnsi="Calibri" w:cs="Calibri"/>
        </w:rPr>
        <w:lastRenderedPageBreak/>
        <w:t>Credit/Debit Cards (Domestic &amp; International – Visa, MasterCard, AMEX, Diners, etc.)</w:t>
      </w:r>
    </w:p>
    <w:p w14:paraId="33FBE11F" w14:textId="77777777" w:rsidR="00CB5A4E" w:rsidRPr="007845DF" w:rsidRDefault="007845DF">
      <w:pPr>
        <w:pStyle w:val="ListBullet"/>
        <w:rPr>
          <w:rFonts w:ascii="Calibri" w:hAnsi="Calibri" w:cs="Calibri"/>
        </w:rPr>
      </w:pPr>
      <w:r w:rsidRPr="007845DF">
        <w:rPr>
          <w:rFonts w:ascii="Calibri" w:hAnsi="Calibri" w:cs="Calibri"/>
        </w:rPr>
        <w:t>Net Banking (Multiple Banks)</w:t>
      </w:r>
    </w:p>
    <w:p w14:paraId="60F8325C" w14:textId="77777777" w:rsidR="00CB5A4E" w:rsidRPr="007845DF" w:rsidRDefault="007845DF">
      <w:pPr>
        <w:pStyle w:val="ListBullet"/>
        <w:rPr>
          <w:rFonts w:ascii="Calibri" w:hAnsi="Calibri" w:cs="Calibri"/>
        </w:rPr>
      </w:pPr>
      <w:r w:rsidRPr="007845DF">
        <w:rPr>
          <w:rFonts w:ascii="Calibri" w:hAnsi="Calibri" w:cs="Calibri"/>
        </w:rPr>
        <w:t>Wallets</w:t>
      </w:r>
    </w:p>
    <w:p w14:paraId="2CB0D3EE" w14:textId="77777777" w:rsidR="00CB5A4E" w:rsidRPr="007845DF" w:rsidRDefault="007845DF">
      <w:pPr>
        <w:pStyle w:val="ListBullet"/>
        <w:rPr>
          <w:rFonts w:ascii="Calibri" w:hAnsi="Calibri" w:cs="Calibri"/>
        </w:rPr>
      </w:pPr>
      <w:r w:rsidRPr="007845DF">
        <w:rPr>
          <w:rFonts w:ascii="Calibri" w:hAnsi="Calibri" w:cs="Calibri"/>
        </w:rPr>
        <w:t>Agency Balance</w:t>
      </w:r>
    </w:p>
    <w:p w14:paraId="16BF2981" w14:textId="77777777" w:rsidR="00CB5A4E" w:rsidRPr="007845DF" w:rsidRDefault="007845DF">
      <w:pPr>
        <w:pStyle w:val="ListBullet"/>
        <w:rPr>
          <w:rFonts w:ascii="Calibri" w:hAnsi="Calibri" w:cs="Calibri"/>
        </w:rPr>
      </w:pPr>
      <w:r w:rsidRPr="007845DF">
        <w:rPr>
          <w:rFonts w:ascii="Calibri" w:hAnsi="Calibri" w:cs="Calibri"/>
        </w:rPr>
        <w:t>IndiGo Blue Chips</w:t>
      </w:r>
    </w:p>
    <w:p w14:paraId="3EA7FDC0" w14:textId="77777777" w:rsidR="00CB5A4E" w:rsidRPr="007845DF" w:rsidRDefault="007845DF">
      <w:pPr>
        <w:pStyle w:val="ListBullet"/>
        <w:rPr>
          <w:rFonts w:ascii="Calibri" w:hAnsi="Calibri" w:cs="Calibri"/>
        </w:rPr>
      </w:pPr>
      <w:r w:rsidRPr="007845DF">
        <w:rPr>
          <w:rFonts w:ascii="Calibri" w:hAnsi="Calibri" w:cs="Calibri"/>
        </w:rPr>
        <w:t>Emerging options like Apple Pay, Alipay, PayPal, etc.</w:t>
      </w:r>
    </w:p>
    <w:p w14:paraId="4DBE77F4" w14:textId="77777777" w:rsidR="00CB5A4E" w:rsidRPr="007845DF" w:rsidRDefault="007845DF">
      <w:pPr>
        <w:rPr>
          <w:rFonts w:ascii="Calibri" w:hAnsi="Calibri" w:cs="Calibri"/>
        </w:rPr>
      </w:pPr>
      <w:r w:rsidRPr="007845DF">
        <w:rPr>
          <w:rFonts w:ascii="Calibri" w:hAnsi="Calibri" w:cs="Calibri"/>
        </w:rPr>
        <w:t>2. Mobile Numbers for Testing</w:t>
      </w:r>
    </w:p>
    <w:p w14:paraId="1F0CB73D" w14:textId="77777777" w:rsidR="00CB5A4E" w:rsidRPr="007845DF" w:rsidRDefault="007845DF" w:rsidP="007845DF">
      <w:pPr>
        <w:jc w:val="both"/>
        <w:rPr>
          <w:rFonts w:ascii="Calibri" w:hAnsi="Calibri" w:cs="Calibri"/>
        </w:rPr>
      </w:pPr>
      <w:r w:rsidRPr="007845DF">
        <w:rPr>
          <w:rFonts w:ascii="Calibri" w:hAnsi="Calibri" w:cs="Calibri"/>
        </w:rPr>
        <w:t>Vendors must arrange new mobile numbers (both Indian and international) as required for testing across web and mobile platforms.</w:t>
      </w:r>
    </w:p>
    <w:p w14:paraId="45DE72B5" w14:textId="77777777" w:rsidR="00CB5A4E" w:rsidRPr="007845DF" w:rsidRDefault="007845DF">
      <w:pPr>
        <w:rPr>
          <w:rFonts w:ascii="Calibri" w:hAnsi="Calibri" w:cs="Calibri"/>
        </w:rPr>
      </w:pPr>
      <w:r w:rsidRPr="007845DF">
        <w:rPr>
          <w:rFonts w:ascii="Calibri" w:hAnsi="Calibri" w:cs="Calibri"/>
        </w:rPr>
        <w:t>3. Tools and Licenses</w:t>
      </w:r>
    </w:p>
    <w:p w14:paraId="01E3518A" w14:textId="77777777" w:rsidR="00CB5A4E" w:rsidRPr="007845DF" w:rsidRDefault="007845DF" w:rsidP="007845DF">
      <w:pPr>
        <w:jc w:val="both"/>
        <w:rPr>
          <w:rFonts w:ascii="Calibri" w:hAnsi="Calibri" w:cs="Calibri"/>
        </w:rPr>
      </w:pPr>
      <w:r w:rsidRPr="007845DF">
        <w:rPr>
          <w:rFonts w:ascii="Calibri" w:hAnsi="Calibri" w:cs="Calibri"/>
        </w:rPr>
        <w:t>All costs related to tools and licenses used for testing (e.g., automation tools for web/mobile, manual testing platforms like BrowserStack, functional/non-functional testing tools, etc.) must be borne by the vendor.</w:t>
      </w:r>
    </w:p>
    <w:p w14:paraId="08BBCF10" w14:textId="77777777" w:rsidR="00CB5A4E" w:rsidRPr="007845DF" w:rsidRDefault="007845DF">
      <w:pPr>
        <w:rPr>
          <w:rFonts w:ascii="Calibri" w:hAnsi="Calibri" w:cs="Calibri"/>
        </w:rPr>
      </w:pPr>
      <w:r w:rsidRPr="007845DF">
        <w:rPr>
          <w:rFonts w:ascii="Calibri" w:hAnsi="Calibri" w:cs="Calibri"/>
        </w:rPr>
        <w:t>4. Devices</w:t>
      </w:r>
    </w:p>
    <w:p w14:paraId="28034792" w14:textId="77777777" w:rsidR="00CB5A4E" w:rsidRPr="007845DF" w:rsidRDefault="007845DF" w:rsidP="007845DF">
      <w:pPr>
        <w:jc w:val="both"/>
        <w:rPr>
          <w:rFonts w:ascii="Calibri" w:hAnsi="Calibri" w:cs="Calibri"/>
        </w:rPr>
      </w:pPr>
      <w:r w:rsidRPr="007845DF">
        <w:rPr>
          <w:rFonts w:ascii="Calibri" w:hAnsi="Calibri" w:cs="Calibri"/>
        </w:rPr>
        <w:t>Vendors are responsible for the cost of all required devices, including laptops, mobile phones, tablets, and MacBooks.</w:t>
      </w:r>
    </w:p>
    <w:p w14:paraId="20DD83B3" w14:textId="77777777" w:rsidR="00CB5A4E" w:rsidRPr="007845DF" w:rsidRDefault="007845DF">
      <w:pPr>
        <w:rPr>
          <w:rFonts w:ascii="Calibri" w:hAnsi="Calibri" w:cs="Calibri"/>
        </w:rPr>
      </w:pPr>
      <w:r w:rsidRPr="007845DF">
        <w:rPr>
          <w:rFonts w:ascii="Calibri" w:hAnsi="Calibri" w:cs="Calibri"/>
        </w:rPr>
        <w:t>5. Travel and Relocation Costs</w:t>
      </w:r>
    </w:p>
    <w:p w14:paraId="6D12222F" w14:textId="77777777" w:rsidR="00CB5A4E" w:rsidRPr="007845DF" w:rsidRDefault="007845DF">
      <w:pPr>
        <w:rPr>
          <w:rFonts w:ascii="Calibri" w:hAnsi="Calibri" w:cs="Calibri"/>
        </w:rPr>
      </w:pPr>
      <w:r w:rsidRPr="007845DF">
        <w:rPr>
          <w:rFonts w:ascii="Calibri" w:hAnsi="Calibri" w:cs="Calibri"/>
        </w:rPr>
        <w:t>While on-site resources are preferred, any travel or relocation expenses for offshore resources must be covered by the vendor.</w:t>
      </w:r>
    </w:p>
    <w:p w14:paraId="6BB65773" w14:textId="77777777" w:rsidR="00CB5A4E" w:rsidRPr="007845DF" w:rsidRDefault="007845DF">
      <w:pPr>
        <w:pStyle w:val="Heading1"/>
        <w:rPr>
          <w:rFonts w:ascii="Calibri" w:hAnsi="Calibri" w:cs="Calibri"/>
          <w:color w:val="auto"/>
          <w:sz w:val="22"/>
          <w:szCs w:val="22"/>
        </w:rPr>
      </w:pPr>
      <w:r w:rsidRPr="007845DF">
        <w:rPr>
          <w:rFonts w:ascii="Calibri" w:hAnsi="Calibri" w:cs="Calibri"/>
          <w:color w:val="auto"/>
          <w:sz w:val="22"/>
          <w:szCs w:val="22"/>
        </w:rPr>
        <w:t>10. Conclusion</w:t>
      </w:r>
    </w:p>
    <w:p w14:paraId="4D45CE70" w14:textId="67F3CBE6" w:rsidR="00CB5A4E" w:rsidRPr="007845DF" w:rsidRDefault="007845DF" w:rsidP="007845DF">
      <w:pPr>
        <w:jc w:val="both"/>
        <w:rPr>
          <w:rFonts w:ascii="Calibri" w:hAnsi="Calibri" w:cs="Calibri"/>
        </w:rPr>
      </w:pPr>
      <w:r w:rsidRPr="007845DF">
        <w:rPr>
          <w:rFonts w:ascii="Calibri" w:hAnsi="Calibri" w:cs="Calibri"/>
        </w:rPr>
        <w:t xml:space="preserve">This </w:t>
      </w:r>
      <w:r>
        <w:rPr>
          <w:rFonts w:ascii="Calibri" w:hAnsi="Calibri" w:cs="Calibri"/>
        </w:rPr>
        <w:t>document aims to</w:t>
      </w:r>
      <w:r w:rsidRPr="007845DF">
        <w:rPr>
          <w:rFonts w:ascii="Calibri" w:hAnsi="Calibri" w:cs="Calibri"/>
        </w:rPr>
        <w:t xml:space="preserve"> provide clarity on the operational model for Managed Testing Services. Vendors must internalize these expectations and reflect them in delivery frameworks, staffing models, and tooling strategies</w:t>
      </w:r>
      <w:r>
        <w:rPr>
          <w:rFonts w:ascii="Calibri" w:hAnsi="Calibri" w:cs="Calibri"/>
        </w:rPr>
        <w:t xml:space="preserve">. </w:t>
      </w:r>
      <w:r w:rsidRPr="007845DF">
        <w:rPr>
          <w:rFonts w:ascii="Calibri" w:hAnsi="Calibri" w:cs="Calibri"/>
        </w:rPr>
        <w:t>As part of our long-term vision, the aim is to automate testing processes through advanced automation frameworks and the integration of Artificial Intelligence (AI). This strategic direction will enhance testing efficiency, improve defect detection accuracy, and enable intelligent decision-making across the testing lifecycle.</w:t>
      </w:r>
    </w:p>
    <w:sectPr w:rsidR="00CB5A4E" w:rsidRPr="007845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5527"/>
    <w:rsid w:val="00326F90"/>
    <w:rsid w:val="007845DF"/>
    <w:rsid w:val="00AA1D8D"/>
    <w:rsid w:val="00B47730"/>
    <w:rsid w:val="00CB0664"/>
    <w:rsid w:val="00CB5A4E"/>
    <w:rsid w:val="00EC08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436C1"/>
  <w14:defaultImageDpi w14:val="300"/>
  <w15:docId w15:val="{3ABA5CB8-328C-4E77-8069-A8FF27D97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A66976-7902-4CE6-BFF9-DFD138070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860</Words>
  <Characters>4903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Agnihotri (Digital,ISC)(X-IGT Solutions)</cp:lastModifiedBy>
  <cp:revision>3</cp:revision>
  <dcterms:created xsi:type="dcterms:W3CDTF">2025-10-30T03:38:00Z</dcterms:created>
  <dcterms:modified xsi:type="dcterms:W3CDTF">2026-09-10T08:19:00Z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5616f8d-06f9-41da-a1a3-92ca0c5ba98a_Enabled">
    <vt:lpwstr>true</vt:lpwstr>
  </property>
  <property fmtid="{D5CDD505-2E9C-101B-9397-08002B2CF9AE}" pid="3" name="MSIP_Label_c5616f8d-06f9-41da-a1a3-92ca0c5ba98a_SetDate">
    <vt:lpwstr>2025-10-30T03:38:52Z</vt:lpwstr>
  </property>
  <property fmtid="{D5CDD505-2E9C-101B-9397-08002B2CF9AE}" pid="4" name="MSIP_Label_c5616f8d-06f9-41da-a1a3-92ca0c5ba98a_Method">
    <vt:lpwstr>Standard</vt:lpwstr>
  </property>
  <property fmtid="{D5CDD505-2E9C-101B-9397-08002B2CF9AE}" pid="5" name="MSIP_Label_c5616f8d-06f9-41da-a1a3-92ca0c5ba98a_Name">
    <vt:lpwstr>Internal</vt:lpwstr>
  </property>
  <property fmtid="{D5CDD505-2E9C-101B-9397-08002B2CF9AE}" pid="6" name="MSIP_Label_c5616f8d-06f9-41da-a1a3-92ca0c5ba98a_SiteId">
    <vt:lpwstr>73f2e714-a32e-4697-9449-dffe1df8a5d5</vt:lpwstr>
  </property>
  <property fmtid="{D5CDD505-2E9C-101B-9397-08002B2CF9AE}" pid="7" name="MSIP_Label_c5616f8d-06f9-41da-a1a3-92ca0c5ba98a_ActionId">
    <vt:lpwstr>4ce83459-35e1-48d9-aa52-dfe1045e2a56</vt:lpwstr>
  </property>
  <property fmtid="{D5CDD505-2E9C-101B-9397-08002B2CF9AE}" pid="8" name="MSIP_Label_c5616f8d-06f9-41da-a1a3-92ca0c5ba98a_ContentBits">
    <vt:lpwstr>0</vt:lpwstr>
  </property>
  <property fmtid="{D5CDD505-2E9C-101B-9397-08002B2CF9AE}" pid="9" name="MSIP_Label_c5616f8d-06f9-41da-a1a3-92ca0c5ba98a_Tag">
    <vt:lpwstr>10, 3, 0, 1</vt:lpwstr>
  </property>
</Properties>
</file>