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5C7AD911" w:rsidR="00023F73"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824CE4">
        <w:rPr>
          <w:rFonts w:ascii="Droid Sans" w:hAnsi="Droid Sans" w:cs="Droid Sans"/>
          <w:bCs/>
          <w:color w:val="auto"/>
          <w:sz w:val="24"/>
          <w:szCs w:val="24"/>
        </w:rPr>
        <w:t xml:space="preserve">am a postgraduate Computer Games Technology student, graduating from Abertay University, and looking for an entry-level game programming role in the Games Industry.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355BE75D"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Photoshop</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1C5100EE"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2977F576" w14:textId="26FAF23A"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7A108B0D" w14:textId="68E4E96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Telerik Fiddler</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553B7624"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MSc - *Predicted Upper Second*</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bookmarkStart w:id="0" w:name="_GoBack"/>
            <w:bookmarkEnd w:id="0"/>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3A01F8">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32695D"/>
    <w:rsid w:val="003A01F8"/>
    <w:rsid w:val="0050314F"/>
    <w:rsid w:val="005B3035"/>
    <w:rsid w:val="005C7C45"/>
    <w:rsid w:val="006D4730"/>
    <w:rsid w:val="00702C3A"/>
    <w:rsid w:val="007B1100"/>
    <w:rsid w:val="007E12E3"/>
    <w:rsid w:val="00824CE4"/>
    <w:rsid w:val="00924D7F"/>
    <w:rsid w:val="00996BD8"/>
    <w:rsid w:val="009B38BA"/>
    <w:rsid w:val="009E4C6D"/>
    <w:rsid w:val="00A6474D"/>
    <w:rsid w:val="00A83AB8"/>
    <w:rsid w:val="00AA19ED"/>
    <w:rsid w:val="00BA04CC"/>
    <w:rsid w:val="00BD2F32"/>
    <w:rsid w:val="00CD084D"/>
    <w:rsid w:val="00D57B4C"/>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555-5AE1-4A34-84F8-35B1D7D7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9</cp:revision>
  <cp:lastPrinted>2020-10-08T23:29:00Z</cp:lastPrinted>
  <dcterms:created xsi:type="dcterms:W3CDTF">2017-10-24T08:57:00Z</dcterms:created>
  <dcterms:modified xsi:type="dcterms:W3CDTF">2020-10-09T23:22:00Z</dcterms:modified>
</cp:coreProperties>
</file>