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364" w:rsidRDefault="00AE3364" w:rsidP="00D07211">
      <w:pPr>
        <w:pStyle w:val="Heading1"/>
      </w:pPr>
      <w:r>
        <w:t>Abstract</w:t>
      </w:r>
    </w:p>
    <w:p w:rsidR="00AE3364" w:rsidRDefault="00AE3364" w:rsidP="00D07211">
      <w:pPr>
        <w:pStyle w:val="Heading1"/>
      </w:pPr>
      <w:r>
        <w:t>Introduction</w:t>
      </w:r>
    </w:p>
    <w:p w:rsidR="00F245C6" w:rsidRDefault="001D04E2" w:rsidP="00D07211">
      <w:pPr>
        <w:pStyle w:val="Heading1"/>
      </w:pPr>
      <w:r>
        <w:t>Methods</w:t>
      </w:r>
    </w:p>
    <w:p w:rsidR="00D07211" w:rsidRDefault="00D07211" w:rsidP="00D07211">
      <w:pPr>
        <w:pStyle w:val="Heading2"/>
      </w:pPr>
      <w:r>
        <w:t>Data</w:t>
      </w:r>
    </w:p>
    <w:p w:rsidR="00AA5FAA" w:rsidRDefault="00AA5FAA" w:rsidP="000B2154">
      <w:pPr>
        <w:ind w:firstLine="720"/>
      </w:pPr>
      <w:r>
        <w:t>Dat</w:t>
      </w:r>
      <w:r w:rsidR="001D04E2">
        <w:t xml:space="preserve">a </w:t>
      </w:r>
      <w:r w:rsidR="000B2154">
        <w:t>on</w:t>
      </w:r>
      <w:r>
        <w:t xml:space="preserve"> </w:t>
      </w:r>
      <w:r w:rsidR="001D04E2">
        <w:t xml:space="preserve">juvenile Coho salmon densities (#/km) </w:t>
      </w:r>
      <w:r>
        <w:t xml:space="preserve">and habitat characteristics were collected from </w:t>
      </w:r>
      <w:r w:rsidR="000B2154">
        <w:t xml:space="preserve">24 </w:t>
      </w:r>
      <w:r w:rsidR="001D04E2">
        <w:t>Oregon coastal watersheds from 1998 to 2019</w:t>
      </w:r>
      <w:r w:rsidR="000B2154">
        <w:t xml:space="preserve"> (Figure Map)</w:t>
      </w:r>
      <w:r w:rsidR="001D04E2">
        <w:t xml:space="preserve">. </w:t>
      </w:r>
      <w:r>
        <w:t xml:space="preserve">The habitat data for each stream segment included: stream slope, maximum gradient, stream width, distance to the ocean, spring precipitation, </w:t>
      </w:r>
      <w:proofErr w:type="spellStart"/>
      <w:r>
        <w:t>MWMT_index</w:t>
      </w:r>
      <w:proofErr w:type="spellEnd"/>
      <w:r>
        <w:t xml:space="preserve">, and W3Dppt. Because the scale of the watershed and the annual effort varied between years, the annual total number of observations within a </w:t>
      </w:r>
      <w:r w:rsidR="000B2154">
        <w:t xml:space="preserve">watershed range between 0 and 37 </w:t>
      </w:r>
      <w:r>
        <w:t>(</w:t>
      </w:r>
      <w:fldSimple w:instr=" REF _Ref100573752 ">
        <w:r w:rsidR="000B2154">
          <w:t xml:space="preserve">Table </w:t>
        </w:r>
        <w:r w:rsidR="000B2154">
          <w:rPr>
            <w:noProof/>
          </w:rPr>
          <w:t>1</w:t>
        </w:r>
      </w:fldSimple>
      <w:r>
        <w:t>).</w:t>
      </w:r>
    </w:p>
    <w:p w:rsidR="00D07211" w:rsidRDefault="000B2154" w:rsidP="00D07211">
      <w:r>
        <w:tab/>
        <w:t xml:space="preserve">We </w:t>
      </w:r>
      <w:r w:rsidR="00D07211">
        <w:t xml:space="preserve">developed </w:t>
      </w:r>
      <w:r>
        <w:t xml:space="preserve">a suite of estimation models (e.g., frequentist, Bayesian, random forest, gam) and model structures (e.g., habitat only, temporal, spatial, and spatiotemporal autocorrelation) to predict the density of juvenile Coho salmon which Oregon ESU. </w:t>
      </w:r>
      <w:r w:rsidR="00D07211">
        <w:t>For each model, we included all the habitat covariates b</w:t>
      </w:r>
      <w:r>
        <w:t xml:space="preserve">ecause the maximum absolute correlation between </w:t>
      </w:r>
      <w:r w:rsidR="00D07211">
        <w:t xml:space="preserve">habitat covariates was 0.51, suggesting </w:t>
      </w:r>
      <w:r>
        <w:t>little evidence for confounding between covariates (</w:t>
      </w:r>
      <w:fldSimple w:instr=" REF _Ref100572847 ">
        <w:r>
          <w:t xml:space="preserve">Figure </w:t>
        </w:r>
        <w:r>
          <w:rPr>
            <w:noProof/>
          </w:rPr>
          <w:t>1</w:t>
        </w:r>
      </w:fldSimple>
      <w:r>
        <w:t xml:space="preserve">; </w:t>
      </w:r>
      <w:r>
        <w:fldChar w:fldCharType="begin"/>
      </w:r>
      <w:r>
        <w:instrText xml:space="preserve"> ADDIN ZOTERO_ITEM CSL_CITATION {"citationID":"YuHAVfwP","properties":{"formattedCitation":"(Hosmer Jr et al., 2013)","plainCitation":"(Hosmer Jr et al., 2013)","noteIndex":0},"citationItems":[{"id":318,"uris":["http://zotero.org/users/local/sALjQm7t/items/CB4BE885"],"itemData":{"id":318,"type":"book","publisher":"John Wiley &amp; Sons","source":"Google Scholar","title":"Applied logistic regression","volume":"398","author":[{"family":"Hosmer Jr","given":"David W."},{"family":"Lemeshow","given":"Stanley"},{"family":"Sturdivant","given":"Rodney X."}],"issued":{"date-parts":[["2013"]]}}}],"schema":"https://github.com/citation-style-language/schema/raw/master/csl-citation.json"} </w:instrText>
      </w:r>
      <w:r>
        <w:fldChar w:fldCharType="separate"/>
      </w:r>
      <w:r w:rsidRPr="00F245C6">
        <w:rPr>
          <w:rFonts w:ascii="Calibri" w:hAnsi="Calibri" w:cs="Calibri"/>
        </w:rPr>
        <w:t>(Hosmer Jr et al., 2013)</w:t>
      </w:r>
      <w:r>
        <w:fldChar w:fldCharType="end"/>
      </w:r>
      <w:r>
        <w:t xml:space="preserve">). </w:t>
      </w:r>
    </w:p>
    <w:p w:rsidR="00D07211" w:rsidRDefault="00CD3460" w:rsidP="00D07211">
      <w:pPr>
        <w:pStyle w:val="Heading2"/>
      </w:pPr>
      <w:proofErr w:type="spellStart"/>
      <w:r>
        <w:t>Parameteric</w:t>
      </w:r>
      <w:proofErr w:type="spellEnd"/>
      <w:r>
        <w:t xml:space="preserve"> models</w:t>
      </w:r>
    </w:p>
    <w:p w:rsidR="00D07211" w:rsidRDefault="00D07211" w:rsidP="00D07211">
      <w:pPr>
        <w:ind w:firstLine="720"/>
      </w:pPr>
      <w:r>
        <w:t xml:space="preserve">The frequentist and Bayesian models used a similar structure to account for the fixed and random effects. </w:t>
      </w:r>
      <w:r w:rsidR="00E11FD1">
        <w:t xml:space="preserve">We assume that log of the </w:t>
      </w:r>
      <w:r>
        <w:t>predicted density of juvenile Coho (</w:t>
      </w:r>
      <m:oMath>
        <m:r>
          <w:rPr>
            <w:rFonts w:ascii="Cambria Math" w:hAnsi="Cambria Math"/>
          </w:rPr>
          <m:t>η</m:t>
        </m:r>
      </m:oMath>
      <w:r>
        <w:rPr>
          <w:rFonts w:eastAsiaTheme="minorEastAsia"/>
        </w:rPr>
        <w:t xml:space="preserve">; </w:t>
      </w:r>
      <w:r>
        <w:t xml:space="preserve">number/km of stream surveyed) for population </w:t>
      </w:r>
      <w:proofErr w:type="spellStart"/>
      <w:r>
        <w:rPr>
          <w:i/>
        </w:rPr>
        <w:t>i</w:t>
      </w:r>
      <w:proofErr w:type="spellEnd"/>
      <w:r>
        <w:t xml:space="preserve">, for location </w:t>
      </w:r>
      <w:r>
        <w:rPr>
          <w:i/>
        </w:rPr>
        <w:t>s</w:t>
      </w:r>
      <w:r>
        <w:t xml:space="preserve">, during year </w:t>
      </w:r>
      <w:r>
        <w:rPr>
          <w:i/>
        </w:rPr>
        <w:t>t</w:t>
      </w:r>
      <w:r w:rsidR="00E11FD1">
        <w:t>, is a linear combination of fixed and random e</w:t>
      </w:r>
      <w:r w:rsidR="000157C4">
        <w:softHyphen/>
      </w:r>
      <w:r w:rsidR="00E11FD1">
        <w:t>ffects,</w:t>
      </w:r>
    </w:p>
    <w:p w:rsidR="007663E7" w:rsidRPr="00A47EAD" w:rsidRDefault="00533FB3" w:rsidP="00D07211">
      <w:pPr>
        <w:ind w:firstLine="720"/>
        <w:rPr>
          <w:rFonts w:eastAsiaTheme="minorEastAsia"/>
        </w:rPr>
      </w:pPr>
      <m:oMathPara>
        <m:oMath>
          <m:sSub>
            <m:sSubPr>
              <m:ctrlPr>
                <w:rPr>
                  <w:rFonts w:ascii="Cambria Math" w:hAnsi="Cambria Math"/>
                  <w:i/>
                </w:rPr>
              </m:ctrlPr>
            </m:sSubPr>
            <m:e>
              <m:r>
                <w:rPr>
                  <w:rFonts w:ascii="Cambria Math" w:hAnsi="Cambria Math"/>
                </w:rPr>
                <m:t>η</m:t>
              </m:r>
            </m:e>
            <m:sub>
              <m:r>
                <w:rPr>
                  <w:rFonts w:ascii="Cambria Math" w:hAnsi="Cambria Math"/>
                </w:rPr>
                <m:t>s,t</m:t>
              </m:r>
            </m:sub>
          </m:sSub>
          <m:r>
            <w:rPr>
              <w:rFonts w:ascii="Cambria Math" w:hAnsi="Cambria Math"/>
            </w:rPr>
            <m:t>=</m:t>
          </m:r>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w:rPr>
                  <w:rFonts w:ascii="Cambria Math" w:eastAsiaTheme="minorEastAsia" w:hAnsi="Cambria Math"/>
                </w:rPr>
                <m:t>s,t</m:t>
              </m:r>
            </m:sub>
          </m:sSub>
          <m:r>
            <m:rPr>
              <m:sty m:val="b"/>
            </m:rPr>
            <w:rPr>
              <w:rFonts w:ascii="Cambria Math" w:eastAsiaTheme="minorEastAsia" w:hAnsi="Cambria Math"/>
            </w:rPr>
            <m:t>b+</m:t>
          </m:r>
          <m:nary>
            <m:naryPr>
              <m:chr m:val="∑"/>
              <m:supHide m:val="1"/>
              <m:ctrlPr>
                <w:rPr>
                  <w:rFonts w:ascii="Cambria Math" w:eastAsiaTheme="minorEastAsia" w:hAnsi="Cambria Math"/>
                </w:rPr>
              </m:ctrlPr>
            </m:naryPr>
            <m:sub>
              <m:r>
                <m:rPr>
                  <m:sty m:val="p"/>
                </m:rPr>
                <w:rPr>
                  <w:rFonts w:ascii="Cambria Math" w:eastAsiaTheme="minorEastAsia" w:hAnsi="Cambria Math"/>
                </w:rPr>
                <m:t>j</m:t>
              </m:r>
            </m:sub>
            <m:sup/>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j(s)</m:t>
                  </m:r>
                </m:sub>
              </m:sSub>
            </m:e>
          </m:nary>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ε</m:t>
              </m:r>
            </m:e>
            <m:sub>
              <m:r>
                <w:rPr>
                  <w:rFonts w:ascii="Cambria Math" w:eastAsiaTheme="minorEastAsia" w:hAnsi="Cambria Math"/>
                </w:rPr>
                <m:t>st</m:t>
              </m:r>
            </m:sub>
          </m:sSub>
        </m:oMath>
      </m:oMathPara>
    </w:p>
    <w:p w:rsidR="00A47EAD" w:rsidRDefault="00E11FD1" w:rsidP="00A47EAD">
      <w:pPr>
        <w:rPr>
          <w:rFonts w:eastAsiaTheme="minorEastAsia"/>
        </w:rPr>
      </w:pPr>
      <w:r>
        <w:rPr>
          <w:rFonts w:eastAsiaTheme="minorEastAsia"/>
        </w:rPr>
        <w:t>W</w:t>
      </w:r>
      <w:r w:rsidR="00A47EAD">
        <w:rPr>
          <w:rFonts w:eastAsiaTheme="minorEastAsia"/>
        </w:rPr>
        <w:t xml:space="preserve">here, </w:t>
      </w:r>
      <m:oMath>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w:rPr>
                <w:rFonts w:ascii="Cambria Math" w:eastAsiaTheme="minorEastAsia" w:hAnsi="Cambria Math"/>
              </w:rPr>
              <m:t>s,t</m:t>
            </m:r>
          </m:sub>
        </m:sSub>
      </m:oMath>
      <w:r w:rsidR="00A47EAD">
        <w:rPr>
          <w:rFonts w:eastAsiaTheme="minorEastAsia"/>
        </w:rPr>
        <w:t xml:space="preserve"> is vector of covariates, </w:t>
      </w:r>
      <w:r w:rsidR="00A47EAD">
        <w:rPr>
          <w:rFonts w:eastAsiaTheme="minorEastAsia"/>
          <w:b/>
        </w:rPr>
        <w:t>b</w:t>
      </w:r>
      <w:r w:rsidR="00A47EAD">
        <w:rPr>
          <w:rFonts w:eastAsiaTheme="minorEastAsia"/>
        </w:rPr>
        <w:t xml:space="preserve"> is vector of parameters describing the marginal effect of the covariates,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j(s)</m:t>
            </m:r>
          </m:sub>
        </m:sSub>
      </m:oMath>
      <w:r w:rsidR="00A47EAD">
        <w:rPr>
          <w:rFonts w:eastAsiaTheme="minorEastAsia"/>
        </w:rPr>
        <w:t xml:space="preserve"> are non-spatial or non-temporal random effects for location </w:t>
      </w:r>
      <w:r w:rsidR="00A47EAD">
        <w:rPr>
          <w:rFonts w:eastAsiaTheme="minorEastAsia"/>
          <w:i/>
        </w:rPr>
        <w:t>s</w:t>
      </w:r>
      <w:r w:rsidR="00A47EAD">
        <w:rPr>
          <w:rFonts w:eastAsiaTheme="minorEastAsia"/>
        </w:rPr>
        <w:t xml:space="preserve"> (e.g., watershed, stream reach, etc.),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w:r w:rsidR="00A47EAD">
        <w:rPr>
          <w:rFonts w:eastAsiaTheme="minorEastAsia"/>
        </w:rPr>
        <w:t xml:space="preserve"> is the spatial deviate for location </w:t>
      </w:r>
      <w:r w:rsidR="00A47EAD">
        <w:rPr>
          <w:rFonts w:eastAsiaTheme="minorEastAsia"/>
          <w:i/>
        </w:rPr>
        <w:t>s</w:t>
      </w:r>
      <w:r w:rsidR="00A47EA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w:r w:rsidR="00A47EAD">
        <w:rPr>
          <w:rFonts w:eastAsiaTheme="minorEastAsia"/>
        </w:rPr>
        <w:t xml:space="preserve"> is the temporal deviate for year </w:t>
      </w:r>
      <w:r w:rsidR="00A47EAD">
        <w:rPr>
          <w:rFonts w:eastAsiaTheme="minorEastAsia"/>
          <w:i/>
        </w:rPr>
        <w:t>t</w:t>
      </w:r>
      <w:r w:rsidR="00A47EAD">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st</m:t>
            </m:r>
          </m:sub>
        </m:sSub>
      </m:oMath>
      <w:r w:rsidR="00A47EAD">
        <w:rPr>
          <w:rFonts w:eastAsiaTheme="minorEastAsia"/>
        </w:rPr>
        <w:t xml:space="preserve"> is the deviate for the interaction between location </w:t>
      </w:r>
      <w:r w:rsidR="00A47EAD">
        <w:rPr>
          <w:rFonts w:eastAsiaTheme="minorEastAsia"/>
          <w:i/>
        </w:rPr>
        <w:t xml:space="preserve">s </w:t>
      </w:r>
      <w:r w:rsidR="00A47EAD">
        <w:rPr>
          <w:rFonts w:eastAsiaTheme="minorEastAsia"/>
        </w:rPr>
        <w:t xml:space="preserve">during year </w:t>
      </w:r>
      <w:r w:rsidR="00A47EAD">
        <w:rPr>
          <w:rFonts w:eastAsiaTheme="minorEastAsia"/>
          <w:i/>
        </w:rPr>
        <w:t>t</w:t>
      </w:r>
      <w:r w:rsidR="00A47EAD">
        <w:rPr>
          <w:rFonts w:eastAsiaTheme="minorEastAsia"/>
        </w:rPr>
        <w:t xml:space="preserve">. </w:t>
      </w:r>
    </w:p>
    <w:p w:rsidR="00E11FD1" w:rsidRDefault="00E11FD1" w:rsidP="00A47EAD">
      <w:pPr>
        <w:rPr>
          <w:rFonts w:eastAsiaTheme="minorEastAsia"/>
        </w:rPr>
      </w:pPr>
      <w:r>
        <w:rPr>
          <w:rFonts w:eastAsiaTheme="minorEastAsia"/>
        </w:rPr>
        <w:tab/>
      </w:r>
      <w:r w:rsidR="002C397F">
        <w:rPr>
          <w:rFonts w:eastAsiaTheme="minorEastAsia"/>
        </w:rPr>
        <w:t xml:space="preserve">We assume that the </w:t>
      </w:r>
      <w:r>
        <w:rPr>
          <w:rFonts w:eastAsiaTheme="minorEastAsia"/>
        </w:rPr>
        <w:t>observations of juvenile Coho salmon density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s,t</m:t>
            </m:r>
          </m:sub>
        </m:sSub>
        <m:r>
          <w:rPr>
            <w:rFonts w:ascii="Cambria Math" w:eastAsiaTheme="minorEastAsia" w:hAnsi="Cambria Math"/>
          </w:rPr>
          <m:t xml:space="preserve">) </m:t>
        </m:r>
      </m:oMath>
      <w:r>
        <w:rPr>
          <w:rFonts w:eastAsiaTheme="minorEastAsia"/>
        </w:rPr>
        <w:t>follow a Tweedie distribution</w:t>
      </w:r>
    </w:p>
    <w:p w:rsidR="00E11FD1" w:rsidRPr="002C397F" w:rsidRDefault="00533FB3" w:rsidP="00A47EAD">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eastAsiaTheme="minorEastAsia" w:hAnsi="Cambria Math"/>
            </w:rPr>
            <m:t>~Tweedie</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s,t</m:t>
                          </m:r>
                        </m:sub>
                      </m:sSub>
                    </m:e>
                  </m:d>
                </m:e>
              </m:func>
              <m:r>
                <w:rPr>
                  <w:rFonts w:ascii="Cambria Math" w:eastAsiaTheme="minorEastAsia" w:hAnsi="Cambria Math"/>
                </w:rPr>
                <m:t>,p,ϕ</m:t>
              </m:r>
            </m:e>
          </m:d>
          <m:r>
            <w:rPr>
              <w:rFonts w:ascii="Cambria Math" w:eastAsiaTheme="minorEastAsia" w:hAnsi="Cambria Math"/>
            </w:rPr>
            <m:t>, 1&lt;p&lt;2</m:t>
          </m:r>
        </m:oMath>
      </m:oMathPara>
    </w:p>
    <w:p w:rsidR="002B011B" w:rsidRDefault="002B011B" w:rsidP="00A47EAD">
      <w:pPr>
        <w:rPr>
          <w:rFonts w:eastAsiaTheme="minorEastAsia"/>
        </w:rPr>
      </w:pPr>
      <w:proofErr w:type="gramStart"/>
      <w:r>
        <w:rPr>
          <w:rFonts w:eastAsiaTheme="minorEastAsia"/>
        </w:rPr>
        <w:t>where</w:t>
      </w:r>
      <w:proofErr w:type="gramEnd"/>
      <w:r>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s,t</m:t>
                    </m:r>
                  </m:sub>
                </m:sSub>
              </m:e>
            </m:d>
          </m:e>
        </m:func>
      </m:oMath>
      <w:r>
        <w:rPr>
          <w:rFonts w:eastAsiaTheme="minorEastAsia"/>
        </w:rPr>
        <w:t xml:space="preserve"> is the expected density, </w:t>
      </w:r>
      <m:oMath>
        <m:r>
          <w:rPr>
            <w:rFonts w:ascii="Cambria Math" w:eastAsiaTheme="minorEastAsia" w:hAnsi="Cambria Math"/>
          </w:rPr>
          <m:t>p</m:t>
        </m:r>
      </m:oMath>
      <w:r>
        <w:rPr>
          <w:rFonts w:eastAsiaTheme="minorEastAsia"/>
        </w:rPr>
        <w:t xml:space="preserve"> is a power parameter, and </w:t>
      </w:r>
      <m:oMath>
        <m:r>
          <w:rPr>
            <w:rFonts w:ascii="Cambria Math" w:eastAsiaTheme="minorEastAsia" w:hAnsi="Cambria Math"/>
          </w:rPr>
          <m:t>ϕ</m:t>
        </m:r>
      </m:oMath>
      <w:r>
        <w:rPr>
          <w:rFonts w:eastAsiaTheme="minorEastAsia"/>
        </w:rPr>
        <w:t xml:space="preserve"> is an over-dispersion parameter. For the temporal, spatial and spatiotemporal random effects of the model we assume a multivariate normal distribution,</w:t>
      </w:r>
    </w:p>
    <w:p w:rsidR="002B011B" w:rsidRDefault="00921850" w:rsidP="00A47EAD">
      <w:pPr>
        <w:rPr>
          <w:rFonts w:eastAsiaTheme="minorEastAsia"/>
        </w:rPr>
      </w:pPr>
      <m:oMathPara>
        <m:oMath>
          <m:r>
            <m:rPr>
              <m:sty m:val="b"/>
            </m:rPr>
            <w:rPr>
              <w:rFonts w:ascii="Cambria Math" w:eastAsiaTheme="minorEastAsia" w:hAnsi="Cambria Math"/>
            </w:rPr>
            <m:t>v</m:t>
          </m:r>
          <m:r>
            <w:rPr>
              <w:rFonts w:ascii="Cambria Math" w:eastAsiaTheme="minorEastAsia" w:hAnsi="Cambria Math"/>
            </w:rPr>
            <m:t>∼MVN(0,</m:t>
          </m:r>
          <m:sSub>
            <m:sSubPr>
              <m:ctrlPr>
                <w:rPr>
                  <w:rFonts w:ascii="Cambria Math" w:eastAsiaTheme="minorEastAsia" w:hAnsi="Cambria Math"/>
                  <w:i/>
                </w:rPr>
              </m:ctrlPr>
            </m:sSubPr>
            <m:e>
              <m:r>
                <m:rPr>
                  <m:sty m:val="b"/>
                </m:rPr>
                <w:rPr>
                  <w:rFonts w:ascii="Cambria Math" w:eastAsiaTheme="minorEastAsia" w:hAnsi="Cambria Math"/>
                </w:rPr>
                <m:t>Σ</m:t>
              </m:r>
            </m:e>
            <m:sub>
              <m:r>
                <w:rPr>
                  <w:rFonts w:ascii="Cambria Math" w:eastAsiaTheme="minorEastAsia" w:hAnsi="Cambria Math"/>
                </w:rPr>
                <m:t>v</m:t>
              </m:r>
            </m:sub>
          </m:sSub>
          <m:r>
            <w:rPr>
              <w:rFonts w:ascii="Cambria Math" w:eastAsiaTheme="minorEastAsia" w:hAnsi="Cambria Math"/>
            </w:rPr>
            <m:t>)</m:t>
          </m:r>
        </m:oMath>
      </m:oMathPara>
    </w:p>
    <w:p w:rsidR="002B011B" w:rsidRDefault="00921850" w:rsidP="002B011B">
      <w:pPr>
        <w:rPr>
          <w:rFonts w:eastAsiaTheme="minorEastAsia"/>
        </w:rPr>
      </w:pPr>
      <m:oMathPara>
        <m:oMath>
          <m:r>
            <m:rPr>
              <m:sty m:val="b"/>
            </m:rPr>
            <w:rPr>
              <w:rFonts w:ascii="Cambria Math" w:eastAsiaTheme="minorEastAsia" w:hAnsi="Cambria Math"/>
            </w:rPr>
            <m:t>w</m:t>
          </m:r>
          <m:r>
            <w:rPr>
              <w:rFonts w:ascii="Cambria Math" w:eastAsiaTheme="minorEastAsia" w:hAnsi="Cambria Math"/>
            </w:rPr>
            <m:t>∼MVN(0,</m:t>
          </m:r>
          <m:sSub>
            <m:sSubPr>
              <m:ctrlPr>
                <w:rPr>
                  <w:rFonts w:ascii="Cambria Math" w:eastAsiaTheme="minorEastAsia" w:hAnsi="Cambria Math"/>
                  <w:i/>
                </w:rPr>
              </m:ctrlPr>
            </m:sSubPr>
            <m:e>
              <m:r>
                <m:rPr>
                  <m:sty m:val="b"/>
                </m:rPr>
                <w:rPr>
                  <w:rFonts w:ascii="Cambria Math" w:eastAsiaTheme="minorEastAsia" w:hAnsi="Cambria Math"/>
                </w:rPr>
                <m:t>Σ</m:t>
              </m:r>
            </m:e>
            <m:sub>
              <m:r>
                <w:rPr>
                  <w:rFonts w:ascii="Cambria Math" w:eastAsiaTheme="minorEastAsia" w:hAnsi="Cambria Math"/>
                </w:rPr>
                <m:t>w</m:t>
              </m:r>
            </m:sub>
          </m:sSub>
          <m:r>
            <w:rPr>
              <w:rFonts w:ascii="Cambria Math" w:eastAsiaTheme="minorEastAsia" w:hAnsi="Cambria Math"/>
            </w:rPr>
            <m:t>)</m:t>
          </m:r>
        </m:oMath>
      </m:oMathPara>
    </w:p>
    <w:p w:rsidR="002B011B" w:rsidRPr="00B74178" w:rsidRDefault="00921850" w:rsidP="002B011B">
      <w:pPr>
        <w:rPr>
          <w:rFonts w:eastAsiaTheme="minorEastAsia"/>
        </w:rPr>
      </w:pPr>
      <m:oMathPara>
        <m:oMath>
          <m:r>
            <m:rPr>
              <m:sty m:val="b"/>
            </m:rPr>
            <w:rPr>
              <w:rFonts w:ascii="Cambria Math" w:eastAsiaTheme="minorEastAsia" w:hAnsi="Cambria Math"/>
            </w:rPr>
            <m:t>ε</m:t>
          </m:r>
          <m:r>
            <w:rPr>
              <w:rFonts w:ascii="Cambria Math" w:eastAsiaTheme="minorEastAsia" w:hAnsi="Cambria Math"/>
            </w:rPr>
            <m:t>∼MVN(0,</m:t>
          </m:r>
          <m:sSub>
            <m:sSubPr>
              <m:ctrlPr>
                <w:rPr>
                  <w:rFonts w:ascii="Cambria Math" w:eastAsiaTheme="minorEastAsia" w:hAnsi="Cambria Math"/>
                  <w:i/>
                </w:rPr>
              </m:ctrlPr>
            </m:sSubPr>
            <m:e>
              <m:r>
                <m:rPr>
                  <m:sty m:val="b"/>
                </m:rPr>
                <w:rPr>
                  <w:rFonts w:ascii="Cambria Math" w:eastAsiaTheme="minorEastAsia" w:hAnsi="Cambria Math"/>
                </w:rPr>
                <m:t>Σ</m:t>
              </m:r>
            </m:e>
            <m:sub>
              <m:r>
                <w:rPr>
                  <w:rFonts w:ascii="Cambria Math" w:eastAsiaTheme="minorEastAsia" w:hAnsi="Cambria Math"/>
                </w:rPr>
                <m:t>ε</m:t>
              </m:r>
            </m:sub>
          </m:sSub>
          <m:r>
            <w:rPr>
              <w:rFonts w:ascii="Cambria Math" w:eastAsiaTheme="minorEastAsia" w:hAnsi="Cambria Math"/>
            </w:rPr>
            <m:t>)</m:t>
          </m:r>
        </m:oMath>
      </m:oMathPara>
    </w:p>
    <w:p w:rsidR="00921850" w:rsidRDefault="00F2572C" w:rsidP="00B74178">
      <w:r>
        <w:t xml:space="preserve">Elements of the </w:t>
      </w:r>
      <w:r w:rsidR="00B74178">
        <w:t xml:space="preserve">spatial covariance </w:t>
      </w:r>
      <w:r>
        <w:t xml:space="preserve">are described by the </w:t>
      </w:r>
      <w:r w:rsidR="00921850">
        <w:t xml:space="preserve">distance </w:t>
      </w:r>
      <w:r>
        <w:t>between locations,</w:t>
      </w:r>
      <w:r>
        <w:rPr>
          <w:b/>
        </w:rPr>
        <w:t xml:space="preserve"> </w:t>
      </w:r>
      <w:r>
        <w:t xml:space="preserve">a decay </w:t>
      </w:r>
      <w:proofErr w:type="gramStart"/>
      <w:r>
        <w:t>parameter</w:t>
      </w:r>
      <w:r w:rsidR="00921850">
        <w:t xml:space="preserve"> </w:t>
      </w:r>
      <w:proofErr w:type="gramEnd"/>
      <m:oMath>
        <m:r>
          <w:rPr>
            <w:rFonts w:ascii="Cambria Math" w:hAnsi="Cambria Math"/>
          </w:rPr>
          <m:t>λ</m:t>
        </m:r>
      </m:oMath>
      <w:r w:rsidR="00921850">
        <w:rPr>
          <w:rFonts w:eastAsiaTheme="minorEastAsia"/>
        </w:rPr>
        <w:t xml:space="preserve">, and a variance parameter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v</m:t>
            </m:r>
          </m:sub>
          <m:sup>
            <m:r>
              <w:rPr>
                <w:rFonts w:ascii="Cambria Math" w:eastAsiaTheme="minorEastAsia" w:hAnsi="Cambria Math"/>
              </w:rPr>
              <m:t>2</m:t>
            </m:r>
          </m:sup>
        </m:sSubSup>
      </m:oMath>
      <w:r w:rsidR="00921850">
        <w:rPr>
          <w:rFonts w:eastAsiaTheme="minorEastAsia"/>
        </w:rPr>
        <w:t>,</w:t>
      </w:r>
    </w:p>
    <w:p w:rsidR="00B74178" w:rsidRPr="00921850" w:rsidRDefault="00533FB3" w:rsidP="00921850">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v</m:t>
              </m:r>
            </m:sub>
            <m:sup>
              <m:r>
                <w:rPr>
                  <w:rFonts w:ascii="Cambria Math" w:eastAsiaTheme="minorEastAsia" w:hAnsi="Cambria Math"/>
                </w:rPr>
                <m:t>2</m:t>
              </m:r>
            </m:sup>
          </m:sSubSup>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e>
                      </m:d>
                    </m:num>
                    <m:den>
                      <m:sSup>
                        <m:sSupPr>
                          <m:ctrlPr>
                            <w:rPr>
                              <w:rFonts w:ascii="Cambria Math" w:eastAsiaTheme="minorEastAsia" w:hAnsi="Cambria Math"/>
                              <w:i/>
                            </w:rPr>
                          </m:ctrlPr>
                        </m:sSupPr>
                        <m:e>
                          <m:r>
                            <w:rPr>
                              <w:rFonts w:ascii="Cambria Math" w:eastAsiaTheme="minorEastAsia" w:hAnsi="Cambria Math"/>
                            </w:rPr>
                            <m:t>2λ</m:t>
                          </m:r>
                        </m:e>
                        <m:sup>
                          <m:r>
                            <w:rPr>
                              <w:rFonts w:ascii="Cambria Math" w:eastAsiaTheme="minorEastAsia" w:hAnsi="Cambria Math"/>
                            </w:rPr>
                            <m:t>2</m:t>
                          </m:r>
                        </m:sup>
                      </m:sSup>
                    </m:den>
                  </m:f>
                </m:e>
              </m:d>
              <m:r>
                <w:rPr>
                  <w:rFonts w:ascii="Cambria Math" w:eastAsiaTheme="minorEastAsia" w:hAnsi="Cambria Math"/>
                </w:rPr>
                <m:t xml:space="preserve"> </m:t>
              </m:r>
            </m:e>
          </m:func>
        </m:oMath>
      </m:oMathPara>
    </w:p>
    <w:p w:rsidR="00921850" w:rsidRDefault="00DF082B" w:rsidP="00921850">
      <w:pPr>
        <w:rPr>
          <w:rFonts w:eastAsiaTheme="minorEastAsia"/>
        </w:rPr>
      </w:pPr>
      <w:r>
        <w:rPr>
          <w:rFonts w:eastAsiaTheme="minorEastAsia"/>
        </w:rPr>
        <w:t>While, the elements</w:t>
      </w:r>
      <w:r w:rsidR="00F2572C">
        <w:rPr>
          <w:rFonts w:eastAsiaTheme="minorEastAsia"/>
        </w:rPr>
        <w:t xml:space="preserve"> of the temporal covariance are the time between years, a correlation </w:t>
      </w:r>
      <w:proofErr w:type="gramStart"/>
      <w:r w:rsidR="00F2572C">
        <w:rPr>
          <w:rFonts w:eastAsiaTheme="minorEastAsia"/>
        </w:rPr>
        <w:t xml:space="preserve">parameter </w:t>
      </w:r>
      <w:proofErr w:type="gramEnd"/>
      <m:oMath>
        <m:r>
          <w:rPr>
            <w:rFonts w:ascii="Cambria Math" w:eastAsiaTheme="minorEastAsia" w:hAnsi="Cambria Math"/>
          </w:rPr>
          <m:t>ϕ</m:t>
        </m:r>
      </m:oMath>
      <w:r w:rsidR="00F2572C">
        <w:rPr>
          <w:rFonts w:eastAsiaTheme="minorEastAsia"/>
        </w:rPr>
        <w:t xml:space="preserve">, and a variance parameter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oMath>
      <w:r w:rsidR="00F2572C">
        <w:rPr>
          <w:rFonts w:eastAsiaTheme="minorEastAsia"/>
        </w:rPr>
        <w:t>,</w:t>
      </w:r>
    </w:p>
    <w:p w:rsidR="00F2572C" w:rsidRPr="00DF082B" w:rsidRDefault="00533FB3" w:rsidP="0092185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w</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ϕ</m:t>
                  </m:r>
                </m:e>
                <m: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sup>
              </m:sSup>
            </m:fName>
            <m:e>
              <m:r>
                <w:rPr>
                  <w:rFonts w:ascii="Cambria Math" w:eastAsiaTheme="minorEastAsia" w:hAnsi="Cambria Math"/>
                </w:rPr>
                <m:t xml:space="preserve"> </m:t>
              </m:r>
            </m:e>
          </m:func>
        </m:oMath>
      </m:oMathPara>
    </w:p>
    <w:p w:rsidR="00DF082B" w:rsidRDefault="00682952" w:rsidP="00921850">
      <w:pPr>
        <w:rPr>
          <w:i/>
        </w:rPr>
      </w:pPr>
      <w:r>
        <w:rPr>
          <w:i/>
        </w:rPr>
        <w:t>Mapping spatial observations to a spatial grid</w:t>
      </w:r>
    </w:p>
    <w:p w:rsidR="000C3E8E" w:rsidRDefault="00682952" w:rsidP="00921850">
      <w:r>
        <w:tab/>
        <w:t xml:space="preserve">For our analysis we use Euclidean distances to estimate the spatial covariance. Other authors have shown that stream distances can provide less biased estimates of the spatial processes in stream networks (Hocking et al. 2018, </w:t>
      </w:r>
      <w:proofErr w:type="spellStart"/>
      <w:r>
        <w:t>VerHoof</w:t>
      </w:r>
      <w:proofErr w:type="spellEnd"/>
      <w:r>
        <w:t xml:space="preserve"> or Petersen articles), </w:t>
      </w:r>
      <w:r w:rsidR="000C3E8E">
        <w:t xml:space="preserve">and have provided efficient procedures for estimating the fixed and random effects in mixed-effects spatiotemporal models; however, </w:t>
      </w:r>
      <w:r>
        <w:t xml:space="preserve">creating the stream distances from GIS </w:t>
      </w:r>
      <w:proofErr w:type="spellStart"/>
      <w:r>
        <w:t>shapefiles</w:t>
      </w:r>
      <w:proofErr w:type="spellEnd"/>
      <w:r>
        <w:t xml:space="preserve"> of stream networks remains a considerable hurdle for the available R packages (e.g., VAST or SSN). For our analysis, we used </w:t>
      </w:r>
      <w:r w:rsidR="000C3E8E">
        <w:t xml:space="preserve">the </w:t>
      </w:r>
      <w:proofErr w:type="spellStart"/>
      <w:r>
        <w:t>glmmTMB</w:t>
      </w:r>
      <w:proofErr w:type="spellEnd"/>
      <w:r>
        <w:t xml:space="preserve"> </w:t>
      </w:r>
      <w:r>
        <w:fldChar w:fldCharType="begin"/>
      </w:r>
      <w:r>
        <w:instrText xml:space="preserve"> ADDIN ZOTERO_ITEM CSL_CITATION {"citationID":"Zr2MQdG4","properties":{"formattedCitation":"(Brooks et al., 2017)","plainCitation":"(Brooks et al., 2017)","noteIndex":0},"citationItems":[{"id":527,"uris":["http://zotero.org/users/local/sALjQm7t/items/WHVXMHZV"],"itemData":{"id":527,"type":"article-journal","container-title":"The R journal","issue":"2","note":"publisher: Technische Universitaet Wien","page":"378–400","source":"Google Scholar","title":"glmmTMB balances speed and flexibility among packages for zero-inflated generalized linear mixed modeling","volume":"9","author":[{"family":"Brooks","given":"Mollie E."},{"family":"Kristensen","given":"Kasper"},{"family":"Van Benthem","given":"Koen J."},{"family":"Magnusson","given":"Arni"},{"family":"Berg","given":"Casper W."},{"family":"Nielsen","given":"Anders"},{"family":"Skaug","given":"Hans J."},{"family":"Machler","given":"Martin"},{"family":"Bolker","given":"Benjamin M."}],"issued":{"date-parts":[["2017"]]}}}],"schema":"https://github.com/citation-style-language/schema/raw/master/csl-citation.json"} </w:instrText>
      </w:r>
      <w:r>
        <w:fldChar w:fldCharType="separate"/>
      </w:r>
      <w:r w:rsidRPr="00682952">
        <w:rPr>
          <w:rFonts w:cs="Times New Roman"/>
        </w:rPr>
        <w:t>(Brooks et al., 2017)</w:t>
      </w:r>
      <w:r>
        <w:fldChar w:fldCharType="end"/>
      </w:r>
      <w:r>
        <w:t xml:space="preserve"> </w:t>
      </w:r>
      <w:r w:rsidR="000C3E8E">
        <w:t xml:space="preserve">and </w:t>
      </w:r>
      <w:proofErr w:type="spellStart"/>
      <w:r w:rsidR="000C3E8E">
        <w:t>sdmTMB</w:t>
      </w:r>
      <w:proofErr w:type="spellEnd"/>
      <w:r w:rsidR="000C3E8E">
        <w:t xml:space="preserve"> </w:t>
      </w:r>
      <w:r w:rsidR="00C444B4">
        <w:fldChar w:fldCharType="begin"/>
      </w:r>
      <w:r w:rsidR="00C444B4">
        <w:instrText xml:space="preserve"> ADDIN ZOTERO_ITEM CSL_CITATION {"citationID":"9S9uLTIj","properties":{"formattedCitation":"(Anderson et al., 2022; Barnett et al., 2021)","plainCitation":"(Anderson et al., 2022; Barnett et al., 2021)","noteIndex":0},"citationItems":[{"id":530,"uris":["http://zotero.org/users/local/sALjQm7t/items/M6BS79XC"],"itemData":{"id":530,"type":"article-journal","container-title":"bioRxiv","note":"publisher: Cold Spring Harbor Laboratory","source":"Google Scholar","title":"sdmTMB: an R package for fast, flexible, and user-friendly generalized linear mixed effects models with spatial and spatiotemporal random fields","title-short":"sdmTMB","author":[{"family":"Anderson","given":"Sean C."},{"family":"Ward","given":"Eric J."},{"family":"English","given":"Philina A."},{"family":"Barnett","given":"Lewis AK"}],"issued":{"date-parts":[["2022"]]}}},{"id":532,"uris":["http://zotero.org/users/local/sALjQm7t/items/PKGRDYFW"],"itemData":{"id":532,"type":"article-journal","container-title":"Ecography","issue":"3","note":"publisher: Wiley Online Library","page":"427–439","source":"Google Scholar","title":"Improving estimates of species distribution change by incorporating local trends","volume":"44","author":[{"family":"Barnett","given":"Lewis AK"},{"family":"Ward","given":"Eric J."},{"family":"Anderson","given":"Sean C."}],"issued":{"date-parts":[["2021"]]}}}],"schema":"https://github.com/citation-style-language/schema/raw/master/csl-citation.json"} </w:instrText>
      </w:r>
      <w:r w:rsidR="00C444B4">
        <w:fldChar w:fldCharType="separate"/>
      </w:r>
      <w:r w:rsidR="00C444B4" w:rsidRPr="00C444B4">
        <w:rPr>
          <w:rFonts w:cs="Times New Roman"/>
        </w:rPr>
        <w:t>(Anderson et al., 2022; Barnett et al., 2021)</w:t>
      </w:r>
      <w:r w:rsidR="00C444B4">
        <w:fldChar w:fldCharType="end"/>
      </w:r>
      <w:r w:rsidR="00C444B4">
        <w:t xml:space="preserve"> </w:t>
      </w:r>
      <w:r>
        <w:t>package</w:t>
      </w:r>
      <w:r w:rsidR="000C3E8E">
        <w:t>s</w:t>
      </w:r>
      <w:r>
        <w:t xml:space="preserve"> in R to estimate the fixed effects and random effects of the </w:t>
      </w:r>
      <w:r w:rsidR="000C3E8E">
        <w:t xml:space="preserve">spatiotemporal mixed-effects </w:t>
      </w:r>
      <w:r>
        <w:t>model</w:t>
      </w:r>
      <w:r w:rsidR="000C3E8E">
        <w:t>s</w:t>
      </w:r>
      <w:r>
        <w:t>.</w:t>
      </w:r>
    </w:p>
    <w:p w:rsidR="000C3E8E" w:rsidRPr="00682952" w:rsidRDefault="000C3E8E" w:rsidP="00921850">
      <w:r>
        <w:tab/>
        <w:t xml:space="preserve">For our analysis, there are over 1,400 unique spatial locations and estimating the covariance matrix of that size failed to converge. The method for reducing the size of the spatial covariance </w:t>
      </w:r>
      <w:r w:rsidR="00C444B4">
        <w:t xml:space="preserve">differs between the two packages. The </w:t>
      </w:r>
      <w:proofErr w:type="spellStart"/>
      <w:r w:rsidR="00C444B4">
        <w:t>sdmTMB</w:t>
      </w:r>
      <w:proofErr w:type="spellEnd"/>
      <w:r w:rsidR="00C444B4">
        <w:t xml:space="preserve"> package uses the INLA package to create a “mesh” over the spatial domain and then assign spatial observations to cells within the mesh. The package </w:t>
      </w:r>
      <w:proofErr w:type="spellStart"/>
      <w:r w:rsidR="00C444B4">
        <w:t>glmmTMB</w:t>
      </w:r>
      <w:proofErr w:type="spellEnd"/>
      <w:r w:rsidR="00C444B4">
        <w:t xml:space="preserve"> </w:t>
      </w:r>
    </w:p>
    <w:p w:rsidR="00CD3460" w:rsidRDefault="00CD3460" w:rsidP="00CD3460">
      <w:pPr>
        <w:pStyle w:val="Heading2"/>
        <w:rPr>
          <w:rFonts w:eastAsiaTheme="minorEastAsia"/>
        </w:rPr>
      </w:pPr>
      <w:r>
        <w:rPr>
          <w:rFonts w:eastAsiaTheme="minorEastAsia"/>
        </w:rPr>
        <w:t>Parametric estimation</w:t>
      </w:r>
    </w:p>
    <w:p w:rsidR="00CD3460" w:rsidRPr="00CD3460" w:rsidRDefault="00CD3460" w:rsidP="00CD3460">
      <w:r>
        <w:tab/>
      </w:r>
      <w:r w:rsidR="00682952">
        <w:t xml:space="preserve">We used a generalized likelihood to describe </w:t>
      </w:r>
    </w:p>
    <w:p w:rsidR="00CD3460" w:rsidRDefault="00CD3460" w:rsidP="00CD3460">
      <w:pPr>
        <w:pStyle w:val="Heading2"/>
        <w:rPr>
          <w:rFonts w:eastAsiaTheme="minorEastAsia"/>
        </w:rPr>
      </w:pPr>
      <w:r>
        <w:rPr>
          <w:rFonts w:eastAsiaTheme="minorEastAsia"/>
        </w:rPr>
        <w:t>Non-</w:t>
      </w:r>
      <w:proofErr w:type="spellStart"/>
      <w:r>
        <w:rPr>
          <w:rFonts w:eastAsiaTheme="minorEastAsia"/>
        </w:rPr>
        <w:t>parameteric</w:t>
      </w:r>
      <w:proofErr w:type="spellEnd"/>
      <w:r>
        <w:rPr>
          <w:rFonts w:eastAsiaTheme="minorEastAsia"/>
        </w:rPr>
        <w:t xml:space="preserve"> models</w:t>
      </w:r>
    </w:p>
    <w:p w:rsidR="00B74178" w:rsidRDefault="00B74178" w:rsidP="00B74178">
      <w:pPr>
        <w:pStyle w:val="Heading2"/>
        <w:rPr>
          <w:rFonts w:eastAsiaTheme="minorEastAsia"/>
        </w:rPr>
      </w:pPr>
      <w:r>
        <w:rPr>
          <w:rFonts w:eastAsiaTheme="minorEastAsia"/>
        </w:rPr>
        <w:t>Non-</w:t>
      </w:r>
      <w:proofErr w:type="spellStart"/>
      <w:r>
        <w:rPr>
          <w:rFonts w:eastAsiaTheme="minorEastAsia"/>
        </w:rPr>
        <w:t>parameteric</w:t>
      </w:r>
      <w:proofErr w:type="spellEnd"/>
      <w:r>
        <w:rPr>
          <w:rFonts w:eastAsiaTheme="minorEastAsia"/>
        </w:rPr>
        <w:t xml:space="preserve"> estimation</w:t>
      </w:r>
    </w:p>
    <w:p w:rsidR="00CD3460" w:rsidRPr="00CD3460" w:rsidRDefault="00CD3460" w:rsidP="00CD3460">
      <w:r>
        <w:t>In addition</w:t>
      </w:r>
    </w:p>
    <w:p w:rsidR="001D7A20" w:rsidRDefault="001D7A20" w:rsidP="001D7A20">
      <w:pPr>
        <w:pStyle w:val="Heading1"/>
        <w:rPr>
          <w:rFonts w:eastAsiaTheme="minorEastAsia"/>
        </w:rPr>
      </w:pPr>
      <w:r>
        <w:rPr>
          <w:rFonts w:eastAsiaTheme="minorEastAsia"/>
        </w:rPr>
        <w:lastRenderedPageBreak/>
        <w:t>Results</w:t>
      </w:r>
    </w:p>
    <w:p w:rsidR="003C1628" w:rsidRPr="00814C37" w:rsidRDefault="00814C37" w:rsidP="00A47EAD">
      <w:pPr>
        <w:rPr>
          <w:i/>
        </w:rPr>
      </w:pPr>
      <w:r w:rsidRPr="00814C37">
        <w:rPr>
          <w:i/>
        </w:rPr>
        <w:t>Exploratory models</w:t>
      </w:r>
    </w:p>
    <w:p w:rsidR="00377153" w:rsidRDefault="00BF1BFF" w:rsidP="00D07211">
      <w:r>
        <w:t xml:space="preserve">Through exploration of multiple modeling structures for the entire data set, we found that models for juvenile and adult densities with spatiotemporal processes provided the lowest root mean-square-error for the random forest </w:t>
      </w:r>
      <w:r>
        <w:t>(</w:t>
      </w:r>
      <w:proofErr w:type="spellStart"/>
      <w:r>
        <w:t>RMSE</w:t>
      </w:r>
      <w:r>
        <w:rPr>
          <w:vertAlign w:val="subscript"/>
        </w:rPr>
        <w:t>adult</w:t>
      </w:r>
      <w:proofErr w:type="spellEnd"/>
      <w:r>
        <w:t xml:space="preserve"> =, </w:t>
      </w:r>
      <w:proofErr w:type="spellStart"/>
      <w:r>
        <w:t>RMSE</w:t>
      </w:r>
      <w:r>
        <w:rPr>
          <w:vertAlign w:val="subscript"/>
        </w:rPr>
        <w:t>juvenile</w:t>
      </w:r>
      <w:proofErr w:type="spellEnd"/>
      <w:r>
        <w:rPr>
          <w:vertAlign w:val="subscript"/>
        </w:rPr>
        <w:t xml:space="preserve"> </w:t>
      </w:r>
      <w:r>
        <w:t>= )</w:t>
      </w:r>
      <w:r>
        <w:t>, GAM (</w:t>
      </w:r>
      <w:proofErr w:type="spellStart"/>
      <w:r>
        <w:t>RMSE</w:t>
      </w:r>
      <w:r>
        <w:rPr>
          <w:vertAlign w:val="subscript"/>
        </w:rPr>
        <w:t>adult</w:t>
      </w:r>
      <w:proofErr w:type="spellEnd"/>
      <w:r>
        <w:t xml:space="preserve"> =, </w:t>
      </w:r>
      <w:proofErr w:type="spellStart"/>
      <w:r>
        <w:t>RMSE</w:t>
      </w:r>
      <w:r>
        <w:rPr>
          <w:vertAlign w:val="subscript"/>
        </w:rPr>
        <w:t>juvenile</w:t>
      </w:r>
      <w:proofErr w:type="spellEnd"/>
      <w:r>
        <w:rPr>
          <w:vertAlign w:val="subscript"/>
        </w:rPr>
        <w:t xml:space="preserve"> </w:t>
      </w:r>
      <w:r>
        <w:t xml:space="preserve">= ),  and GLMM </w:t>
      </w:r>
      <w:r>
        <w:t>(</w:t>
      </w:r>
      <w:proofErr w:type="spellStart"/>
      <w:r>
        <w:t>RMSE</w:t>
      </w:r>
      <w:r>
        <w:rPr>
          <w:vertAlign w:val="subscript"/>
        </w:rPr>
        <w:t>adult</w:t>
      </w:r>
      <w:proofErr w:type="spellEnd"/>
      <w:r>
        <w:t xml:space="preserve"> =, </w:t>
      </w:r>
      <w:proofErr w:type="spellStart"/>
      <w:r>
        <w:t>RMSE</w:t>
      </w:r>
      <w:r>
        <w:rPr>
          <w:vertAlign w:val="subscript"/>
        </w:rPr>
        <w:t>juvenile</w:t>
      </w:r>
      <w:proofErr w:type="spellEnd"/>
      <w:r>
        <w:rPr>
          <w:vertAlign w:val="subscript"/>
        </w:rPr>
        <w:t xml:space="preserve"> </w:t>
      </w:r>
      <w:r>
        <w:t>= )</w:t>
      </w:r>
      <w:r>
        <w:t xml:space="preserve"> estimation routines (Fig. x</w:t>
      </w:r>
      <w:r w:rsidR="00377153">
        <w:t xml:space="preserve">; </w:t>
      </w:r>
      <w:fldSimple w:instr=" REF _Ref106284357 ">
        <w:r w:rsidR="00377153">
          <w:t xml:space="preserve">Table S </w:t>
        </w:r>
        <w:r w:rsidR="00377153">
          <w:rPr>
            <w:noProof/>
          </w:rPr>
          <w:t>1</w:t>
        </w:r>
      </w:fldSimple>
      <w:fldSimple w:instr=" REF _Ref106284362 ">
        <w:r w:rsidR="00377153">
          <w:t xml:space="preserve">, Table S </w:t>
        </w:r>
        <w:r w:rsidR="00377153">
          <w:rPr>
            <w:noProof/>
          </w:rPr>
          <w:t>2</w:t>
        </w:r>
      </w:fldSimple>
      <w:fldSimple w:instr=" REF _Ref106284365 ">
        <w:r w:rsidR="00377153">
          <w:t xml:space="preserve">, Table S </w:t>
        </w:r>
        <w:r w:rsidR="00377153">
          <w:rPr>
            <w:noProof/>
          </w:rPr>
          <w:t>3</w:t>
        </w:r>
      </w:fldSimple>
      <w:r>
        <w:t xml:space="preserve">). </w:t>
      </w:r>
      <w:r w:rsidR="00377153">
        <w:t xml:space="preserve">Visually examining just the 1998 and 2019, each of the models </w:t>
      </w:r>
    </w:p>
    <w:p w:rsidR="00BF1BFF" w:rsidRDefault="00BF1BFF" w:rsidP="00D07211">
      <w:r>
        <w:t>Comparing predictive ability of the models for zero, one and two years into the future, based on the RMSE for 2015 to 2019, the random forest model, again, provided the highest predictive ability for zero years into the future; however, the predictive ability of the random forest model was much smaller for one and two years into the future relative to the GAM and GLMM models (Fig. x).</w:t>
      </w:r>
    </w:p>
    <w:p w:rsidR="00814C37" w:rsidRDefault="00BF1BFF" w:rsidP="00D07211">
      <w:r>
        <w:t xml:space="preserve"> , the random forest model provide the lowest RMSE for the entire data, as </w:t>
      </w:r>
      <w:proofErr w:type="gramStart"/>
      <w:r w:rsidR="00814C37">
        <w:t>For</w:t>
      </w:r>
      <w:proofErr w:type="gramEnd"/>
      <w:r w:rsidR="00814C37">
        <w:t xml:space="preserve"> each the three estimations types, we found that models with the lowest RSME included a spatiotemporal process to describe deviations in the juvenile and adult salmon densities (Table 1). We assessing the predictive ability of the best fit models for each of the three estimation types, we found that the random forest provided the lowest RMSE (i.e., highest predictive ability) for zero, one, and two years into the future (Fig. xx)</w:t>
      </w:r>
    </w:p>
    <w:p w:rsidR="00814C37" w:rsidRDefault="00814C37" w:rsidP="00D07211"/>
    <w:p w:rsidR="00814C37" w:rsidRDefault="00814C37" w:rsidP="00D07211"/>
    <w:p w:rsidR="000B2154" w:rsidRDefault="00814C37" w:rsidP="00D07211">
      <w:r>
        <w:t xml:space="preserve"> </w:t>
      </w:r>
      <w:proofErr w:type="gramStart"/>
      <w:r>
        <w:t>model</w:t>
      </w:r>
      <w:proofErr w:type="gramEnd"/>
      <w:r>
        <w:t xml:space="preserve"> random forest model to have the lowest RMSE for the </w:t>
      </w:r>
      <w:r w:rsidR="000B2154">
        <w:br w:type="page"/>
      </w:r>
    </w:p>
    <w:p w:rsidR="000B2154" w:rsidRDefault="000B2154"/>
    <w:p w:rsidR="00AA5FAA" w:rsidRDefault="00AA5FAA"/>
    <w:p w:rsidR="00AA5FAA" w:rsidRDefault="00AA5FAA"/>
    <w:p w:rsidR="00F245C6" w:rsidRDefault="00AA5FAA" w:rsidP="00F245C6">
      <w:pPr>
        <w:pStyle w:val="Caption"/>
      </w:pPr>
      <w:bookmarkStart w:id="0" w:name="_Ref100572847"/>
      <w:r>
        <w:t xml:space="preserve">Figure </w:t>
      </w:r>
      <w:fldSimple w:instr=" SEQ Figure \* ARABIC ">
        <w:r w:rsidR="000C3A5C">
          <w:rPr>
            <w:noProof/>
          </w:rPr>
          <w:t>1</w:t>
        </w:r>
      </w:fldSimple>
      <w:bookmarkEnd w:id="0"/>
      <w:r>
        <w:t xml:space="preserve">. </w:t>
      </w:r>
      <w:r w:rsidR="008F4432">
        <w:t>Map of the watersheds and observations.</w:t>
      </w:r>
    </w:p>
    <w:p w:rsidR="000C3A5C" w:rsidRDefault="000C3A5C">
      <w:pPr>
        <w:spacing w:line="259" w:lineRule="auto"/>
      </w:pPr>
      <w:r>
        <w:br w:type="page"/>
      </w:r>
    </w:p>
    <w:p w:rsidR="000C3A5C" w:rsidRPr="000C3A5C" w:rsidRDefault="000C3A5C" w:rsidP="000C3A5C"/>
    <w:p w:rsidR="006A49F8" w:rsidRDefault="006A49F8" w:rsidP="006A49F8">
      <w:pPr>
        <w:pStyle w:val="Caption"/>
      </w:pPr>
      <w:r>
        <w:rPr>
          <w:noProof/>
        </w:rPr>
        <w:drawing>
          <wp:inline distT="0" distB="0" distL="0" distR="0">
            <wp:extent cx="3810000" cy="571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gplot_model_pred_comparison.png"/>
                    <pic:cNvPicPr/>
                  </pic:nvPicPr>
                  <pic:blipFill>
                    <a:blip r:embed="rId7">
                      <a:extLst>
                        <a:ext uri="{28A0092B-C50C-407E-A947-70E740481C1C}">
                          <a14:useLocalDpi xmlns:a14="http://schemas.microsoft.com/office/drawing/2010/main" val="0"/>
                        </a:ext>
                      </a:extLst>
                    </a:blip>
                    <a:stretch>
                      <a:fillRect/>
                    </a:stretch>
                  </pic:blipFill>
                  <pic:spPr>
                    <a:xfrm>
                      <a:off x="0" y="0"/>
                      <a:ext cx="3810000" cy="5715000"/>
                    </a:xfrm>
                    <a:prstGeom prst="rect">
                      <a:avLst/>
                    </a:prstGeom>
                  </pic:spPr>
                </pic:pic>
              </a:graphicData>
            </a:graphic>
          </wp:inline>
        </w:drawing>
      </w:r>
    </w:p>
    <w:p w:rsidR="00823040" w:rsidRDefault="006A49F8" w:rsidP="006A49F8">
      <w:pPr>
        <w:pStyle w:val="Caption"/>
      </w:pPr>
      <w:r>
        <w:t xml:space="preserve">Figure </w:t>
      </w:r>
      <w:fldSimple w:instr=" SEQ Figure \* ARABIC ">
        <w:r w:rsidR="000C3A5C">
          <w:rPr>
            <w:noProof/>
          </w:rPr>
          <w:t>2</w:t>
        </w:r>
      </w:fldSimple>
      <w:r>
        <w:t>. Correlation between observed and predicted juvenile densities between 1998 and 2019 for the GAM, GLMM and random forest models. R packages are parenthetically references in the margins.</w:t>
      </w:r>
    </w:p>
    <w:p w:rsidR="00823040" w:rsidRPr="00823040" w:rsidRDefault="006A49F8" w:rsidP="00823040">
      <w:pPr>
        <w:pStyle w:val="Caption"/>
      </w:pPr>
      <w:r>
        <w:rPr>
          <w:noProof/>
        </w:rPr>
        <w:lastRenderedPageBreak/>
        <w:drawing>
          <wp:inline distT="0" distB="0" distL="0" distR="0">
            <wp:extent cx="5715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gplot_predictive_rmse_2015_2019.png"/>
                    <pic:cNvPicPr/>
                  </pic:nvPicPr>
                  <pic:blipFill>
                    <a:blip r:embed="rId8">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r w:rsidR="00823040">
        <w:t xml:space="preserve"> </w:t>
      </w:r>
    </w:p>
    <w:p w:rsidR="006A49F8" w:rsidRDefault="006A49F8" w:rsidP="006A49F8">
      <w:pPr>
        <w:pStyle w:val="Caption"/>
      </w:pPr>
      <w:r>
        <w:t xml:space="preserve">Figure </w:t>
      </w:r>
      <w:r>
        <w:fldChar w:fldCharType="begin"/>
      </w:r>
      <w:r>
        <w:instrText xml:space="preserve"> SEQ Figure \* ARABIC </w:instrText>
      </w:r>
      <w:r>
        <w:fldChar w:fldCharType="separate"/>
      </w:r>
      <w:r w:rsidR="000C3A5C">
        <w:rPr>
          <w:noProof/>
        </w:rPr>
        <w:t>3</w:t>
      </w:r>
      <w:r>
        <w:rPr>
          <w:noProof/>
        </w:rPr>
        <w:fldChar w:fldCharType="end"/>
      </w:r>
      <w:r>
        <w:t>. Predictive ability of GAM, GLMM, and random forest models for juvenile Coho salmon densities in the Coastal Oregon evolutionary significant unit (ESU) for zero, one, and two years into the future using rot mean-square-error average for years 2015 to 2019.</w:t>
      </w:r>
    </w:p>
    <w:p w:rsidR="000C3A5C" w:rsidRDefault="000C3A5C">
      <w:pPr>
        <w:spacing w:line="259" w:lineRule="auto"/>
        <w:rPr>
          <w:iCs/>
          <w:szCs w:val="18"/>
        </w:rPr>
      </w:pPr>
      <w:r>
        <w:br w:type="page"/>
      </w:r>
    </w:p>
    <w:p w:rsidR="000C3A5C" w:rsidRDefault="000C3A5C" w:rsidP="000C3A5C">
      <w:pPr>
        <w:pStyle w:val="Caption"/>
      </w:pPr>
      <w:r>
        <w:rPr>
          <w:noProof/>
        </w:rPr>
        <w:lastRenderedPageBreak/>
        <w:drawing>
          <wp:anchor distT="0" distB="0" distL="114300" distR="114300" simplePos="0" relativeHeight="251659264" behindDoc="0" locked="0" layoutInCell="1" allowOverlap="1" wp14:anchorId="4DE5CE66" wp14:editId="042BFE71">
            <wp:simplePos x="0" y="0"/>
            <wp:positionH relativeFrom="column">
              <wp:posOffset>0</wp:posOffset>
            </wp:positionH>
            <wp:positionV relativeFrom="paragraph">
              <wp:posOffset>466725</wp:posOffset>
            </wp:positionV>
            <wp:extent cx="5943600" cy="61239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6123940"/>
                    </a:xfrm>
                    <a:prstGeom prst="rect">
                      <a:avLst/>
                    </a:prstGeom>
                  </pic:spPr>
                </pic:pic>
              </a:graphicData>
            </a:graphic>
          </wp:anchor>
        </w:drawing>
      </w:r>
    </w:p>
    <w:p w:rsidR="001D7A20" w:rsidRDefault="000C3A5C" w:rsidP="000C3A5C">
      <w:pPr>
        <w:pStyle w:val="Caption"/>
      </w:pPr>
      <w:r>
        <w:t xml:space="preserve">Figure </w:t>
      </w:r>
      <w:fldSimple w:instr=" SEQ Figure \* ARABIC ">
        <w:r>
          <w:rPr>
            <w:noProof/>
          </w:rPr>
          <w:t>4</w:t>
        </w:r>
      </w:fldSimple>
      <w:r>
        <w:t>. Marginal effects of the covariates.</w:t>
      </w:r>
    </w:p>
    <w:p w:rsidR="000C3A5C" w:rsidRDefault="000C3A5C">
      <w:pPr>
        <w:spacing w:line="259" w:lineRule="auto"/>
        <w:rPr>
          <w:iCs/>
          <w:szCs w:val="18"/>
        </w:rPr>
      </w:pPr>
      <w:r>
        <w:br w:type="page"/>
      </w:r>
    </w:p>
    <w:p w:rsidR="000C3A5C" w:rsidRDefault="00FC430E" w:rsidP="0035544A">
      <w:pPr>
        <w:pStyle w:val="Caption"/>
      </w:pPr>
      <w:r>
        <w:rPr>
          <w:noProof/>
        </w:rPr>
        <w:lastRenderedPageBreak/>
        <w:drawing>
          <wp:inline distT="0" distB="0" distL="0" distR="0">
            <wp:extent cx="59436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gplot_model_pred_spatial_comparison.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35544A" w:rsidRDefault="0035544A" w:rsidP="0035544A">
      <w:pPr>
        <w:pStyle w:val="Caption"/>
      </w:pPr>
      <w:r>
        <w:t xml:space="preserve">Figure </w:t>
      </w:r>
      <w:fldSimple w:instr=" SEQ Figure \* ARABIC ">
        <w:r w:rsidR="000C3A5C">
          <w:rPr>
            <w:noProof/>
          </w:rPr>
          <w:t>5</w:t>
        </w:r>
      </w:fldSimple>
      <w:r>
        <w:t xml:space="preserve">. Spatiotemporal predictions </w:t>
      </w:r>
      <w:r w:rsidR="00823040">
        <w:t xml:space="preserve">(model 5) </w:t>
      </w:r>
      <w:r>
        <w:t xml:space="preserve">of juvenile Coho densities across the domain for </w:t>
      </w:r>
      <w:bookmarkStart w:id="1" w:name="_GoBack"/>
      <w:bookmarkEnd w:id="1"/>
      <w:r>
        <w:t>the Oregon coastal ESU from 1998 to 2019. Dots represent the log observed positive juvenile densities superimposed on the predicted juvenile density (raster image).</w:t>
      </w:r>
    </w:p>
    <w:p w:rsidR="00E403E3" w:rsidRDefault="00E403E3">
      <w:r>
        <w:br w:type="page"/>
      </w:r>
    </w:p>
    <w:p w:rsidR="000B2154" w:rsidRDefault="000B2154" w:rsidP="00E403E3">
      <w:pPr>
        <w:sectPr w:rsidR="000B2154" w:rsidSect="00E403E3">
          <w:footerReference w:type="default" r:id="rId11"/>
          <w:pgSz w:w="12240" w:h="15840"/>
          <w:pgMar w:top="1440" w:right="1440" w:bottom="1440" w:left="1440" w:header="720" w:footer="720" w:gutter="0"/>
          <w:cols w:space="720"/>
          <w:docGrid w:linePitch="360"/>
        </w:sectPr>
      </w:pPr>
    </w:p>
    <w:p w:rsidR="00E403E3" w:rsidRDefault="00E403E3" w:rsidP="00E403E3">
      <w:pPr>
        <w:sectPr w:rsidR="00E403E3" w:rsidSect="00E403E3">
          <w:pgSz w:w="12240" w:h="15840"/>
          <w:pgMar w:top="1440" w:right="1440" w:bottom="1440" w:left="1440" w:header="720" w:footer="720" w:gutter="0"/>
          <w:cols w:space="720"/>
          <w:docGrid w:linePitch="360"/>
        </w:sectPr>
      </w:pPr>
    </w:p>
    <w:p w:rsidR="00E403E3" w:rsidRDefault="00E403E3" w:rsidP="00E403E3">
      <w:pPr>
        <w:pStyle w:val="Caption"/>
        <w:keepNext/>
      </w:pPr>
      <w:bookmarkStart w:id="2" w:name="_Ref100573752"/>
      <w:r>
        <w:lastRenderedPageBreak/>
        <w:t xml:space="preserve">Table </w:t>
      </w:r>
      <w:fldSimple w:instr=" SEQ Table \* ARABIC ">
        <w:r w:rsidR="002D5BD0">
          <w:rPr>
            <w:noProof/>
          </w:rPr>
          <w:t>1</w:t>
        </w:r>
      </w:fldSimple>
      <w:bookmarkEnd w:id="2"/>
      <w:r>
        <w:t>. Annual number of observation of juvenile Coho salmon densities for each watershed population group in the coastal Oregon ESU.</w:t>
      </w:r>
    </w:p>
    <w:tbl>
      <w:tblPr>
        <w:tblW w:w="12039" w:type="dxa"/>
        <w:tblLook w:val="04A0" w:firstRow="1" w:lastRow="0" w:firstColumn="1" w:lastColumn="0" w:noHBand="0" w:noVBand="1"/>
      </w:tblPr>
      <w:tblGrid>
        <w:gridCol w:w="1479"/>
        <w:gridCol w:w="960"/>
        <w:gridCol w:w="960"/>
        <w:gridCol w:w="960"/>
        <w:gridCol w:w="960"/>
        <w:gridCol w:w="960"/>
        <w:gridCol w:w="960"/>
        <w:gridCol w:w="960"/>
        <w:gridCol w:w="960"/>
        <w:gridCol w:w="960"/>
        <w:gridCol w:w="960"/>
        <w:gridCol w:w="960"/>
      </w:tblGrid>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Population Group</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1998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1999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2008</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Alsea</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Beaver</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Coos</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18</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Coquille</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Floras</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Lower Umpqua</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18</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MCDependent</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Middle Umpqua</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MSDependent</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NCDependent</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Necanicum</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Nehalem</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Nestucca</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North Umpqua</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Salmon</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Siletz</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Siltcoos</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Siuslaw</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19</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Sixes</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South Umpqua</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18</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Tahkenitch</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Tenmile</w:t>
            </w:r>
            <w:proofErr w:type="spellEnd"/>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Tillamook Bay</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r>
      <w:tr w:rsidR="00E403E3" w:rsidRPr="00E403E3" w:rsidTr="00E403E3">
        <w:trPr>
          <w:trHeight w:val="300"/>
        </w:trPr>
        <w:tc>
          <w:tcPr>
            <w:tcW w:w="147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Yaquina</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r>
    </w:tbl>
    <w:p w:rsidR="00E403E3" w:rsidRPr="00E403E3" w:rsidRDefault="00E403E3" w:rsidP="00E403E3"/>
    <w:tbl>
      <w:tblPr>
        <w:tblW w:w="31680" w:type="dxa"/>
        <w:tblLook w:val="04A0" w:firstRow="1" w:lastRow="0" w:firstColumn="1" w:lastColumn="0" w:noHBand="0" w:noVBand="1"/>
      </w:tblPr>
      <w:tblGrid>
        <w:gridCol w:w="12252"/>
        <w:gridCol w:w="438"/>
        <w:gridCol w:w="439"/>
        <w:gridCol w:w="439"/>
        <w:gridCol w:w="439"/>
        <w:gridCol w:w="439"/>
        <w:gridCol w:w="438"/>
        <w:gridCol w:w="438"/>
        <w:gridCol w:w="438"/>
        <w:gridCol w:w="438"/>
        <w:gridCol w:w="438"/>
        <w:gridCol w:w="438"/>
        <w:gridCol w:w="438"/>
        <w:gridCol w:w="438"/>
        <w:gridCol w:w="438"/>
        <w:gridCol w:w="438"/>
        <w:gridCol w:w="438"/>
        <w:gridCol w:w="438"/>
        <w:gridCol w:w="438"/>
        <w:gridCol w:w="2885"/>
        <w:gridCol w:w="2885"/>
        <w:gridCol w:w="2885"/>
        <w:gridCol w:w="2885"/>
      </w:tblGrid>
      <w:tr w:rsidR="00E403E3" w:rsidRPr="00E403E3" w:rsidTr="00E403E3">
        <w:trPr>
          <w:trHeight w:val="300"/>
        </w:trPr>
        <w:tc>
          <w:tcPr>
            <w:tcW w:w="12252" w:type="dxa"/>
            <w:tcBorders>
              <w:top w:val="nil"/>
              <w:left w:val="nil"/>
              <w:bottom w:val="nil"/>
              <w:right w:val="nil"/>
            </w:tcBorders>
            <w:shd w:val="clear" w:color="auto" w:fill="auto"/>
            <w:noWrap/>
            <w:vAlign w:val="bottom"/>
          </w:tcPr>
          <w:p w:rsidR="00F245C6" w:rsidRDefault="00F245C6" w:rsidP="00E403E3"/>
          <w:p w:rsidR="00E403E3" w:rsidRPr="00E403E3" w:rsidRDefault="00533FB3" w:rsidP="00E403E3">
            <w:pPr>
              <w:jc w:val="center"/>
            </w:pPr>
            <w:fldSimple w:instr=" REF _Ref100573752 ">
              <w:r w:rsidR="00E403E3">
                <w:t xml:space="preserve">Table </w:t>
              </w:r>
              <w:r w:rsidR="00E403E3">
                <w:rPr>
                  <w:noProof/>
                </w:rPr>
                <w:t>1</w:t>
              </w:r>
            </w:fldSimple>
            <w:r w:rsidR="00E403E3">
              <w:t xml:space="preserve"> – continued</w:t>
            </w: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F245C6" w:rsidRPr="00E403E3" w:rsidRDefault="00F245C6" w:rsidP="00F245C6">
            <w:pPr>
              <w:spacing w:after="0" w:line="240" w:lineRule="auto"/>
              <w:jc w:val="right"/>
              <w:rPr>
                <w:rFonts w:ascii="Calibri" w:eastAsia="Times New Roman" w:hAnsi="Calibri" w:cs="Calibri"/>
                <w:color w:val="000000"/>
                <w:sz w:val="10"/>
                <w:szCs w:val="10"/>
              </w:rPr>
            </w:pPr>
          </w:p>
        </w:tc>
      </w:tr>
      <w:tr w:rsidR="00E403E3" w:rsidRPr="00E403E3" w:rsidTr="00E403E3">
        <w:trPr>
          <w:trHeight w:val="300"/>
        </w:trPr>
        <w:tc>
          <w:tcPr>
            <w:tcW w:w="12252" w:type="dxa"/>
            <w:tcBorders>
              <w:top w:val="nil"/>
              <w:left w:val="nil"/>
              <w:bottom w:val="nil"/>
              <w:right w:val="nil"/>
            </w:tcBorders>
            <w:shd w:val="clear" w:color="auto" w:fill="auto"/>
            <w:noWrap/>
            <w:vAlign w:val="bottom"/>
          </w:tcPr>
          <w:p w:rsidR="00E403E3" w:rsidRDefault="00E403E3"/>
          <w:tbl>
            <w:tblPr>
              <w:tblW w:w="12037" w:type="dxa"/>
              <w:tblLook w:val="04A0" w:firstRow="1" w:lastRow="0" w:firstColumn="1" w:lastColumn="0" w:noHBand="0" w:noVBand="1"/>
            </w:tblPr>
            <w:tblGrid>
              <w:gridCol w:w="1477"/>
              <w:gridCol w:w="959"/>
              <w:gridCol w:w="960"/>
              <w:gridCol w:w="960"/>
              <w:gridCol w:w="960"/>
              <w:gridCol w:w="960"/>
              <w:gridCol w:w="960"/>
              <w:gridCol w:w="960"/>
              <w:gridCol w:w="960"/>
              <w:gridCol w:w="960"/>
              <w:gridCol w:w="960"/>
              <w:gridCol w:w="960"/>
            </w:tblGrid>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Population Group</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2009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2019</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Alsea</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Beaver</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Coos</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Coquille</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Floras</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Lower Umpqua</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MCDependent</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Middle Umpqua</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MSDependent</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NCDependent</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Necanicum</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Nehalem</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Nestucca</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North Umpqua</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Salmon</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Siletz</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Siltcoos</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Siuslaw</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Sixes</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South Umpqua</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14</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Tahkenitch</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proofErr w:type="spellStart"/>
                  <w:r w:rsidRPr="00E403E3">
                    <w:rPr>
                      <w:rFonts w:ascii="Calibri" w:eastAsia="Times New Roman" w:hAnsi="Calibri" w:cs="Calibri"/>
                      <w:color w:val="000000"/>
                      <w:sz w:val="18"/>
                      <w:szCs w:val="18"/>
                    </w:rPr>
                    <w:t>Tenmile</w:t>
                  </w:r>
                  <w:proofErr w:type="spellEnd"/>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0</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lastRenderedPageBreak/>
                    <w:t>Tillamook Bay</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9</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8</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12</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10</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11</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7</w:t>
                  </w:r>
                </w:p>
              </w:tc>
            </w:tr>
            <w:tr w:rsidR="00E403E3" w:rsidRPr="00E403E3" w:rsidTr="00E403E3">
              <w:trPr>
                <w:trHeight w:val="300"/>
              </w:trPr>
              <w:tc>
                <w:tcPr>
                  <w:tcW w:w="1478"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rPr>
                      <w:rFonts w:ascii="Calibri" w:eastAsia="Times New Roman" w:hAnsi="Calibri" w:cs="Calibri"/>
                      <w:color w:val="000000"/>
                      <w:sz w:val="18"/>
                      <w:szCs w:val="18"/>
                    </w:rPr>
                  </w:pPr>
                  <w:r w:rsidRPr="00E403E3">
                    <w:rPr>
                      <w:rFonts w:ascii="Calibri" w:eastAsia="Times New Roman" w:hAnsi="Calibri" w:cs="Calibri"/>
                      <w:color w:val="000000"/>
                      <w:sz w:val="18"/>
                      <w:szCs w:val="18"/>
                    </w:rPr>
                    <w:t>Yaquina</w:t>
                  </w:r>
                </w:p>
              </w:tc>
              <w:tc>
                <w:tcPr>
                  <w:tcW w:w="959"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3</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5</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4</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c>
                <w:tcPr>
                  <w:tcW w:w="960" w:type="dxa"/>
                  <w:tcBorders>
                    <w:top w:val="nil"/>
                    <w:left w:val="nil"/>
                    <w:bottom w:val="nil"/>
                    <w:right w:val="nil"/>
                  </w:tcBorders>
                  <w:shd w:val="clear" w:color="auto" w:fill="auto"/>
                  <w:noWrap/>
                  <w:vAlign w:val="bottom"/>
                  <w:hideMark/>
                </w:tcPr>
                <w:p w:rsidR="00E403E3" w:rsidRPr="00E403E3" w:rsidRDefault="00E403E3" w:rsidP="00E403E3">
                  <w:pPr>
                    <w:spacing w:after="0" w:line="240" w:lineRule="auto"/>
                    <w:jc w:val="right"/>
                    <w:rPr>
                      <w:rFonts w:ascii="Calibri" w:eastAsia="Times New Roman" w:hAnsi="Calibri" w:cs="Calibri"/>
                      <w:color w:val="000000"/>
                      <w:sz w:val="18"/>
                      <w:szCs w:val="18"/>
                    </w:rPr>
                  </w:pPr>
                  <w:r w:rsidRPr="00E403E3">
                    <w:rPr>
                      <w:rFonts w:ascii="Calibri" w:eastAsia="Times New Roman" w:hAnsi="Calibri" w:cs="Calibri"/>
                      <w:color w:val="000000"/>
                      <w:sz w:val="18"/>
                      <w:szCs w:val="18"/>
                    </w:rPr>
                    <w:t>6</w:t>
                  </w:r>
                </w:p>
              </w:tc>
            </w:tr>
          </w:tbl>
          <w:p w:rsidR="00E403E3" w:rsidRPr="00E403E3" w:rsidRDefault="00E403E3" w:rsidP="00F245C6">
            <w:pPr>
              <w:spacing w:after="0" w:line="240" w:lineRule="auto"/>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r>
      <w:tr w:rsidR="00E403E3" w:rsidRPr="00E403E3" w:rsidTr="00E403E3">
        <w:trPr>
          <w:trHeight w:val="300"/>
        </w:trPr>
        <w:tc>
          <w:tcPr>
            <w:tcW w:w="12252" w:type="dxa"/>
            <w:tcBorders>
              <w:top w:val="nil"/>
              <w:left w:val="nil"/>
              <w:bottom w:val="nil"/>
              <w:right w:val="nil"/>
            </w:tcBorders>
            <w:shd w:val="clear" w:color="auto" w:fill="auto"/>
            <w:noWrap/>
            <w:vAlign w:val="bottom"/>
          </w:tcPr>
          <w:p w:rsidR="00E403E3" w:rsidRPr="00E403E3" w:rsidRDefault="00E403E3" w:rsidP="00F245C6">
            <w:pPr>
              <w:spacing w:after="0" w:line="240" w:lineRule="auto"/>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r>
      <w:tr w:rsidR="00E403E3" w:rsidRPr="00E403E3" w:rsidTr="00E403E3">
        <w:trPr>
          <w:trHeight w:val="300"/>
        </w:trPr>
        <w:tc>
          <w:tcPr>
            <w:tcW w:w="12252" w:type="dxa"/>
            <w:tcBorders>
              <w:top w:val="nil"/>
              <w:left w:val="nil"/>
              <w:bottom w:val="nil"/>
              <w:right w:val="nil"/>
            </w:tcBorders>
            <w:shd w:val="clear" w:color="auto" w:fill="auto"/>
            <w:noWrap/>
            <w:vAlign w:val="bottom"/>
          </w:tcPr>
          <w:p w:rsidR="00E403E3" w:rsidRPr="00E403E3" w:rsidRDefault="00E403E3" w:rsidP="00F245C6">
            <w:pPr>
              <w:spacing w:after="0" w:line="240" w:lineRule="auto"/>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9"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438"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c>
          <w:tcPr>
            <w:tcW w:w="2885" w:type="dxa"/>
            <w:tcBorders>
              <w:top w:val="nil"/>
              <w:left w:val="nil"/>
              <w:bottom w:val="nil"/>
              <w:right w:val="nil"/>
            </w:tcBorders>
            <w:shd w:val="clear" w:color="auto" w:fill="auto"/>
            <w:noWrap/>
            <w:vAlign w:val="bottom"/>
          </w:tcPr>
          <w:p w:rsidR="00E403E3" w:rsidRPr="00E403E3" w:rsidRDefault="00E403E3" w:rsidP="00F245C6">
            <w:pPr>
              <w:spacing w:after="0" w:line="240" w:lineRule="auto"/>
              <w:jc w:val="right"/>
              <w:rPr>
                <w:rFonts w:ascii="Calibri" w:eastAsia="Times New Roman" w:hAnsi="Calibri" w:cs="Calibri"/>
                <w:color w:val="000000"/>
                <w:sz w:val="10"/>
                <w:szCs w:val="10"/>
              </w:rPr>
            </w:pPr>
          </w:p>
        </w:tc>
      </w:tr>
    </w:tbl>
    <w:p w:rsidR="000B2154" w:rsidRDefault="000B2154" w:rsidP="00E403E3">
      <w:pPr>
        <w:rPr>
          <w:rFonts w:ascii="Calibri" w:eastAsia="Times New Roman" w:hAnsi="Calibri" w:cs="Calibri"/>
          <w:color w:val="000000"/>
          <w:sz w:val="10"/>
          <w:szCs w:val="10"/>
        </w:rPr>
        <w:sectPr w:rsidR="000B2154" w:rsidSect="000B2154">
          <w:pgSz w:w="15840" w:h="12240" w:orient="landscape"/>
          <w:pgMar w:top="1440" w:right="1440" w:bottom="1440" w:left="1440" w:header="720" w:footer="720" w:gutter="0"/>
          <w:cols w:space="720"/>
          <w:docGrid w:linePitch="360"/>
        </w:sectPr>
      </w:pPr>
    </w:p>
    <w:p w:rsidR="00F245C6" w:rsidRDefault="00DF082B" w:rsidP="00DF082B">
      <w:pPr>
        <w:pStyle w:val="Caption"/>
      </w:pPr>
      <w:r>
        <w:lastRenderedPageBreak/>
        <w:t xml:space="preserve">Table </w:t>
      </w:r>
      <w:fldSimple w:instr=" SEQ Table \* ARABIC ">
        <w:r w:rsidR="002D5BD0">
          <w:rPr>
            <w:noProof/>
          </w:rPr>
          <w:t>2</w:t>
        </w:r>
      </w:fldSimple>
      <w:r>
        <w:t xml:space="preserve">. AIC values for the </w:t>
      </w:r>
      <w:proofErr w:type="spellStart"/>
      <w:r>
        <w:t>parameteric</w:t>
      </w:r>
      <w:proofErr w:type="spellEnd"/>
      <w:r>
        <w:t xml:space="preserve"> models.</w:t>
      </w:r>
    </w:p>
    <w:p w:rsidR="001206DF" w:rsidRDefault="001206DF" w:rsidP="001206DF"/>
    <w:p w:rsidR="001206DF" w:rsidRDefault="001206DF" w:rsidP="001206DF"/>
    <w:p w:rsidR="001206DF" w:rsidRDefault="001206DF">
      <w:pPr>
        <w:spacing w:line="259" w:lineRule="auto"/>
      </w:pPr>
      <w:r>
        <w:br w:type="page"/>
      </w:r>
    </w:p>
    <w:p w:rsidR="001206DF" w:rsidRPr="001206DF" w:rsidRDefault="001206DF" w:rsidP="001206DF">
      <w:r>
        <w:lastRenderedPageBreak/>
        <w:t>Supplemental</w:t>
      </w:r>
    </w:p>
    <w:p w:rsidR="003D669F" w:rsidRDefault="003D669F" w:rsidP="003D669F">
      <w:pPr>
        <w:pStyle w:val="Caption"/>
      </w:pPr>
      <w:bookmarkStart w:id="3" w:name="_Ref106284357"/>
      <w:r>
        <w:t xml:space="preserve">Supplemental Table S </w:t>
      </w:r>
      <w:fldSimple w:instr=" SEQ Supplemental_Table_S \* ARABIC ">
        <w:r w:rsidR="005A13EB">
          <w:rPr>
            <w:noProof/>
          </w:rPr>
          <w:t>1</w:t>
        </w:r>
      </w:fldSimple>
      <w:bookmarkEnd w:id="3"/>
      <w:r>
        <w:t xml:space="preserve">. Grid search for GLMM model (found in </w:t>
      </w:r>
      <w:proofErr w:type="spellStart"/>
      <w:r w:rsidRPr="003D669F">
        <w:t>output$exploratory$</w:t>
      </w:r>
      <w:r>
        <w:t>sdm</w:t>
      </w:r>
      <w:r w:rsidRPr="003D669F">
        <w:t>$grid_search</w:t>
      </w:r>
      <w:proofErr w:type="spellEnd"/>
      <w:r>
        <w:t>).</w:t>
      </w:r>
    </w:p>
    <w:tbl>
      <w:tblPr>
        <w:tblW w:w="6280" w:type="dxa"/>
        <w:tblLook w:val="04A0" w:firstRow="1" w:lastRow="0" w:firstColumn="1" w:lastColumn="0" w:noHBand="0" w:noVBand="1"/>
      </w:tblPr>
      <w:tblGrid>
        <w:gridCol w:w="1530"/>
        <w:gridCol w:w="1149"/>
        <w:gridCol w:w="950"/>
        <w:gridCol w:w="1711"/>
        <w:gridCol w:w="1116"/>
      </w:tblGrid>
      <w:tr w:rsidR="003D669F" w:rsidRPr="003D669F" w:rsidTr="003D669F">
        <w:trPr>
          <w:trHeight w:val="315"/>
        </w:trPr>
        <w:tc>
          <w:tcPr>
            <w:tcW w:w="1530" w:type="dxa"/>
            <w:tcBorders>
              <w:top w:val="single" w:sz="4" w:space="0" w:color="auto"/>
              <w:left w:val="nil"/>
              <w:bottom w:val="single" w:sz="4" w:space="0" w:color="auto"/>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Model ID</w:t>
            </w:r>
          </w:p>
        </w:tc>
        <w:tc>
          <w:tcPr>
            <w:tcW w:w="1080" w:type="dxa"/>
            <w:tcBorders>
              <w:top w:val="single" w:sz="4" w:space="0" w:color="auto"/>
              <w:left w:val="nil"/>
              <w:bottom w:val="single" w:sz="4" w:space="0" w:color="auto"/>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r>
              <w:rPr>
                <w:rFonts w:eastAsia="Times New Roman" w:cs="Times New Roman"/>
                <w:color w:val="000000"/>
                <w:szCs w:val="24"/>
              </w:rPr>
              <w:t>Temporal</w:t>
            </w:r>
          </w:p>
        </w:tc>
        <w:tc>
          <w:tcPr>
            <w:tcW w:w="906" w:type="dxa"/>
            <w:tcBorders>
              <w:top w:val="single" w:sz="4" w:space="0" w:color="auto"/>
              <w:left w:val="nil"/>
              <w:bottom w:val="single" w:sz="4" w:space="0" w:color="auto"/>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r>
              <w:rPr>
                <w:rFonts w:eastAsia="Times New Roman" w:cs="Times New Roman"/>
                <w:color w:val="000000"/>
                <w:szCs w:val="24"/>
              </w:rPr>
              <w:t>Spatial</w:t>
            </w:r>
          </w:p>
        </w:tc>
        <w:tc>
          <w:tcPr>
            <w:tcW w:w="1711" w:type="dxa"/>
            <w:tcBorders>
              <w:top w:val="single" w:sz="4" w:space="0" w:color="auto"/>
              <w:left w:val="nil"/>
              <w:bottom w:val="single" w:sz="4" w:space="0" w:color="auto"/>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r>
              <w:rPr>
                <w:rFonts w:eastAsia="Times New Roman" w:cs="Times New Roman"/>
                <w:color w:val="000000"/>
                <w:szCs w:val="24"/>
              </w:rPr>
              <w:t>Spatiotemporal</w:t>
            </w:r>
          </w:p>
        </w:tc>
        <w:tc>
          <w:tcPr>
            <w:tcW w:w="1053" w:type="dxa"/>
            <w:tcBorders>
              <w:top w:val="single" w:sz="4" w:space="0" w:color="auto"/>
              <w:left w:val="nil"/>
              <w:bottom w:val="single" w:sz="4" w:space="0" w:color="auto"/>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RMSE</w:t>
            </w:r>
          </w:p>
        </w:tc>
      </w:tr>
      <w:tr w:rsidR="003D669F" w:rsidRPr="003D669F" w:rsidTr="003D669F">
        <w:trPr>
          <w:trHeight w:val="315"/>
        </w:trPr>
        <w:tc>
          <w:tcPr>
            <w:tcW w:w="1530" w:type="dxa"/>
            <w:tcBorders>
              <w:top w:val="single" w:sz="4" w:space="0" w:color="auto"/>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1</w:t>
            </w:r>
          </w:p>
        </w:tc>
        <w:tc>
          <w:tcPr>
            <w:tcW w:w="1080" w:type="dxa"/>
            <w:tcBorders>
              <w:top w:val="single" w:sz="4" w:space="0" w:color="auto"/>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906" w:type="dxa"/>
            <w:tcBorders>
              <w:top w:val="single" w:sz="4" w:space="0" w:color="auto"/>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711" w:type="dxa"/>
            <w:tcBorders>
              <w:top w:val="single" w:sz="4" w:space="0" w:color="auto"/>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AR1</w:t>
            </w:r>
          </w:p>
        </w:tc>
        <w:tc>
          <w:tcPr>
            <w:tcW w:w="1053" w:type="dxa"/>
            <w:tcBorders>
              <w:top w:val="single" w:sz="4" w:space="0" w:color="auto"/>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415.4570</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2</w:t>
            </w:r>
          </w:p>
        </w:tc>
        <w:tc>
          <w:tcPr>
            <w:tcW w:w="1080" w:type="dxa"/>
            <w:tcBorders>
              <w:top w:val="nil"/>
              <w:left w:val="nil"/>
              <w:bottom w:val="nil"/>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proofErr w:type="spellStart"/>
            <w:r>
              <w:rPr>
                <w:rFonts w:eastAsia="Times New Roman" w:cs="Times New Roman"/>
                <w:color w:val="000000"/>
                <w:szCs w:val="24"/>
              </w:rPr>
              <w:t>i.i.d</w:t>
            </w:r>
            <w:proofErr w:type="spellEnd"/>
            <w:r>
              <w:rPr>
                <w:rFonts w:eastAsia="Times New Roman" w:cs="Times New Roman"/>
                <w:color w:val="000000"/>
                <w:szCs w:val="24"/>
              </w:rPr>
              <w:t>.</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AR1</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415.4571</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3</w:t>
            </w:r>
          </w:p>
        </w:tc>
        <w:tc>
          <w:tcPr>
            <w:tcW w:w="1080"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TRUE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proofErr w:type="spellStart"/>
            <w:r w:rsidRPr="003D669F">
              <w:rPr>
                <w:rFonts w:eastAsia="Times New Roman" w:cs="Times New Roman"/>
                <w:color w:val="000000"/>
                <w:szCs w:val="24"/>
              </w:rPr>
              <w:t>i.i.d</w:t>
            </w:r>
            <w:proofErr w:type="spellEnd"/>
            <w:r w:rsidRPr="003D669F">
              <w:rPr>
                <w:rFonts w:eastAsia="Times New Roman" w:cs="Times New Roman"/>
                <w:color w:val="000000"/>
                <w:szCs w:val="24"/>
              </w:rPr>
              <w:t>.</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416.4262</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w:t>
            </w:r>
          </w:p>
        </w:tc>
        <w:tc>
          <w:tcPr>
            <w:tcW w:w="1080" w:type="dxa"/>
            <w:tcBorders>
              <w:top w:val="nil"/>
              <w:left w:val="nil"/>
              <w:bottom w:val="nil"/>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proofErr w:type="spellStart"/>
            <w:r>
              <w:rPr>
                <w:rFonts w:eastAsia="Times New Roman" w:cs="Times New Roman"/>
                <w:color w:val="000000"/>
                <w:szCs w:val="24"/>
              </w:rPr>
              <w:t>i.i.d</w:t>
            </w:r>
            <w:proofErr w:type="spellEnd"/>
            <w:r>
              <w:rPr>
                <w:rFonts w:eastAsia="Times New Roman" w:cs="Times New Roman"/>
                <w:color w:val="000000"/>
                <w:szCs w:val="24"/>
              </w:rPr>
              <w:t>.</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TRUE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proofErr w:type="spellStart"/>
            <w:r w:rsidRPr="003D669F">
              <w:rPr>
                <w:rFonts w:eastAsia="Times New Roman" w:cs="Times New Roman"/>
                <w:color w:val="000000"/>
                <w:szCs w:val="24"/>
              </w:rPr>
              <w:t>i.i.d</w:t>
            </w:r>
            <w:proofErr w:type="spellEnd"/>
            <w:r w:rsidRPr="003D669F">
              <w:rPr>
                <w:rFonts w:eastAsia="Times New Roman" w:cs="Times New Roman"/>
                <w:color w:val="000000"/>
                <w:szCs w:val="24"/>
              </w:rPr>
              <w:t>.</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416.4363</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5</w:t>
            </w:r>
          </w:p>
        </w:tc>
        <w:tc>
          <w:tcPr>
            <w:tcW w:w="1080"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TRUE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AR1</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417.9972</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6</w:t>
            </w:r>
          </w:p>
        </w:tc>
        <w:tc>
          <w:tcPr>
            <w:tcW w:w="1080" w:type="dxa"/>
            <w:tcBorders>
              <w:top w:val="nil"/>
              <w:left w:val="nil"/>
              <w:bottom w:val="nil"/>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proofErr w:type="spellStart"/>
            <w:r>
              <w:rPr>
                <w:rFonts w:eastAsia="Times New Roman" w:cs="Times New Roman"/>
                <w:color w:val="000000"/>
                <w:szCs w:val="24"/>
              </w:rPr>
              <w:t>i.i.d</w:t>
            </w:r>
            <w:proofErr w:type="spellEnd"/>
            <w:r>
              <w:rPr>
                <w:rFonts w:eastAsia="Times New Roman" w:cs="Times New Roman"/>
                <w:color w:val="000000"/>
                <w:szCs w:val="24"/>
              </w:rPr>
              <w:t>.</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TRUE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AR1</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418.0085</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7</w:t>
            </w:r>
          </w:p>
        </w:tc>
        <w:tc>
          <w:tcPr>
            <w:tcW w:w="1080" w:type="dxa"/>
            <w:tcBorders>
              <w:top w:val="nil"/>
              <w:left w:val="nil"/>
              <w:bottom w:val="nil"/>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proofErr w:type="spellStart"/>
            <w:r>
              <w:rPr>
                <w:rFonts w:eastAsia="Times New Roman" w:cs="Times New Roman"/>
                <w:color w:val="000000"/>
                <w:szCs w:val="24"/>
              </w:rPr>
              <w:t>i.i.d</w:t>
            </w:r>
            <w:proofErr w:type="spellEnd"/>
            <w:r>
              <w:rPr>
                <w:rFonts w:eastAsia="Times New Roman" w:cs="Times New Roman"/>
                <w:color w:val="000000"/>
                <w:szCs w:val="24"/>
              </w:rPr>
              <w:t>.</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proofErr w:type="spellStart"/>
            <w:r w:rsidRPr="003D669F">
              <w:rPr>
                <w:rFonts w:eastAsia="Times New Roman" w:cs="Times New Roman"/>
                <w:color w:val="000000"/>
                <w:szCs w:val="24"/>
              </w:rPr>
              <w:t>i.i.d</w:t>
            </w:r>
            <w:proofErr w:type="spellEnd"/>
            <w:r w:rsidRPr="003D669F">
              <w:rPr>
                <w:rFonts w:eastAsia="Times New Roman" w:cs="Times New Roman"/>
                <w:color w:val="000000"/>
                <w:szCs w:val="24"/>
              </w:rPr>
              <w:t>.</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418.6337</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8</w:t>
            </w:r>
          </w:p>
        </w:tc>
        <w:tc>
          <w:tcPr>
            <w:tcW w:w="1080"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proofErr w:type="spellStart"/>
            <w:r w:rsidRPr="003D669F">
              <w:rPr>
                <w:rFonts w:eastAsia="Times New Roman" w:cs="Times New Roman"/>
                <w:color w:val="000000"/>
                <w:szCs w:val="24"/>
              </w:rPr>
              <w:t>i.i.d</w:t>
            </w:r>
            <w:proofErr w:type="spellEnd"/>
            <w:r w:rsidRPr="003D669F">
              <w:rPr>
                <w:rFonts w:eastAsia="Times New Roman" w:cs="Times New Roman"/>
                <w:color w:val="000000"/>
                <w:szCs w:val="24"/>
              </w:rPr>
              <w:t>.</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423.5655</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9</w:t>
            </w:r>
          </w:p>
        </w:tc>
        <w:tc>
          <w:tcPr>
            <w:tcW w:w="1080" w:type="dxa"/>
            <w:tcBorders>
              <w:top w:val="nil"/>
              <w:left w:val="nil"/>
              <w:bottom w:val="nil"/>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proofErr w:type="spellStart"/>
            <w:r>
              <w:rPr>
                <w:rFonts w:eastAsia="Times New Roman" w:cs="Times New Roman"/>
                <w:color w:val="000000"/>
                <w:szCs w:val="24"/>
              </w:rPr>
              <w:t>i.i.d</w:t>
            </w:r>
            <w:proofErr w:type="spellEnd"/>
            <w:r>
              <w:rPr>
                <w:rFonts w:eastAsia="Times New Roman" w:cs="Times New Roman"/>
                <w:color w:val="000000"/>
                <w:szCs w:val="24"/>
              </w:rPr>
              <w:t>.</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TRUE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458.9284</w:t>
            </w:r>
          </w:p>
        </w:tc>
      </w:tr>
      <w:tr w:rsidR="003D669F" w:rsidRPr="003D669F" w:rsidTr="003D669F">
        <w:trPr>
          <w:trHeight w:val="315"/>
        </w:trPr>
        <w:tc>
          <w:tcPr>
            <w:tcW w:w="1530" w:type="dxa"/>
            <w:tcBorders>
              <w:top w:val="nil"/>
              <w:left w:val="nil"/>
              <w:bottom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10</w:t>
            </w:r>
          </w:p>
        </w:tc>
        <w:tc>
          <w:tcPr>
            <w:tcW w:w="1080"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906"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TRUE</w:t>
            </w:r>
          </w:p>
        </w:tc>
        <w:tc>
          <w:tcPr>
            <w:tcW w:w="1711"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053" w:type="dxa"/>
            <w:tcBorders>
              <w:top w:val="nil"/>
              <w:left w:val="nil"/>
              <w:bottom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460.0261</w:t>
            </w:r>
          </w:p>
        </w:tc>
      </w:tr>
      <w:tr w:rsidR="003D669F" w:rsidRPr="003D669F" w:rsidTr="003D669F">
        <w:trPr>
          <w:trHeight w:val="315"/>
        </w:trPr>
        <w:tc>
          <w:tcPr>
            <w:tcW w:w="1530" w:type="dxa"/>
            <w:tcBorders>
              <w:top w:val="nil"/>
              <w:left w:val="nil"/>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11</w:t>
            </w:r>
          </w:p>
        </w:tc>
        <w:tc>
          <w:tcPr>
            <w:tcW w:w="1080" w:type="dxa"/>
            <w:tcBorders>
              <w:top w:val="nil"/>
              <w:left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906" w:type="dxa"/>
            <w:tcBorders>
              <w:top w:val="nil"/>
              <w:left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711" w:type="dxa"/>
            <w:tcBorders>
              <w:top w:val="nil"/>
              <w:left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053" w:type="dxa"/>
            <w:tcBorders>
              <w:top w:val="nil"/>
              <w:left w:val="nil"/>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563.9657</w:t>
            </w:r>
          </w:p>
        </w:tc>
      </w:tr>
      <w:tr w:rsidR="003D669F" w:rsidRPr="003D669F" w:rsidTr="003D669F">
        <w:trPr>
          <w:trHeight w:val="315"/>
        </w:trPr>
        <w:tc>
          <w:tcPr>
            <w:tcW w:w="1530" w:type="dxa"/>
            <w:tcBorders>
              <w:top w:val="nil"/>
              <w:left w:val="nil"/>
              <w:bottom w:val="single" w:sz="4" w:space="0" w:color="auto"/>
              <w:right w:val="nil"/>
            </w:tcBorders>
            <w:shd w:val="clear" w:color="auto" w:fill="auto"/>
            <w:noWrap/>
            <w:vAlign w:val="center"/>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12</w:t>
            </w:r>
          </w:p>
        </w:tc>
        <w:tc>
          <w:tcPr>
            <w:tcW w:w="1080" w:type="dxa"/>
            <w:tcBorders>
              <w:top w:val="nil"/>
              <w:left w:val="nil"/>
              <w:bottom w:val="single" w:sz="4" w:space="0" w:color="auto"/>
              <w:right w:val="nil"/>
            </w:tcBorders>
            <w:shd w:val="clear" w:color="auto" w:fill="auto"/>
            <w:noWrap/>
            <w:vAlign w:val="bottom"/>
            <w:hideMark/>
          </w:tcPr>
          <w:p w:rsidR="003D669F" w:rsidRPr="003D669F" w:rsidRDefault="00830981" w:rsidP="003D669F">
            <w:pPr>
              <w:spacing w:after="0" w:line="240" w:lineRule="auto"/>
              <w:jc w:val="right"/>
              <w:rPr>
                <w:rFonts w:eastAsia="Times New Roman" w:cs="Times New Roman"/>
                <w:color w:val="000000"/>
                <w:szCs w:val="24"/>
              </w:rPr>
            </w:pPr>
            <w:proofErr w:type="spellStart"/>
            <w:r>
              <w:rPr>
                <w:rFonts w:eastAsia="Times New Roman" w:cs="Times New Roman"/>
                <w:color w:val="000000"/>
                <w:szCs w:val="24"/>
              </w:rPr>
              <w:t>i.i.d</w:t>
            </w:r>
            <w:proofErr w:type="spellEnd"/>
            <w:r>
              <w:rPr>
                <w:rFonts w:eastAsia="Times New Roman" w:cs="Times New Roman"/>
                <w:color w:val="000000"/>
                <w:szCs w:val="24"/>
              </w:rPr>
              <w:t>.</w:t>
            </w:r>
          </w:p>
        </w:tc>
        <w:tc>
          <w:tcPr>
            <w:tcW w:w="906" w:type="dxa"/>
            <w:tcBorders>
              <w:top w:val="nil"/>
              <w:left w:val="nil"/>
              <w:bottom w:val="single" w:sz="4" w:space="0" w:color="auto"/>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711" w:type="dxa"/>
            <w:tcBorders>
              <w:top w:val="nil"/>
              <w:left w:val="nil"/>
              <w:bottom w:val="single" w:sz="4" w:space="0" w:color="auto"/>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FALSE</w:t>
            </w:r>
          </w:p>
        </w:tc>
        <w:tc>
          <w:tcPr>
            <w:tcW w:w="1053" w:type="dxa"/>
            <w:tcBorders>
              <w:top w:val="nil"/>
              <w:left w:val="nil"/>
              <w:bottom w:val="single" w:sz="4" w:space="0" w:color="auto"/>
              <w:right w:val="nil"/>
            </w:tcBorders>
            <w:shd w:val="clear" w:color="auto" w:fill="auto"/>
            <w:noWrap/>
            <w:vAlign w:val="bottom"/>
            <w:hideMark/>
          </w:tcPr>
          <w:p w:rsidR="003D669F" w:rsidRPr="003D669F" w:rsidRDefault="003D669F" w:rsidP="003D669F">
            <w:pPr>
              <w:spacing w:after="0" w:line="240" w:lineRule="auto"/>
              <w:jc w:val="right"/>
              <w:rPr>
                <w:rFonts w:eastAsia="Times New Roman" w:cs="Times New Roman"/>
                <w:color w:val="000000"/>
                <w:szCs w:val="24"/>
              </w:rPr>
            </w:pPr>
            <w:r w:rsidRPr="003D669F">
              <w:rPr>
                <w:rFonts w:eastAsia="Times New Roman" w:cs="Times New Roman"/>
                <w:color w:val="000000"/>
                <w:szCs w:val="24"/>
              </w:rPr>
              <w:t>567.0365</w:t>
            </w:r>
          </w:p>
        </w:tc>
      </w:tr>
    </w:tbl>
    <w:p w:rsidR="003D669F" w:rsidRDefault="003D669F" w:rsidP="003D669F">
      <w:pPr>
        <w:spacing w:after="100" w:afterAutospacing="1" w:line="240" w:lineRule="auto"/>
      </w:pPr>
    </w:p>
    <w:p w:rsidR="003D669F" w:rsidRDefault="005A13EB" w:rsidP="005A13EB">
      <w:pPr>
        <w:pStyle w:val="Caption"/>
      </w:pPr>
      <w:bookmarkStart w:id="4" w:name="_Ref106284362"/>
      <w:r>
        <w:t xml:space="preserve">Supplemental Table S </w:t>
      </w:r>
      <w:fldSimple w:instr=" SEQ Supplemental_Table_S \* ARABIC ">
        <w:r>
          <w:rPr>
            <w:noProof/>
          </w:rPr>
          <w:t>2</w:t>
        </w:r>
      </w:fldSimple>
      <w:bookmarkEnd w:id="4"/>
      <w:r>
        <w:t>. Grid search for GAM models (</w:t>
      </w:r>
      <w:proofErr w:type="spellStart"/>
      <w:r w:rsidRPr="005A13EB">
        <w:rPr>
          <w:rFonts w:eastAsia="Times New Roman" w:cs="Times New Roman"/>
          <w:color w:val="000000"/>
          <w:szCs w:val="24"/>
        </w:rPr>
        <w:t>output$exploratory$gam$grid_search</w:t>
      </w:r>
      <w:proofErr w:type="spellEnd"/>
      <w:r>
        <w:rPr>
          <w:rFonts w:eastAsia="Times New Roman" w:cs="Times New Roman"/>
          <w:color w:val="000000"/>
          <w:szCs w:val="24"/>
        </w:rPr>
        <w:t>).</w:t>
      </w:r>
    </w:p>
    <w:tbl>
      <w:tblPr>
        <w:tblW w:w="8192" w:type="dxa"/>
        <w:tblLook w:val="04A0" w:firstRow="1" w:lastRow="0" w:firstColumn="1" w:lastColumn="0" w:noHBand="0" w:noVBand="1"/>
      </w:tblPr>
      <w:tblGrid>
        <w:gridCol w:w="1440"/>
        <w:gridCol w:w="1620"/>
        <w:gridCol w:w="1530"/>
        <w:gridCol w:w="843"/>
        <w:gridCol w:w="1643"/>
        <w:gridCol w:w="1116"/>
      </w:tblGrid>
      <w:tr w:rsidR="00F77FE9" w:rsidRPr="00F77FE9" w:rsidTr="005A13EB">
        <w:trPr>
          <w:trHeight w:val="300"/>
        </w:trPr>
        <w:tc>
          <w:tcPr>
            <w:tcW w:w="1440" w:type="dxa"/>
            <w:tcBorders>
              <w:top w:val="single" w:sz="4" w:space="0" w:color="auto"/>
              <w:left w:val="nil"/>
              <w:bottom w:val="single" w:sz="4" w:space="0" w:color="auto"/>
              <w:right w:val="nil"/>
            </w:tcBorders>
            <w:shd w:val="clear" w:color="auto" w:fill="auto"/>
            <w:noWrap/>
            <w:vAlign w:val="bottom"/>
            <w:hideMark/>
          </w:tcPr>
          <w:p w:rsidR="00F77FE9" w:rsidRPr="00F77FE9" w:rsidRDefault="00F77FE9" w:rsidP="005A13EB">
            <w:pPr>
              <w:spacing w:after="0" w:line="240" w:lineRule="auto"/>
              <w:rPr>
                <w:rFonts w:eastAsia="Times New Roman" w:cs="Times New Roman"/>
                <w:color w:val="000000"/>
                <w:szCs w:val="24"/>
              </w:rPr>
            </w:pPr>
            <w:r w:rsidRPr="00F77FE9">
              <w:rPr>
                <w:rFonts w:eastAsia="Times New Roman" w:cs="Times New Roman"/>
                <w:color w:val="000000"/>
                <w:szCs w:val="24"/>
              </w:rPr>
              <w:t>Model ID</w:t>
            </w:r>
          </w:p>
        </w:tc>
        <w:tc>
          <w:tcPr>
            <w:tcW w:w="1620" w:type="dxa"/>
            <w:tcBorders>
              <w:top w:val="single" w:sz="4" w:space="0" w:color="auto"/>
              <w:left w:val="nil"/>
              <w:bottom w:val="single" w:sz="4" w:space="0" w:color="auto"/>
              <w:right w:val="nil"/>
            </w:tcBorders>
            <w:shd w:val="clear" w:color="auto" w:fill="auto"/>
            <w:noWrap/>
            <w:vAlign w:val="bottom"/>
            <w:hideMark/>
          </w:tcPr>
          <w:p w:rsidR="00F77FE9" w:rsidRPr="00F77FE9" w:rsidRDefault="00F77FE9" w:rsidP="005A13EB">
            <w:pPr>
              <w:spacing w:after="0" w:line="240" w:lineRule="auto"/>
              <w:jc w:val="right"/>
              <w:rPr>
                <w:rFonts w:eastAsia="Times New Roman" w:cs="Times New Roman"/>
                <w:color w:val="000000"/>
                <w:szCs w:val="24"/>
              </w:rPr>
            </w:pPr>
            <w:r w:rsidRPr="00F77FE9">
              <w:rPr>
                <w:rFonts w:eastAsia="Times New Roman" w:cs="Times New Roman"/>
                <w:color w:val="000000"/>
                <w:szCs w:val="24"/>
              </w:rPr>
              <w:t>Covariates</w:t>
            </w:r>
          </w:p>
        </w:tc>
        <w:tc>
          <w:tcPr>
            <w:tcW w:w="1530" w:type="dxa"/>
            <w:tcBorders>
              <w:top w:val="single" w:sz="4" w:space="0" w:color="auto"/>
              <w:left w:val="nil"/>
              <w:bottom w:val="single" w:sz="4" w:space="0" w:color="auto"/>
              <w:right w:val="nil"/>
            </w:tcBorders>
            <w:shd w:val="clear" w:color="auto" w:fill="auto"/>
            <w:noWrap/>
            <w:vAlign w:val="bottom"/>
            <w:hideMark/>
          </w:tcPr>
          <w:p w:rsidR="00F77FE9" w:rsidRPr="00F77FE9" w:rsidRDefault="00F77FE9" w:rsidP="005A13EB">
            <w:pPr>
              <w:spacing w:after="0" w:line="240" w:lineRule="auto"/>
              <w:jc w:val="right"/>
              <w:rPr>
                <w:rFonts w:eastAsia="Times New Roman" w:cs="Times New Roman"/>
                <w:color w:val="000000"/>
                <w:szCs w:val="24"/>
              </w:rPr>
            </w:pPr>
            <w:r w:rsidRPr="00F77FE9">
              <w:rPr>
                <w:rFonts w:eastAsia="Times New Roman" w:cs="Times New Roman"/>
                <w:color w:val="000000"/>
                <w:szCs w:val="24"/>
              </w:rPr>
              <w:t>Temporal</w:t>
            </w:r>
          </w:p>
        </w:tc>
        <w:tc>
          <w:tcPr>
            <w:tcW w:w="843" w:type="dxa"/>
            <w:tcBorders>
              <w:top w:val="single" w:sz="4" w:space="0" w:color="auto"/>
              <w:left w:val="nil"/>
              <w:bottom w:val="single" w:sz="4" w:space="0" w:color="auto"/>
              <w:right w:val="nil"/>
            </w:tcBorders>
            <w:shd w:val="clear" w:color="auto" w:fill="auto"/>
            <w:noWrap/>
            <w:vAlign w:val="bottom"/>
            <w:hideMark/>
          </w:tcPr>
          <w:p w:rsidR="00F77FE9" w:rsidRPr="00F77FE9" w:rsidRDefault="00F77FE9" w:rsidP="005A13EB">
            <w:pPr>
              <w:spacing w:after="0" w:line="240" w:lineRule="auto"/>
              <w:jc w:val="right"/>
              <w:rPr>
                <w:rFonts w:eastAsia="Times New Roman" w:cs="Times New Roman"/>
                <w:color w:val="000000"/>
                <w:szCs w:val="24"/>
              </w:rPr>
            </w:pPr>
            <w:r w:rsidRPr="00F77FE9">
              <w:rPr>
                <w:rFonts w:eastAsia="Times New Roman" w:cs="Times New Roman"/>
                <w:color w:val="000000"/>
                <w:szCs w:val="24"/>
              </w:rPr>
              <w:t>spatial</w:t>
            </w:r>
          </w:p>
        </w:tc>
        <w:tc>
          <w:tcPr>
            <w:tcW w:w="1643" w:type="dxa"/>
            <w:tcBorders>
              <w:top w:val="single" w:sz="4" w:space="0" w:color="auto"/>
              <w:left w:val="nil"/>
              <w:bottom w:val="single" w:sz="4" w:space="0" w:color="auto"/>
              <w:right w:val="nil"/>
            </w:tcBorders>
            <w:shd w:val="clear" w:color="auto" w:fill="auto"/>
            <w:noWrap/>
            <w:vAlign w:val="bottom"/>
            <w:hideMark/>
          </w:tcPr>
          <w:p w:rsidR="00F77FE9" w:rsidRPr="00F77FE9" w:rsidRDefault="00F77FE9" w:rsidP="005A13EB">
            <w:pPr>
              <w:spacing w:after="0" w:line="240" w:lineRule="auto"/>
              <w:jc w:val="right"/>
              <w:rPr>
                <w:rFonts w:eastAsia="Times New Roman" w:cs="Times New Roman"/>
                <w:color w:val="000000"/>
                <w:szCs w:val="24"/>
              </w:rPr>
            </w:pPr>
            <w:r w:rsidRPr="00F77FE9">
              <w:rPr>
                <w:rFonts w:eastAsia="Times New Roman" w:cs="Times New Roman"/>
                <w:color w:val="000000"/>
                <w:szCs w:val="24"/>
              </w:rPr>
              <w:t>spatiotemporal</w:t>
            </w:r>
          </w:p>
        </w:tc>
        <w:tc>
          <w:tcPr>
            <w:tcW w:w="1116" w:type="dxa"/>
            <w:tcBorders>
              <w:top w:val="single" w:sz="4" w:space="0" w:color="auto"/>
              <w:left w:val="nil"/>
              <w:bottom w:val="single" w:sz="4" w:space="0" w:color="auto"/>
              <w:right w:val="nil"/>
            </w:tcBorders>
            <w:shd w:val="clear" w:color="auto" w:fill="auto"/>
            <w:noWrap/>
            <w:vAlign w:val="bottom"/>
            <w:hideMark/>
          </w:tcPr>
          <w:p w:rsidR="00F77FE9" w:rsidRPr="00F77FE9" w:rsidRDefault="00F77FE9" w:rsidP="005A13EB">
            <w:pPr>
              <w:spacing w:after="0" w:line="240" w:lineRule="auto"/>
              <w:jc w:val="right"/>
              <w:rPr>
                <w:rFonts w:eastAsia="Times New Roman" w:cs="Times New Roman"/>
                <w:color w:val="000000"/>
                <w:szCs w:val="24"/>
              </w:rPr>
            </w:pPr>
            <w:r w:rsidRPr="00F77FE9">
              <w:rPr>
                <w:rFonts w:eastAsia="Times New Roman" w:cs="Times New Roman"/>
                <w:color w:val="000000"/>
                <w:szCs w:val="24"/>
              </w:rPr>
              <w:t>RMSE</w:t>
            </w:r>
          </w:p>
        </w:tc>
      </w:tr>
      <w:tr w:rsidR="005A13EB" w:rsidRPr="00F77FE9" w:rsidTr="005A13EB">
        <w:trPr>
          <w:trHeight w:val="300"/>
        </w:trPr>
        <w:tc>
          <w:tcPr>
            <w:tcW w:w="1440" w:type="dxa"/>
            <w:tcBorders>
              <w:top w:val="single" w:sz="4" w:space="0" w:color="auto"/>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Pr>
                <w:rFonts w:cs="Times New Roman"/>
                <w:color w:val="000000"/>
                <w:szCs w:val="24"/>
              </w:rPr>
              <w:t>1</w:t>
            </w:r>
          </w:p>
        </w:tc>
        <w:tc>
          <w:tcPr>
            <w:tcW w:w="1620" w:type="dxa"/>
            <w:tcBorders>
              <w:top w:val="single" w:sz="4" w:space="0" w:color="auto"/>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Included</w:t>
            </w:r>
          </w:p>
        </w:tc>
        <w:tc>
          <w:tcPr>
            <w:tcW w:w="1530" w:type="dxa"/>
            <w:tcBorders>
              <w:top w:val="single" w:sz="4" w:space="0" w:color="auto"/>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Not included</w:t>
            </w:r>
          </w:p>
        </w:tc>
        <w:tc>
          <w:tcPr>
            <w:tcW w:w="843" w:type="dxa"/>
            <w:tcBorders>
              <w:top w:val="single" w:sz="4" w:space="0" w:color="auto"/>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NA</w:t>
            </w:r>
          </w:p>
        </w:tc>
        <w:tc>
          <w:tcPr>
            <w:tcW w:w="1643" w:type="dxa"/>
            <w:tcBorders>
              <w:top w:val="single" w:sz="4" w:space="0" w:color="auto"/>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Spline</w:t>
            </w:r>
          </w:p>
        </w:tc>
        <w:tc>
          <w:tcPr>
            <w:tcW w:w="1116" w:type="dxa"/>
            <w:tcBorders>
              <w:top w:val="single" w:sz="4" w:space="0" w:color="auto"/>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448.5172</w:t>
            </w:r>
          </w:p>
        </w:tc>
      </w:tr>
      <w:tr w:rsidR="005A13EB" w:rsidRPr="00F77FE9" w:rsidTr="005A13EB">
        <w:trPr>
          <w:trHeight w:val="300"/>
        </w:trPr>
        <w:tc>
          <w:tcPr>
            <w:tcW w:w="144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2</w:t>
            </w:r>
          </w:p>
        </w:tc>
        <w:tc>
          <w:tcPr>
            <w:tcW w:w="162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Not included</w:t>
            </w:r>
          </w:p>
        </w:tc>
        <w:tc>
          <w:tcPr>
            <w:tcW w:w="153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Not included</w:t>
            </w:r>
          </w:p>
        </w:tc>
        <w:tc>
          <w:tcPr>
            <w:tcW w:w="843"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NA</w:t>
            </w:r>
          </w:p>
        </w:tc>
        <w:tc>
          <w:tcPr>
            <w:tcW w:w="1643"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Spline</w:t>
            </w:r>
          </w:p>
        </w:tc>
        <w:tc>
          <w:tcPr>
            <w:tcW w:w="1116"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497.7657</w:t>
            </w:r>
          </w:p>
        </w:tc>
      </w:tr>
      <w:tr w:rsidR="005A13EB" w:rsidRPr="00F77FE9" w:rsidTr="005A13EB">
        <w:trPr>
          <w:trHeight w:val="300"/>
        </w:trPr>
        <w:tc>
          <w:tcPr>
            <w:tcW w:w="144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Pr>
                <w:rFonts w:cs="Times New Roman"/>
                <w:color w:val="000000"/>
                <w:szCs w:val="24"/>
              </w:rPr>
              <w:t>3</w:t>
            </w:r>
          </w:p>
        </w:tc>
        <w:tc>
          <w:tcPr>
            <w:tcW w:w="162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Included</w:t>
            </w:r>
          </w:p>
        </w:tc>
        <w:tc>
          <w:tcPr>
            <w:tcW w:w="153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Spline</w:t>
            </w:r>
          </w:p>
        </w:tc>
        <w:tc>
          <w:tcPr>
            <w:tcW w:w="843"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NA</w:t>
            </w:r>
          </w:p>
        </w:tc>
        <w:tc>
          <w:tcPr>
            <w:tcW w:w="1643"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NA</w:t>
            </w:r>
          </w:p>
        </w:tc>
        <w:tc>
          <w:tcPr>
            <w:tcW w:w="1116"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500.3849</w:t>
            </w:r>
          </w:p>
        </w:tc>
      </w:tr>
      <w:tr w:rsidR="005A13EB" w:rsidRPr="00F77FE9" w:rsidTr="005A13EB">
        <w:trPr>
          <w:trHeight w:val="300"/>
        </w:trPr>
        <w:tc>
          <w:tcPr>
            <w:tcW w:w="144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Pr>
                <w:rFonts w:cs="Times New Roman"/>
                <w:color w:val="000000"/>
                <w:szCs w:val="24"/>
              </w:rPr>
              <w:t>4</w:t>
            </w:r>
          </w:p>
        </w:tc>
        <w:tc>
          <w:tcPr>
            <w:tcW w:w="162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Included</w:t>
            </w:r>
          </w:p>
        </w:tc>
        <w:tc>
          <w:tcPr>
            <w:tcW w:w="1530"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Not included</w:t>
            </w:r>
          </w:p>
        </w:tc>
        <w:tc>
          <w:tcPr>
            <w:tcW w:w="843"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NA</w:t>
            </w:r>
          </w:p>
        </w:tc>
        <w:tc>
          <w:tcPr>
            <w:tcW w:w="1643"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NA</w:t>
            </w:r>
          </w:p>
        </w:tc>
        <w:tc>
          <w:tcPr>
            <w:tcW w:w="1116" w:type="dxa"/>
            <w:tcBorders>
              <w:top w:val="nil"/>
              <w:left w:val="nil"/>
              <w:bottom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510.8561</w:t>
            </w:r>
          </w:p>
        </w:tc>
      </w:tr>
      <w:tr w:rsidR="005A13EB" w:rsidRPr="00F77FE9" w:rsidTr="005A13EB">
        <w:trPr>
          <w:trHeight w:val="300"/>
        </w:trPr>
        <w:tc>
          <w:tcPr>
            <w:tcW w:w="1440" w:type="dxa"/>
            <w:tcBorders>
              <w:top w:val="nil"/>
              <w:left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Pr>
                <w:rFonts w:cs="Times New Roman"/>
                <w:color w:val="000000"/>
                <w:szCs w:val="24"/>
              </w:rPr>
              <w:t>5</w:t>
            </w:r>
          </w:p>
        </w:tc>
        <w:tc>
          <w:tcPr>
            <w:tcW w:w="1620" w:type="dxa"/>
            <w:tcBorders>
              <w:top w:val="nil"/>
              <w:left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Not included</w:t>
            </w:r>
          </w:p>
        </w:tc>
        <w:tc>
          <w:tcPr>
            <w:tcW w:w="1530" w:type="dxa"/>
            <w:tcBorders>
              <w:top w:val="nil"/>
              <w:left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Not included</w:t>
            </w:r>
          </w:p>
        </w:tc>
        <w:tc>
          <w:tcPr>
            <w:tcW w:w="843" w:type="dxa"/>
            <w:tcBorders>
              <w:top w:val="nil"/>
              <w:left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Spline</w:t>
            </w:r>
          </w:p>
        </w:tc>
        <w:tc>
          <w:tcPr>
            <w:tcW w:w="1643" w:type="dxa"/>
            <w:tcBorders>
              <w:top w:val="nil"/>
              <w:left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N.I.</w:t>
            </w:r>
          </w:p>
        </w:tc>
        <w:tc>
          <w:tcPr>
            <w:tcW w:w="1116" w:type="dxa"/>
            <w:tcBorders>
              <w:top w:val="nil"/>
              <w:left w:val="nil"/>
              <w:right w:val="nil"/>
            </w:tcBorders>
            <w:shd w:val="clear" w:color="auto" w:fill="auto"/>
            <w:noWrap/>
            <w:vAlign w:val="bottom"/>
            <w:hideMark/>
          </w:tcPr>
          <w:p w:rsidR="005A13EB" w:rsidRPr="005A13EB" w:rsidRDefault="005A13EB" w:rsidP="00FD6973">
            <w:pPr>
              <w:spacing w:after="0" w:line="240" w:lineRule="auto"/>
              <w:jc w:val="right"/>
              <w:rPr>
                <w:rFonts w:cs="Times New Roman"/>
                <w:color w:val="000000"/>
                <w:szCs w:val="24"/>
              </w:rPr>
            </w:pPr>
            <w:r w:rsidRPr="005A13EB">
              <w:rPr>
                <w:rFonts w:cs="Times New Roman"/>
                <w:color w:val="000000"/>
                <w:szCs w:val="24"/>
              </w:rPr>
              <w:t>526.1989</w:t>
            </w:r>
          </w:p>
        </w:tc>
      </w:tr>
      <w:tr w:rsidR="00F77FE9" w:rsidRPr="00F77FE9" w:rsidTr="005A13EB">
        <w:trPr>
          <w:trHeight w:val="300"/>
        </w:trPr>
        <w:tc>
          <w:tcPr>
            <w:tcW w:w="1440" w:type="dxa"/>
            <w:tcBorders>
              <w:top w:val="nil"/>
              <w:left w:val="nil"/>
              <w:bottom w:val="single" w:sz="4" w:space="0" w:color="auto"/>
              <w:right w:val="nil"/>
            </w:tcBorders>
            <w:shd w:val="clear" w:color="auto" w:fill="auto"/>
            <w:noWrap/>
            <w:vAlign w:val="bottom"/>
            <w:hideMark/>
          </w:tcPr>
          <w:p w:rsidR="00F77FE9" w:rsidRPr="00F77FE9" w:rsidRDefault="00F77FE9" w:rsidP="00FD6973">
            <w:pPr>
              <w:spacing w:after="0" w:line="240" w:lineRule="auto"/>
              <w:jc w:val="right"/>
              <w:rPr>
                <w:rFonts w:eastAsia="Times New Roman" w:cs="Times New Roman"/>
                <w:color w:val="000000"/>
                <w:szCs w:val="24"/>
              </w:rPr>
            </w:pPr>
            <w:r w:rsidRPr="00F77FE9">
              <w:rPr>
                <w:rFonts w:eastAsia="Times New Roman" w:cs="Times New Roman"/>
                <w:color w:val="000000"/>
                <w:szCs w:val="24"/>
              </w:rPr>
              <w:t>6</w:t>
            </w:r>
          </w:p>
        </w:tc>
        <w:tc>
          <w:tcPr>
            <w:tcW w:w="1620" w:type="dxa"/>
            <w:tcBorders>
              <w:top w:val="nil"/>
              <w:left w:val="nil"/>
              <w:bottom w:val="single" w:sz="4" w:space="0" w:color="auto"/>
              <w:right w:val="nil"/>
            </w:tcBorders>
            <w:shd w:val="clear" w:color="auto" w:fill="auto"/>
            <w:noWrap/>
            <w:vAlign w:val="bottom"/>
            <w:hideMark/>
          </w:tcPr>
          <w:p w:rsidR="00F77FE9" w:rsidRPr="00F77FE9" w:rsidRDefault="00F77FE9" w:rsidP="00FD6973">
            <w:pPr>
              <w:spacing w:after="0" w:line="240" w:lineRule="auto"/>
              <w:jc w:val="right"/>
              <w:rPr>
                <w:rFonts w:eastAsia="Times New Roman" w:cs="Times New Roman"/>
                <w:color w:val="000000"/>
                <w:szCs w:val="24"/>
              </w:rPr>
            </w:pPr>
            <w:r w:rsidRPr="00F77FE9">
              <w:rPr>
                <w:rFonts w:eastAsia="Times New Roman" w:cs="Times New Roman"/>
                <w:color w:val="000000"/>
                <w:szCs w:val="24"/>
              </w:rPr>
              <w:t>Included</w:t>
            </w:r>
          </w:p>
        </w:tc>
        <w:tc>
          <w:tcPr>
            <w:tcW w:w="1530" w:type="dxa"/>
            <w:tcBorders>
              <w:top w:val="nil"/>
              <w:left w:val="nil"/>
              <w:bottom w:val="single" w:sz="4" w:space="0" w:color="auto"/>
              <w:right w:val="nil"/>
            </w:tcBorders>
            <w:shd w:val="clear" w:color="auto" w:fill="auto"/>
            <w:noWrap/>
            <w:vAlign w:val="bottom"/>
            <w:hideMark/>
          </w:tcPr>
          <w:p w:rsidR="00F77FE9" w:rsidRPr="00F77FE9" w:rsidRDefault="00F77FE9" w:rsidP="00FD6973">
            <w:pPr>
              <w:spacing w:after="0" w:line="240" w:lineRule="auto"/>
              <w:jc w:val="right"/>
              <w:rPr>
                <w:rFonts w:eastAsia="Times New Roman" w:cs="Times New Roman"/>
                <w:color w:val="000000"/>
                <w:szCs w:val="24"/>
              </w:rPr>
            </w:pPr>
            <w:r w:rsidRPr="00F77FE9">
              <w:rPr>
                <w:rFonts w:eastAsia="Times New Roman" w:cs="Times New Roman"/>
                <w:color w:val="000000"/>
                <w:szCs w:val="24"/>
              </w:rPr>
              <w:t>Factor</w:t>
            </w:r>
          </w:p>
        </w:tc>
        <w:tc>
          <w:tcPr>
            <w:tcW w:w="843" w:type="dxa"/>
            <w:tcBorders>
              <w:top w:val="nil"/>
              <w:left w:val="nil"/>
              <w:bottom w:val="single" w:sz="4" w:space="0" w:color="auto"/>
              <w:right w:val="nil"/>
            </w:tcBorders>
            <w:shd w:val="clear" w:color="auto" w:fill="auto"/>
            <w:noWrap/>
            <w:vAlign w:val="bottom"/>
            <w:hideMark/>
          </w:tcPr>
          <w:p w:rsidR="00F77FE9" w:rsidRPr="00F77FE9" w:rsidRDefault="00F77FE9" w:rsidP="00FD6973">
            <w:pPr>
              <w:spacing w:after="0" w:line="240" w:lineRule="auto"/>
              <w:jc w:val="right"/>
              <w:rPr>
                <w:rFonts w:eastAsia="Times New Roman" w:cs="Times New Roman"/>
                <w:color w:val="000000"/>
                <w:szCs w:val="24"/>
              </w:rPr>
            </w:pPr>
            <w:r w:rsidRPr="00F77FE9">
              <w:rPr>
                <w:rFonts w:eastAsia="Times New Roman" w:cs="Times New Roman"/>
                <w:color w:val="000000"/>
                <w:szCs w:val="24"/>
              </w:rPr>
              <w:t>Spline</w:t>
            </w:r>
          </w:p>
        </w:tc>
        <w:tc>
          <w:tcPr>
            <w:tcW w:w="1643" w:type="dxa"/>
            <w:tcBorders>
              <w:top w:val="nil"/>
              <w:left w:val="nil"/>
              <w:bottom w:val="single" w:sz="4" w:space="0" w:color="auto"/>
              <w:right w:val="nil"/>
            </w:tcBorders>
            <w:shd w:val="clear" w:color="auto" w:fill="auto"/>
            <w:noWrap/>
            <w:vAlign w:val="bottom"/>
            <w:hideMark/>
          </w:tcPr>
          <w:p w:rsidR="00F77FE9" w:rsidRPr="00F77FE9" w:rsidRDefault="00F77FE9" w:rsidP="00FD6973">
            <w:pPr>
              <w:spacing w:after="0" w:line="240" w:lineRule="auto"/>
              <w:jc w:val="right"/>
              <w:rPr>
                <w:rFonts w:eastAsia="Times New Roman" w:cs="Times New Roman"/>
                <w:color w:val="000000"/>
                <w:szCs w:val="24"/>
              </w:rPr>
            </w:pPr>
            <w:r w:rsidRPr="00F77FE9">
              <w:rPr>
                <w:rFonts w:eastAsia="Times New Roman" w:cs="Times New Roman"/>
                <w:color w:val="000000"/>
                <w:szCs w:val="24"/>
              </w:rPr>
              <w:t>Implicit</w:t>
            </w:r>
          </w:p>
        </w:tc>
        <w:tc>
          <w:tcPr>
            <w:tcW w:w="1116" w:type="dxa"/>
            <w:tcBorders>
              <w:top w:val="nil"/>
              <w:left w:val="nil"/>
              <w:bottom w:val="single" w:sz="4" w:space="0" w:color="auto"/>
              <w:right w:val="nil"/>
            </w:tcBorders>
            <w:shd w:val="clear" w:color="auto" w:fill="auto"/>
            <w:noWrap/>
            <w:vAlign w:val="bottom"/>
            <w:hideMark/>
          </w:tcPr>
          <w:p w:rsidR="00F77FE9" w:rsidRPr="00F77FE9" w:rsidRDefault="00F77FE9" w:rsidP="00FD6973">
            <w:pPr>
              <w:spacing w:after="0" w:line="240" w:lineRule="auto"/>
              <w:jc w:val="right"/>
              <w:rPr>
                <w:rFonts w:eastAsia="Times New Roman" w:cs="Times New Roman"/>
                <w:color w:val="000000"/>
                <w:szCs w:val="24"/>
              </w:rPr>
            </w:pPr>
            <w:r w:rsidRPr="00F77FE9">
              <w:rPr>
                <w:rFonts w:eastAsia="Times New Roman" w:cs="Times New Roman"/>
                <w:color w:val="000000"/>
                <w:szCs w:val="24"/>
              </w:rPr>
              <w:t>D.N.C.</w:t>
            </w:r>
          </w:p>
        </w:tc>
      </w:tr>
    </w:tbl>
    <w:p w:rsidR="00F77FE9" w:rsidRDefault="00F77FE9" w:rsidP="003D669F">
      <w:pPr>
        <w:spacing w:after="100" w:afterAutospacing="1" w:line="240" w:lineRule="auto"/>
      </w:pPr>
    </w:p>
    <w:p w:rsidR="00B2479B" w:rsidRDefault="00B2479B">
      <w:pPr>
        <w:spacing w:line="259" w:lineRule="auto"/>
        <w:rPr>
          <w:iCs/>
          <w:szCs w:val="18"/>
        </w:rPr>
      </w:pPr>
      <w:r>
        <w:br w:type="page"/>
      </w:r>
    </w:p>
    <w:p w:rsidR="005A13EB" w:rsidRDefault="005A13EB" w:rsidP="005A13EB">
      <w:pPr>
        <w:pStyle w:val="Caption"/>
      </w:pPr>
      <w:bookmarkStart w:id="5" w:name="_Ref106284365"/>
      <w:r>
        <w:lastRenderedPageBreak/>
        <w:t xml:space="preserve">Supplemental Table S </w:t>
      </w:r>
      <w:fldSimple w:instr=" SEQ Supplemental_Table_S \* ARABIC ">
        <w:r>
          <w:rPr>
            <w:noProof/>
          </w:rPr>
          <w:t>3</w:t>
        </w:r>
      </w:fldSimple>
      <w:bookmarkEnd w:id="5"/>
      <w:r>
        <w:t>. Grid search for random forest model. (</w:t>
      </w:r>
      <w:proofErr w:type="gramStart"/>
      <w:r w:rsidRPr="005A13EB">
        <w:t>output$</w:t>
      </w:r>
      <w:proofErr w:type="gramEnd"/>
      <w:r w:rsidRPr="005A13EB">
        <w:t>exploratory$rf$grid_search[order(output$exploratory$rf$grid_search$rmse),][1:10,]</w:t>
      </w:r>
      <w:r>
        <w:t>)</w:t>
      </w:r>
    </w:p>
    <w:tbl>
      <w:tblPr>
        <w:tblW w:w="9360" w:type="dxa"/>
        <w:tblLook w:val="04A0" w:firstRow="1" w:lastRow="0" w:firstColumn="1" w:lastColumn="0" w:noHBand="0" w:noVBand="1"/>
      </w:tblPr>
      <w:tblGrid>
        <w:gridCol w:w="1141"/>
        <w:gridCol w:w="1273"/>
        <w:gridCol w:w="1503"/>
        <w:gridCol w:w="955"/>
        <w:gridCol w:w="1843"/>
        <w:gridCol w:w="653"/>
        <w:gridCol w:w="75"/>
        <w:gridCol w:w="801"/>
        <w:gridCol w:w="1116"/>
      </w:tblGrid>
      <w:tr w:rsidR="009911CF" w:rsidRPr="005A13EB" w:rsidTr="009911CF">
        <w:trPr>
          <w:trHeight w:val="300"/>
        </w:trPr>
        <w:tc>
          <w:tcPr>
            <w:tcW w:w="1142" w:type="dxa"/>
            <w:tcBorders>
              <w:top w:val="single" w:sz="4" w:space="0" w:color="auto"/>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rPr>
                <w:rFonts w:eastAsia="Times New Roman" w:cs="Times New Roman"/>
                <w:color w:val="000000"/>
                <w:szCs w:val="24"/>
              </w:rPr>
            </w:pPr>
            <w:r w:rsidRPr="005A13EB">
              <w:rPr>
                <w:rFonts w:eastAsia="Times New Roman" w:cs="Times New Roman"/>
                <w:color w:val="000000"/>
                <w:szCs w:val="24"/>
              </w:rPr>
              <w:t>Model ID</w:t>
            </w:r>
          </w:p>
        </w:tc>
        <w:tc>
          <w:tcPr>
            <w:tcW w:w="1274" w:type="dxa"/>
            <w:tcBorders>
              <w:top w:val="single" w:sz="4" w:space="0" w:color="auto"/>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Covariates</w:t>
            </w:r>
          </w:p>
        </w:tc>
        <w:tc>
          <w:tcPr>
            <w:tcW w:w="1504" w:type="dxa"/>
            <w:tcBorders>
              <w:top w:val="single" w:sz="4" w:space="0" w:color="auto"/>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Temporal</w:t>
            </w:r>
          </w:p>
        </w:tc>
        <w:tc>
          <w:tcPr>
            <w:tcW w:w="955" w:type="dxa"/>
            <w:tcBorders>
              <w:top w:val="single" w:sz="4" w:space="0" w:color="auto"/>
              <w:left w:val="nil"/>
              <w:bottom w:val="single" w:sz="4" w:space="0" w:color="auto"/>
              <w:right w:val="nil"/>
            </w:tcBorders>
            <w:shd w:val="clear" w:color="auto" w:fill="auto"/>
            <w:noWrap/>
            <w:vAlign w:val="bottom"/>
            <w:hideMark/>
          </w:tcPr>
          <w:p w:rsidR="005A13EB" w:rsidRPr="005A13EB" w:rsidRDefault="009911CF" w:rsidP="005A13EB">
            <w:pPr>
              <w:spacing w:after="0" w:line="240" w:lineRule="auto"/>
              <w:jc w:val="right"/>
              <w:rPr>
                <w:rFonts w:eastAsia="Times New Roman" w:cs="Times New Roman"/>
                <w:color w:val="000000"/>
                <w:szCs w:val="24"/>
              </w:rPr>
            </w:pPr>
            <w:r>
              <w:rPr>
                <w:rFonts w:eastAsia="Times New Roman" w:cs="Times New Roman"/>
                <w:color w:val="000000"/>
                <w:szCs w:val="24"/>
              </w:rPr>
              <w:t>Spatial</w:t>
            </w:r>
          </w:p>
        </w:tc>
        <w:tc>
          <w:tcPr>
            <w:tcW w:w="1844" w:type="dxa"/>
            <w:tcBorders>
              <w:top w:val="single" w:sz="4" w:space="0" w:color="auto"/>
              <w:left w:val="nil"/>
              <w:bottom w:val="single" w:sz="4" w:space="0" w:color="auto"/>
              <w:right w:val="nil"/>
            </w:tcBorders>
            <w:shd w:val="clear" w:color="auto" w:fill="auto"/>
            <w:noWrap/>
            <w:vAlign w:val="bottom"/>
            <w:hideMark/>
          </w:tcPr>
          <w:p w:rsidR="005A13EB" w:rsidRPr="005A13EB" w:rsidRDefault="009911CF" w:rsidP="005A13EB">
            <w:pPr>
              <w:spacing w:after="0" w:line="240" w:lineRule="auto"/>
              <w:jc w:val="right"/>
              <w:rPr>
                <w:rFonts w:eastAsia="Times New Roman" w:cs="Times New Roman"/>
                <w:color w:val="000000"/>
                <w:szCs w:val="24"/>
              </w:rPr>
            </w:pPr>
            <w:r>
              <w:rPr>
                <w:rFonts w:eastAsia="Times New Roman" w:cs="Times New Roman"/>
                <w:color w:val="000000"/>
                <w:szCs w:val="24"/>
              </w:rPr>
              <w:t>S</w:t>
            </w:r>
            <w:r w:rsidR="005A13EB" w:rsidRPr="005A13EB">
              <w:rPr>
                <w:rFonts w:eastAsia="Times New Roman" w:cs="Times New Roman"/>
                <w:color w:val="000000"/>
                <w:szCs w:val="24"/>
              </w:rPr>
              <w:t>patiotemporal</w:t>
            </w:r>
          </w:p>
        </w:tc>
        <w:tc>
          <w:tcPr>
            <w:tcW w:w="728" w:type="dxa"/>
            <w:gridSpan w:val="2"/>
            <w:tcBorders>
              <w:top w:val="single" w:sz="4" w:space="0" w:color="auto"/>
              <w:left w:val="nil"/>
              <w:bottom w:val="single" w:sz="4" w:space="0" w:color="auto"/>
              <w:right w:val="nil"/>
            </w:tcBorders>
            <w:shd w:val="clear" w:color="auto" w:fill="auto"/>
            <w:noWrap/>
            <w:vAlign w:val="bottom"/>
            <w:hideMark/>
          </w:tcPr>
          <w:p w:rsidR="005A13EB" w:rsidRPr="005A13EB" w:rsidRDefault="009911CF" w:rsidP="005A13EB">
            <w:pPr>
              <w:spacing w:after="0" w:line="240" w:lineRule="auto"/>
              <w:rPr>
                <w:rFonts w:eastAsia="Times New Roman" w:cs="Times New Roman"/>
                <w:color w:val="000000"/>
                <w:szCs w:val="24"/>
              </w:rPr>
            </w:pPr>
            <w:r>
              <w:rPr>
                <w:rFonts w:eastAsia="Times New Roman" w:cs="Times New Roman"/>
                <w:color w:val="000000"/>
                <w:szCs w:val="24"/>
              </w:rPr>
              <w:t>Try</w:t>
            </w:r>
          </w:p>
        </w:tc>
        <w:tc>
          <w:tcPr>
            <w:tcW w:w="801" w:type="dxa"/>
            <w:tcBorders>
              <w:top w:val="single" w:sz="4" w:space="0" w:color="auto"/>
              <w:left w:val="nil"/>
              <w:bottom w:val="single" w:sz="4" w:space="0" w:color="auto"/>
              <w:right w:val="nil"/>
            </w:tcBorders>
            <w:shd w:val="clear" w:color="auto" w:fill="auto"/>
            <w:noWrap/>
            <w:vAlign w:val="bottom"/>
            <w:hideMark/>
          </w:tcPr>
          <w:p w:rsidR="005A13EB" w:rsidRPr="005A13EB" w:rsidRDefault="009911CF" w:rsidP="005A13EB">
            <w:pPr>
              <w:spacing w:after="0" w:line="240" w:lineRule="auto"/>
              <w:rPr>
                <w:rFonts w:eastAsia="Times New Roman" w:cs="Times New Roman"/>
                <w:color w:val="000000"/>
                <w:szCs w:val="24"/>
              </w:rPr>
            </w:pPr>
            <w:r>
              <w:rPr>
                <w:rFonts w:eastAsia="Times New Roman" w:cs="Times New Roman"/>
                <w:color w:val="000000"/>
                <w:szCs w:val="24"/>
              </w:rPr>
              <w:t>Tree</w:t>
            </w:r>
          </w:p>
        </w:tc>
        <w:tc>
          <w:tcPr>
            <w:tcW w:w="1112" w:type="dxa"/>
            <w:tcBorders>
              <w:top w:val="single" w:sz="4" w:space="0" w:color="auto"/>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R.M.S.E.</w:t>
            </w:r>
          </w:p>
        </w:tc>
      </w:tr>
      <w:tr w:rsidR="009911CF" w:rsidRPr="005A13EB" w:rsidTr="009911CF">
        <w:trPr>
          <w:trHeight w:val="300"/>
        </w:trPr>
        <w:tc>
          <w:tcPr>
            <w:tcW w:w="1142" w:type="dxa"/>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1</w:t>
            </w:r>
          </w:p>
        </w:tc>
        <w:tc>
          <w:tcPr>
            <w:tcW w:w="1274" w:type="dxa"/>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600</w:t>
            </w:r>
          </w:p>
        </w:tc>
        <w:tc>
          <w:tcPr>
            <w:tcW w:w="1112" w:type="dxa"/>
            <w:tcBorders>
              <w:top w:val="single" w:sz="4" w:space="0" w:color="auto"/>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416.4299</w:t>
            </w:r>
          </w:p>
        </w:tc>
      </w:tr>
      <w:tr w:rsidR="009911CF" w:rsidRPr="005A13EB" w:rsidTr="009911CF">
        <w:trPr>
          <w:trHeight w:val="300"/>
        </w:trPr>
        <w:tc>
          <w:tcPr>
            <w:tcW w:w="114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2</w:t>
            </w:r>
          </w:p>
        </w:tc>
        <w:tc>
          <w:tcPr>
            <w:tcW w:w="127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1000</w:t>
            </w:r>
          </w:p>
        </w:tc>
        <w:tc>
          <w:tcPr>
            <w:tcW w:w="111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416.7446</w:t>
            </w:r>
          </w:p>
        </w:tc>
      </w:tr>
      <w:tr w:rsidR="009911CF" w:rsidRPr="005A13EB" w:rsidTr="009911CF">
        <w:trPr>
          <w:trHeight w:val="300"/>
        </w:trPr>
        <w:tc>
          <w:tcPr>
            <w:tcW w:w="114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127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700</w:t>
            </w:r>
          </w:p>
        </w:tc>
        <w:tc>
          <w:tcPr>
            <w:tcW w:w="111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416.7945</w:t>
            </w:r>
          </w:p>
        </w:tc>
      </w:tr>
      <w:tr w:rsidR="009911CF" w:rsidRPr="005A13EB" w:rsidTr="009911CF">
        <w:trPr>
          <w:trHeight w:val="300"/>
        </w:trPr>
        <w:tc>
          <w:tcPr>
            <w:tcW w:w="114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w:t>
            </w:r>
          </w:p>
        </w:tc>
        <w:tc>
          <w:tcPr>
            <w:tcW w:w="127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500</w:t>
            </w:r>
          </w:p>
        </w:tc>
        <w:tc>
          <w:tcPr>
            <w:tcW w:w="111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417.0357</w:t>
            </w:r>
          </w:p>
        </w:tc>
      </w:tr>
      <w:tr w:rsidR="009911CF" w:rsidRPr="005A13EB" w:rsidTr="009911CF">
        <w:trPr>
          <w:trHeight w:val="300"/>
        </w:trPr>
        <w:tc>
          <w:tcPr>
            <w:tcW w:w="114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5</w:t>
            </w:r>
          </w:p>
        </w:tc>
        <w:tc>
          <w:tcPr>
            <w:tcW w:w="127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5</w:t>
            </w:r>
          </w:p>
        </w:tc>
        <w:tc>
          <w:tcPr>
            <w:tcW w:w="876" w:type="dxa"/>
            <w:gridSpan w:val="2"/>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500</w:t>
            </w:r>
          </w:p>
        </w:tc>
        <w:tc>
          <w:tcPr>
            <w:tcW w:w="111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417.3331</w:t>
            </w:r>
          </w:p>
        </w:tc>
      </w:tr>
      <w:tr w:rsidR="009911CF" w:rsidRPr="005A13EB" w:rsidTr="009911CF">
        <w:trPr>
          <w:trHeight w:val="300"/>
        </w:trPr>
        <w:tc>
          <w:tcPr>
            <w:tcW w:w="114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6</w:t>
            </w:r>
          </w:p>
        </w:tc>
        <w:tc>
          <w:tcPr>
            <w:tcW w:w="127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800</w:t>
            </w:r>
          </w:p>
        </w:tc>
        <w:tc>
          <w:tcPr>
            <w:tcW w:w="111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417.6237</w:t>
            </w:r>
          </w:p>
        </w:tc>
      </w:tr>
      <w:tr w:rsidR="009911CF" w:rsidRPr="005A13EB" w:rsidTr="009911CF">
        <w:trPr>
          <w:trHeight w:val="300"/>
        </w:trPr>
        <w:tc>
          <w:tcPr>
            <w:tcW w:w="114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7</w:t>
            </w:r>
          </w:p>
        </w:tc>
        <w:tc>
          <w:tcPr>
            <w:tcW w:w="127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400</w:t>
            </w:r>
          </w:p>
        </w:tc>
        <w:tc>
          <w:tcPr>
            <w:tcW w:w="111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417.8634</w:t>
            </w:r>
          </w:p>
        </w:tc>
      </w:tr>
      <w:tr w:rsidR="009911CF" w:rsidRPr="005A13EB" w:rsidTr="009911CF">
        <w:trPr>
          <w:trHeight w:val="300"/>
        </w:trPr>
        <w:tc>
          <w:tcPr>
            <w:tcW w:w="114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8</w:t>
            </w:r>
          </w:p>
        </w:tc>
        <w:tc>
          <w:tcPr>
            <w:tcW w:w="127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5</w:t>
            </w:r>
          </w:p>
        </w:tc>
        <w:tc>
          <w:tcPr>
            <w:tcW w:w="876" w:type="dxa"/>
            <w:gridSpan w:val="2"/>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1000</w:t>
            </w:r>
          </w:p>
        </w:tc>
        <w:tc>
          <w:tcPr>
            <w:tcW w:w="1112" w:type="dxa"/>
            <w:tcBorders>
              <w:top w:val="nil"/>
              <w:left w:val="nil"/>
              <w:bottom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418.34</w:t>
            </w:r>
            <w:r w:rsidR="00FD6973">
              <w:rPr>
                <w:rFonts w:eastAsia="Times New Roman" w:cs="Times New Roman"/>
                <w:color w:val="000000"/>
                <w:szCs w:val="24"/>
              </w:rPr>
              <w:t>00</w:t>
            </w:r>
          </w:p>
        </w:tc>
      </w:tr>
      <w:tr w:rsidR="009911CF" w:rsidRPr="005A13EB" w:rsidTr="009911CF">
        <w:trPr>
          <w:trHeight w:val="300"/>
        </w:trPr>
        <w:tc>
          <w:tcPr>
            <w:tcW w:w="1142" w:type="dxa"/>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9</w:t>
            </w:r>
          </w:p>
        </w:tc>
        <w:tc>
          <w:tcPr>
            <w:tcW w:w="1274" w:type="dxa"/>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300</w:t>
            </w:r>
          </w:p>
        </w:tc>
        <w:tc>
          <w:tcPr>
            <w:tcW w:w="1112" w:type="dxa"/>
            <w:tcBorders>
              <w:top w:val="nil"/>
              <w:left w:val="nil"/>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418.4207</w:t>
            </w:r>
          </w:p>
        </w:tc>
      </w:tr>
      <w:tr w:rsidR="009911CF" w:rsidRPr="005A13EB" w:rsidTr="009911CF">
        <w:trPr>
          <w:trHeight w:val="300"/>
        </w:trPr>
        <w:tc>
          <w:tcPr>
            <w:tcW w:w="1142" w:type="dxa"/>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10</w:t>
            </w:r>
          </w:p>
        </w:tc>
        <w:tc>
          <w:tcPr>
            <w:tcW w:w="1274" w:type="dxa"/>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Included</w:t>
            </w:r>
          </w:p>
        </w:tc>
        <w:tc>
          <w:tcPr>
            <w:tcW w:w="1504" w:type="dxa"/>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Not included</w:t>
            </w:r>
          </w:p>
        </w:tc>
        <w:tc>
          <w:tcPr>
            <w:tcW w:w="955" w:type="dxa"/>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NA</w:t>
            </w:r>
          </w:p>
        </w:tc>
        <w:tc>
          <w:tcPr>
            <w:tcW w:w="1844" w:type="dxa"/>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Spline</w:t>
            </w:r>
          </w:p>
        </w:tc>
        <w:tc>
          <w:tcPr>
            <w:tcW w:w="653" w:type="dxa"/>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3</w:t>
            </w:r>
          </w:p>
        </w:tc>
        <w:tc>
          <w:tcPr>
            <w:tcW w:w="876" w:type="dxa"/>
            <w:gridSpan w:val="2"/>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900</w:t>
            </w:r>
          </w:p>
        </w:tc>
        <w:tc>
          <w:tcPr>
            <w:tcW w:w="1112" w:type="dxa"/>
            <w:tcBorders>
              <w:top w:val="nil"/>
              <w:left w:val="nil"/>
              <w:bottom w:val="single" w:sz="4" w:space="0" w:color="auto"/>
              <w:right w:val="nil"/>
            </w:tcBorders>
            <w:shd w:val="clear" w:color="auto" w:fill="auto"/>
            <w:noWrap/>
            <w:vAlign w:val="bottom"/>
            <w:hideMark/>
          </w:tcPr>
          <w:p w:rsidR="005A13EB" w:rsidRPr="005A13EB" w:rsidRDefault="005A13EB" w:rsidP="005A13EB">
            <w:pPr>
              <w:spacing w:after="0" w:line="240" w:lineRule="auto"/>
              <w:jc w:val="right"/>
              <w:rPr>
                <w:rFonts w:eastAsia="Times New Roman" w:cs="Times New Roman"/>
                <w:color w:val="000000"/>
                <w:szCs w:val="24"/>
              </w:rPr>
            </w:pPr>
            <w:r w:rsidRPr="005A13EB">
              <w:rPr>
                <w:rFonts w:eastAsia="Times New Roman" w:cs="Times New Roman"/>
                <w:color w:val="000000"/>
                <w:szCs w:val="24"/>
              </w:rPr>
              <w:t>418.5007</w:t>
            </w:r>
          </w:p>
        </w:tc>
      </w:tr>
    </w:tbl>
    <w:p w:rsidR="005A13EB" w:rsidRPr="005A13EB" w:rsidRDefault="005A13EB" w:rsidP="005A13EB"/>
    <w:sectPr w:rsidR="005A13EB" w:rsidRPr="005A13EB" w:rsidSect="00F24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305" w:rsidRDefault="00BD4305" w:rsidP="000B2154">
      <w:pPr>
        <w:spacing w:after="0" w:line="240" w:lineRule="auto"/>
      </w:pPr>
      <w:r>
        <w:separator/>
      </w:r>
    </w:p>
  </w:endnote>
  <w:endnote w:type="continuationSeparator" w:id="0">
    <w:p w:rsidR="00BD4305" w:rsidRDefault="00BD4305" w:rsidP="000B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1188896"/>
      <w:docPartObj>
        <w:docPartGallery w:val="Page Numbers (Bottom of Page)"/>
        <w:docPartUnique/>
      </w:docPartObj>
    </w:sdtPr>
    <w:sdtEndPr>
      <w:rPr>
        <w:noProof/>
      </w:rPr>
    </w:sdtEndPr>
    <w:sdtContent>
      <w:p w:rsidR="00533FB3" w:rsidRDefault="00533FB3">
        <w:pPr>
          <w:pStyle w:val="Footer"/>
          <w:jc w:val="center"/>
        </w:pPr>
        <w:r>
          <w:fldChar w:fldCharType="begin"/>
        </w:r>
        <w:r>
          <w:instrText xml:space="preserve"> PAGE   \* MERGEFORMAT </w:instrText>
        </w:r>
        <w:r>
          <w:fldChar w:fldCharType="separate"/>
        </w:r>
        <w:r w:rsidR="002A0B7E">
          <w:rPr>
            <w:noProof/>
          </w:rPr>
          <w:t>16</w:t>
        </w:r>
        <w:r>
          <w:rPr>
            <w:noProof/>
          </w:rPr>
          <w:fldChar w:fldCharType="end"/>
        </w:r>
      </w:p>
    </w:sdtContent>
  </w:sdt>
  <w:p w:rsidR="00533FB3" w:rsidRDefault="00533F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305" w:rsidRDefault="00BD4305" w:rsidP="000B2154">
      <w:pPr>
        <w:spacing w:after="0" w:line="240" w:lineRule="auto"/>
      </w:pPr>
      <w:r>
        <w:separator/>
      </w:r>
    </w:p>
  </w:footnote>
  <w:footnote w:type="continuationSeparator" w:id="0">
    <w:p w:rsidR="00BD4305" w:rsidRDefault="00BD4305" w:rsidP="000B21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4E2"/>
    <w:rsid w:val="000157C4"/>
    <w:rsid w:val="000B2154"/>
    <w:rsid w:val="000C3A5C"/>
    <w:rsid w:val="000C3E8E"/>
    <w:rsid w:val="001206DF"/>
    <w:rsid w:val="00146E19"/>
    <w:rsid w:val="001D04E2"/>
    <w:rsid w:val="001D7A20"/>
    <w:rsid w:val="001E2A98"/>
    <w:rsid w:val="002114DC"/>
    <w:rsid w:val="002202A7"/>
    <w:rsid w:val="002A0B7E"/>
    <w:rsid w:val="002B011B"/>
    <w:rsid w:val="002C397F"/>
    <w:rsid w:val="002D5BD0"/>
    <w:rsid w:val="0031245E"/>
    <w:rsid w:val="0035544A"/>
    <w:rsid w:val="00377153"/>
    <w:rsid w:val="003C1628"/>
    <w:rsid w:val="003D669F"/>
    <w:rsid w:val="00464FE4"/>
    <w:rsid w:val="004A4F18"/>
    <w:rsid w:val="00533FB3"/>
    <w:rsid w:val="00534F23"/>
    <w:rsid w:val="005A13EB"/>
    <w:rsid w:val="005E3C29"/>
    <w:rsid w:val="005E46B8"/>
    <w:rsid w:val="00682952"/>
    <w:rsid w:val="00687161"/>
    <w:rsid w:val="006A49F8"/>
    <w:rsid w:val="00760A51"/>
    <w:rsid w:val="007663E7"/>
    <w:rsid w:val="00773676"/>
    <w:rsid w:val="007F6C7D"/>
    <w:rsid w:val="00814C37"/>
    <w:rsid w:val="00823040"/>
    <w:rsid w:val="00830981"/>
    <w:rsid w:val="00890055"/>
    <w:rsid w:val="008D61BB"/>
    <w:rsid w:val="008F4432"/>
    <w:rsid w:val="00921850"/>
    <w:rsid w:val="009911CF"/>
    <w:rsid w:val="009D66CB"/>
    <w:rsid w:val="00A26B2E"/>
    <w:rsid w:val="00A31512"/>
    <w:rsid w:val="00A47EAD"/>
    <w:rsid w:val="00A76CBC"/>
    <w:rsid w:val="00AA2F69"/>
    <w:rsid w:val="00AA5FAA"/>
    <w:rsid w:val="00AE3364"/>
    <w:rsid w:val="00B2479B"/>
    <w:rsid w:val="00B329D1"/>
    <w:rsid w:val="00B74178"/>
    <w:rsid w:val="00BD4305"/>
    <w:rsid w:val="00BE70FF"/>
    <w:rsid w:val="00BF1BFF"/>
    <w:rsid w:val="00C444B4"/>
    <w:rsid w:val="00C81054"/>
    <w:rsid w:val="00CD2B46"/>
    <w:rsid w:val="00CD3460"/>
    <w:rsid w:val="00D07211"/>
    <w:rsid w:val="00D47FA0"/>
    <w:rsid w:val="00DA23CC"/>
    <w:rsid w:val="00DB6872"/>
    <w:rsid w:val="00DD2857"/>
    <w:rsid w:val="00DF082B"/>
    <w:rsid w:val="00E11FD1"/>
    <w:rsid w:val="00E403E3"/>
    <w:rsid w:val="00E540E0"/>
    <w:rsid w:val="00F245C6"/>
    <w:rsid w:val="00F2572C"/>
    <w:rsid w:val="00F402A0"/>
    <w:rsid w:val="00F50E33"/>
    <w:rsid w:val="00F64C91"/>
    <w:rsid w:val="00F7798A"/>
    <w:rsid w:val="00F77FE9"/>
    <w:rsid w:val="00FB2F85"/>
    <w:rsid w:val="00FC430E"/>
    <w:rsid w:val="00FD6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4176"/>
  <w15:chartTrackingRefBased/>
  <w15:docId w15:val="{3A97599C-8F8E-421E-AB8F-E6A0F7EDA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154"/>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D07211"/>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07211"/>
    <w:pPr>
      <w:keepNext/>
      <w:keepLines/>
      <w:spacing w:before="40" w:after="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23040"/>
    <w:pPr>
      <w:spacing w:after="200"/>
    </w:pPr>
    <w:rPr>
      <w:iCs/>
      <w:szCs w:val="18"/>
    </w:rPr>
  </w:style>
  <w:style w:type="paragraph" w:styleId="Header">
    <w:name w:val="header"/>
    <w:basedOn w:val="Normal"/>
    <w:link w:val="HeaderChar"/>
    <w:uiPriority w:val="99"/>
    <w:unhideWhenUsed/>
    <w:rsid w:val="000B2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154"/>
    <w:rPr>
      <w:rFonts w:ascii="Times New Roman" w:hAnsi="Times New Roman"/>
      <w:sz w:val="24"/>
    </w:rPr>
  </w:style>
  <w:style w:type="paragraph" w:styleId="Footer">
    <w:name w:val="footer"/>
    <w:basedOn w:val="Normal"/>
    <w:link w:val="FooterChar"/>
    <w:uiPriority w:val="99"/>
    <w:unhideWhenUsed/>
    <w:rsid w:val="000B2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154"/>
    <w:rPr>
      <w:rFonts w:ascii="Times New Roman" w:hAnsi="Times New Roman"/>
      <w:sz w:val="24"/>
    </w:rPr>
  </w:style>
  <w:style w:type="character" w:customStyle="1" w:styleId="Heading2Char">
    <w:name w:val="Heading 2 Char"/>
    <w:basedOn w:val="DefaultParagraphFont"/>
    <w:link w:val="Heading2"/>
    <w:uiPriority w:val="9"/>
    <w:rsid w:val="00D07211"/>
    <w:rPr>
      <w:rFonts w:ascii="Times New Roman" w:eastAsiaTheme="majorEastAsia" w:hAnsi="Times New Roman" w:cstheme="majorBidi"/>
      <w:i/>
      <w:sz w:val="24"/>
      <w:szCs w:val="26"/>
    </w:rPr>
  </w:style>
  <w:style w:type="character" w:customStyle="1" w:styleId="Heading1Char">
    <w:name w:val="Heading 1 Char"/>
    <w:basedOn w:val="DefaultParagraphFont"/>
    <w:link w:val="Heading1"/>
    <w:uiPriority w:val="9"/>
    <w:rsid w:val="00D07211"/>
    <w:rPr>
      <w:rFonts w:ascii="Times New Roman" w:eastAsiaTheme="majorEastAsia" w:hAnsi="Times New Roman" w:cstheme="majorBidi"/>
      <w:b/>
      <w:sz w:val="24"/>
      <w:szCs w:val="32"/>
    </w:rPr>
  </w:style>
  <w:style w:type="character" w:styleId="PlaceholderText">
    <w:name w:val="Placeholder Text"/>
    <w:basedOn w:val="DefaultParagraphFont"/>
    <w:uiPriority w:val="99"/>
    <w:semiHidden/>
    <w:rsid w:val="00D07211"/>
    <w:rPr>
      <w:color w:val="808080"/>
    </w:rPr>
  </w:style>
  <w:style w:type="table" w:styleId="TableGrid">
    <w:name w:val="Table Grid"/>
    <w:basedOn w:val="TableNormal"/>
    <w:uiPriority w:val="39"/>
    <w:rsid w:val="00DF0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598333">
      <w:bodyDiv w:val="1"/>
      <w:marLeft w:val="0"/>
      <w:marRight w:val="0"/>
      <w:marTop w:val="0"/>
      <w:marBottom w:val="0"/>
      <w:divBdr>
        <w:top w:val="none" w:sz="0" w:space="0" w:color="auto"/>
        <w:left w:val="none" w:sz="0" w:space="0" w:color="auto"/>
        <w:bottom w:val="none" w:sz="0" w:space="0" w:color="auto"/>
        <w:right w:val="none" w:sz="0" w:space="0" w:color="auto"/>
      </w:divBdr>
    </w:div>
    <w:div w:id="721949310">
      <w:bodyDiv w:val="1"/>
      <w:marLeft w:val="0"/>
      <w:marRight w:val="0"/>
      <w:marTop w:val="0"/>
      <w:marBottom w:val="0"/>
      <w:divBdr>
        <w:top w:val="none" w:sz="0" w:space="0" w:color="auto"/>
        <w:left w:val="none" w:sz="0" w:space="0" w:color="auto"/>
        <w:bottom w:val="none" w:sz="0" w:space="0" w:color="auto"/>
        <w:right w:val="none" w:sz="0" w:space="0" w:color="auto"/>
      </w:divBdr>
    </w:div>
    <w:div w:id="897470214">
      <w:bodyDiv w:val="1"/>
      <w:marLeft w:val="0"/>
      <w:marRight w:val="0"/>
      <w:marTop w:val="0"/>
      <w:marBottom w:val="0"/>
      <w:divBdr>
        <w:top w:val="none" w:sz="0" w:space="0" w:color="auto"/>
        <w:left w:val="none" w:sz="0" w:space="0" w:color="auto"/>
        <w:bottom w:val="none" w:sz="0" w:space="0" w:color="auto"/>
        <w:right w:val="none" w:sz="0" w:space="0" w:color="auto"/>
      </w:divBdr>
    </w:div>
    <w:div w:id="1554849521">
      <w:bodyDiv w:val="1"/>
      <w:marLeft w:val="0"/>
      <w:marRight w:val="0"/>
      <w:marTop w:val="0"/>
      <w:marBottom w:val="0"/>
      <w:divBdr>
        <w:top w:val="none" w:sz="0" w:space="0" w:color="auto"/>
        <w:left w:val="none" w:sz="0" w:space="0" w:color="auto"/>
        <w:bottom w:val="none" w:sz="0" w:space="0" w:color="auto"/>
        <w:right w:val="none" w:sz="0" w:space="0" w:color="auto"/>
      </w:divBdr>
    </w:div>
    <w:div w:id="1748264803">
      <w:bodyDiv w:val="1"/>
      <w:marLeft w:val="0"/>
      <w:marRight w:val="0"/>
      <w:marTop w:val="0"/>
      <w:marBottom w:val="0"/>
      <w:divBdr>
        <w:top w:val="none" w:sz="0" w:space="0" w:color="auto"/>
        <w:left w:val="none" w:sz="0" w:space="0" w:color="auto"/>
        <w:bottom w:val="none" w:sz="0" w:space="0" w:color="auto"/>
        <w:right w:val="none" w:sz="0" w:space="0" w:color="auto"/>
      </w:divBdr>
    </w:div>
    <w:div w:id="187387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24270-1585-4763-932D-7688B9D2F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5856</TotalTime>
  <Pages>16</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Chasco, Brandon Edward</dc:creator>
  <cp:keywords/>
  <dc:description/>
  <cp:lastModifiedBy>Chasco, Brandon Edward</cp:lastModifiedBy>
  <cp:revision>26</cp:revision>
  <dcterms:created xsi:type="dcterms:W3CDTF">2022-04-11T17:04:00Z</dcterms:created>
  <dcterms:modified xsi:type="dcterms:W3CDTF">2022-06-17T17:24:00Z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id="8VeYqoDb"/&gt;&lt;style id="http://www.zotero.org/styles/fisheries-research" hasBibliography="1" bibliographyStyleHasBeenSet="0"/&gt;&lt;prefs&gt;&lt;pref name="fieldType" value="Field"/&gt;&lt;/prefs&gt;&lt;/data&gt;</vt:lpwstr>
  </property>
</Properties>
</file>