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096F" w:rsidRDefault="005E096F" w:rsidP="005E096F">
      <w:pPr>
        <w:pStyle w:val="Heading1"/>
        <w:rPr>
          <w:rFonts w:eastAsiaTheme="minorEastAsia"/>
        </w:rPr>
      </w:pPr>
      <w:r>
        <w:rPr>
          <w:rFonts w:eastAsiaTheme="minorEastAsia"/>
        </w:rPr>
        <w:t>Results</w:t>
      </w:r>
    </w:p>
    <w:p w:rsidR="005E096F" w:rsidRPr="00814C37" w:rsidRDefault="005E096F" w:rsidP="005E096F">
      <w:pPr>
        <w:rPr>
          <w:i/>
        </w:rPr>
      </w:pPr>
      <w:r w:rsidRPr="00814C37">
        <w:rPr>
          <w:i/>
        </w:rPr>
        <w:t>Exploratory models</w:t>
      </w:r>
    </w:p>
    <w:p w:rsidR="005E096F" w:rsidRDefault="005E096F" w:rsidP="005E096F">
      <w:r>
        <w:t>Through exploration of multiple modeling structures for the entire data set, we found that models for juvenile and adult densities with spatiotemporal processes provided the lowest root mean-square-error for the random forest (RMSE</w:t>
      </w:r>
      <w:r>
        <w:rPr>
          <w:vertAlign w:val="subscript"/>
        </w:rPr>
        <w:t>adult</w:t>
      </w:r>
      <w:r>
        <w:t xml:space="preserve"> =, RMSE</w:t>
      </w:r>
      <w:r>
        <w:rPr>
          <w:vertAlign w:val="subscript"/>
        </w:rPr>
        <w:t xml:space="preserve">juvenile </w:t>
      </w:r>
      <w:r>
        <w:t>= ), GAM (RMSE</w:t>
      </w:r>
      <w:r>
        <w:rPr>
          <w:vertAlign w:val="subscript"/>
        </w:rPr>
        <w:t>adult</w:t>
      </w:r>
      <w:r>
        <w:t xml:space="preserve"> =, RMSE</w:t>
      </w:r>
      <w:r>
        <w:rPr>
          <w:vertAlign w:val="subscript"/>
        </w:rPr>
        <w:t xml:space="preserve">juvenile </w:t>
      </w:r>
      <w:r>
        <w:t>= ),  and GLMM (RMSE</w:t>
      </w:r>
      <w:r>
        <w:rPr>
          <w:vertAlign w:val="subscript"/>
        </w:rPr>
        <w:t>adult</w:t>
      </w:r>
      <w:r>
        <w:t xml:space="preserve"> =, RMSE</w:t>
      </w:r>
      <w:r>
        <w:rPr>
          <w:vertAlign w:val="subscript"/>
        </w:rPr>
        <w:t xml:space="preserve">juvenile </w:t>
      </w:r>
      <w:r>
        <w:t xml:space="preserve">= ) estimation routines (Fig. x; </w:t>
      </w:r>
      <w:r>
        <w:fldChar w:fldCharType="begin"/>
      </w:r>
      <w:r>
        <w:instrText xml:space="preserve"> REF _Ref106284357 </w:instrText>
      </w:r>
      <w:r>
        <w:fldChar w:fldCharType="separate"/>
      </w:r>
      <w:r>
        <w:t xml:space="preserve">Table S </w:t>
      </w:r>
      <w:r>
        <w:rPr>
          <w:noProof/>
        </w:rPr>
        <w:t>1</w:t>
      </w:r>
      <w:r>
        <w:rPr>
          <w:noProof/>
        </w:rPr>
        <w:fldChar w:fldCharType="end"/>
      </w:r>
      <w:r>
        <w:fldChar w:fldCharType="begin"/>
      </w:r>
      <w:r>
        <w:instrText xml:space="preserve"> REF _Ref106284362 </w:instrText>
      </w:r>
      <w:r>
        <w:fldChar w:fldCharType="separate"/>
      </w:r>
      <w:r>
        <w:t xml:space="preserve">, Table S </w:t>
      </w:r>
      <w:r>
        <w:rPr>
          <w:noProof/>
        </w:rPr>
        <w:t>2</w:t>
      </w:r>
      <w:r>
        <w:rPr>
          <w:noProof/>
        </w:rPr>
        <w:fldChar w:fldCharType="end"/>
      </w:r>
      <w:r>
        <w:fldChar w:fldCharType="begin"/>
      </w:r>
      <w:r>
        <w:instrText xml:space="preserve"> REF _Ref106284365 </w:instrText>
      </w:r>
      <w:r>
        <w:fldChar w:fldCharType="separate"/>
      </w:r>
      <w:r>
        <w:t xml:space="preserve">, Table S </w:t>
      </w:r>
      <w:r>
        <w:rPr>
          <w:noProof/>
        </w:rPr>
        <w:t>3</w:t>
      </w:r>
      <w:r>
        <w:rPr>
          <w:noProof/>
        </w:rPr>
        <w:fldChar w:fldCharType="end"/>
      </w:r>
      <w:r>
        <w:t xml:space="preserve">). Visually examining just the 1998 and 2019, each of the models </w:t>
      </w:r>
    </w:p>
    <w:p w:rsidR="005E096F" w:rsidRDefault="005E096F" w:rsidP="005E096F">
      <w:r>
        <w:t>Comparing predictive ability of the models for zero, one and two years into the future, based on the RMSE for 2015 to 2019, the random forest model, again, provided the highest predictive ability for zero years into the future; however, the predictive ability of the random forest model was much smaller for one and two years into the future relative to the GAM and GLMM models (Fig. x).</w:t>
      </w:r>
    </w:p>
    <w:p w:rsidR="005E096F" w:rsidRDefault="005E096F" w:rsidP="005E096F">
      <w:r>
        <w:t xml:space="preserve"> , the random forest model provide the lowest RMSE for the entire data, as For each the three estimations types, we found that models with the lowest RSME included a spatiotemporal process to describe deviations in the juvenile and adult salmon densities (Table 1). We assessing the predictive ability of the best fit models for each of the three estimation types, we found that the random forest provided the lowest RMSE (i.e., highest predictive ability) for zero, one, and two years into the future (Fig. xx)</w:t>
      </w:r>
    </w:p>
    <w:p w:rsidR="005E096F" w:rsidRDefault="005E096F" w:rsidP="005E096F"/>
    <w:p w:rsidR="005E096F" w:rsidRDefault="005E096F" w:rsidP="005E096F"/>
    <w:p w:rsidR="005E096F" w:rsidRDefault="005E096F" w:rsidP="005E096F">
      <w:r>
        <w:t xml:space="preserve"> model random forest model to have the lowest RMSE for the </w:t>
      </w:r>
      <w:r>
        <w:br w:type="page"/>
      </w:r>
    </w:p>
    <w:p w:rsidR="005E096F" w:rsidRDefault="005E096F" w:rsidP="005E096F">
      <w:r>
        <w:lastRenderedPageBreak/>
        <w:t>Discussion</w:t>
      </w:r>
    </w:p>
    <w:p w:rsidR="005E096F" w:rsidRDefault="005E096F" w:rsidP="005E096F">
      <w:r>
        <w:t>Random forest model are not good at generalizing to completely new data.</w:t>
      </w:r>
    </w:p>
    <w:p w:rsidR="005E096F" w:rsidRDefault="005E096F" w:rsidP="005E096F"/>
    <w:p w:rsidR="005E096F" w:rsidRDefault="005E096F" w:rsidP="005E096F"/>
    <w:p w:rsidR="005E096F" w:rsidRDefault="005E096F" w:rsidP="005E096F"/>
    <w:p w:rsidR="005E096F" w:rsidRDefault="005E096F" w:rsidP="005E096F">
      <w:pPr>
        <w:pStyle w:val="Caption"/>
      </w:pPr>
      <w:bookmarkStart w:id="0" w:name="_Ref100572847"/>
      <w:r>
        <w:t xml:space="preserve">Figure </w:t>
      </w:r>
      <w:r>
        <w:fldChar w:fldCharType="begin"/>
      </w:r>
      <w:r>
        <w:instrText xml:space="preserve"> SEQ Figure \* ARABIC </w:instrText>
      </w:r>
      <w:r>
        <w:fldChar w:fldCharType="separate"/>
      </w:r>
      <w:r>
        <w:rPr>
          <w:noProof/>
        </w:rPr>
        <w:t>1</w:t>
      </w:r>
      <w:r>
        <w:rPr>
          <w:noProof/>
        </w:rPr>
        <w:fldChar w:fldCharType="end"/>
      </w:r>
      <w:bookmarkEnd w:id="0"/>
      <w:r>
        <w:t>. Map of the watersheds and observations.</w:t>
      </w:r>
    </w:p>
    <w:p w:rsidR="005E096F" w:rsidRDefault="005E096F" w:rsidP="005E096F">
      <w:pPr>
        <w:spacing w:line="259" w:lineRule="auto"/>
      </w:pPr>
      <w:r>
        <w:br w:type="page"/>
      </w:r>
    </w:p>
    <w:p w:rsidR="005E096F" w:rsidRPr="000C3A5C" w:rsidRDefault="005E096F" w:rsidP="005E096F"/>
    <w:p w:rsidR="005E096F" w:rsidRDefault="005E096F" w:rsidP="005E096F">
      <w:pPr>
        <w:pStyle w:val="Caption"/>
      </w:pPr>
      <w:r>
        <w:rPr>
          <w:noProof/>
        </w:rPr>
        <w:drawing>
          <wp:inline distT="0" distB="0" distL="0" distR="0" wp14:anchorId="2722C742" wp14:editId="7C43006C">
            <wp:extent cx="3810000" cy="571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gplot_model_pred_comparison.png"/>
                    <pic:cNvPicPr/>
                  </pic:nvPicPr>
                  <pic:blipFill>
                    <a:blip r:embed="rId4">
                      <a:extLst>
                        <a:ext uri="{28A0092B-C50C-407E-A947-70E740481C1C}">
                          <a14:useLocalDpi xmlns:a14="http://schemas.microsoft.com/office/drawing/2010/main" val="0"/>
                        </a:ext>
                      </a:extLst>
                    </a:blip>
                    <a:stretch>
                      <a:fillRect/>
                    </a:stretch>
                  </pic:blipFill>
                  <pic:spPr>
                    <a:xfrm>
                      <a:off x="0" y="0"/>
                      <a:ext cx="3810000" cy="5715000"/>
                    </a:xfrm>
                    <a:prstGeom prst="rect">
                      <a:avLst/>
                    </a:prstGeom>
                  </pic:spPr>
                </pic:pic>
              </a:graphicData>
            </a:graphic>
          </wp:inline>
        </w:drawing>
      </w:r>
    </w:p>
    <w:p w:rsidR="005E096F" w:rsidRDefault="005E096F" w:rsidP="005E096F">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Correlation between observed and predicted juvenile densities between 1998 and 2019 for the GAM, GLMM and random forest models. R packages are parenthetically references in the margins.</w:t>
      </w:r>
    </w:p>
    <w:p w:rsidR="005E096F" w:rsidRPr="00823040" w:rsidRDefault="005E096F" w:rsidP="005E096F">
      <w:pPr>
        <w:pStyle w:val="Caption"/>
      </w:pPr>
      <w:r>
        <w:rPr>
          <w:noProof/>
        </w:rPr>
        <w:lastRenderedPageBreak/>
        <w:drawing>
          <wp:inline distT="0" distB="0" distL="0" distR="0" wp14:anchorId="31741A15" wp14:editId="4E19725E">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gplot_predictive_rmse_2015_2019.png"/>
                    <pic:cNvPicPr/>
                  </pic:nvPicPr>
                  <pic:blipFill>
                    <a:blip r:embed="rId5">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r>
        <w:t xml:space="preserve"> </w:t>
      </w:r>
    </w:p>
    <w:p w:rsidR="005E096F" w:rsidRDefault="005E096F" w:rsidP="005E096F">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Predictive ability of GAMM, GLMM, and RF models for juvenile Coho salmon densities in the Coastal Oregon evolutionary significant unit (ESU) for zero, one, and two years into the future using rot mean-square-error average for years 2015 to 2019.</w:t>
      </w:r>
    </w:p>
    <w:p w:rsidR="005E096F" w:rsidRDefault="005E096F" w:rsidP="005E096F">
      <w:pPr>
        <w:spacing w:line="259" w:lineRule="auto"/>
        <w:rPr>
          <w:iCs/>
          <w:szCs w:val="18"/>
        </w:rPr>
      </w:pPr>
      <w:r>
        <w:br w:type="page"/>
      </w:r>
    </w:p>
    <w:p w:rsidR="005E096F" w:rsidRDefault="005E096F" w:rsidP="005E096F">
      <w:pPr>
        <w:pStyle w:val="Caption"/>
      </w:pPr>
      <w:r>
        <w:rPr>
          <w:noProof/>
        </w:rPr>
        <w:lastRenderedPageBreak/>
        <w:drawing>
          <wp:anchor distT="0" distB="0" distL="114300" distR="114300" simplePos="0" relativeHeight="251659264" behindDoc="0" locked="0" layoutInCell="1" allowOverlap="1" wp14:anchorId="414558B7" wp14:editId="1C6932C8">
            <wp:simplePos x="0" y="0"/>
            <wp:positionH relativeFrom="column">
              <wp:posOffset>0</wp:posOffset>
            </wp:positionH>
            <wp:positionV relativeFrom="paragraph">
              <wp:posOffset>466725</wp:posOffset>
            </wp:positionV>
            <wp:extent cx="5943600" cy="61239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6123940"/>
                    </a:xfrm>
                    <a:prstGeom prst="rect">
                      <a:avLst/>
                    </a:prstGeom>
                  </pic:spPr>
                </pic:pic>
              </a:graphicData>
            </a:graphic>
          </wp:anchor>
        </w:drawing>
      </w:r>
    </w:p>
    <w:p w:rsidR="005E096F" w:rsidRDefault="005E096F" w:rsidP="005E096F">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Marginal effects of the covariates.</w:t>
      </w:r>
    </w:p>
    <w:p w:rsidR="005E096F" w:rsidRDefault="005E096F" w:rsidP="005E096F">
      <w:pPr>
        <w:spacing w:line="259" w:lineRule="auto"/>
        <w:rPr>
          <w:iCs/>
          <w:szCs w:val="18"/>
        </w:rPr>
      </w:pPr>
      <w:r>
        <w:br w:type="page"/>
      </w:r>
    </w:p>
    <w:p w:rsidR="005E096F" w:rsidRDefault="005E096F" w:rsidP="005E096F">
      <w:pPr>
        <w:pStyle w:val="Caption"/>
      </w:pPr>
      <w:r>
        <w:rPr>
          <w:noProof/>
        </w:rPr>
        <w:lastRenderedPageBreak/>
        <w:drawing>
          <wp:inline distT="0" distB="0" distL="0" distR="0" wp14:anchorId="0ACDF561" wp14:editId="1A4B5219">
            <wp:extent cx="59436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gplot_model_pred_spatial_comparison.png"/>
                    <pic:cNvPicPr/>
                  </pic:nvPicPr>
                  <pic:blipFill>
                    <a:blip r:embed="rId7">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5E096F" w:rsidRDefault="005E096F" w:rsidP="005E096F">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Spatiotemporal predictions (model 5) of juvenile Coho densities across the domain for the Oregon coastal ESU from 1998 to 2019. Dots represent the log observed positive juvenile densities superimposed on the predicted juvenile density (raster image).</w:t>
      </w:r>
    </w:p>
    <w:p w:rsidR="005E096F" w:rsidRDefault="005E096F" w:rsidP="005E096F">
      <w:r>
        <w:br w:type="page"/>
      </w:r>
    </w:p>
    <w:p w:rsidR="005E096F" w:rsidRDefault="005E096F" w:rsidP="005E096F">
      <w:pPr>
        <w:sectPr w:rsidR="005E096F" w:rsidSect="00E403E3">
          <w:footerReference w:type="default" r:id="rId8"/>
          <w:pgSz w:w="12240" w:h="15840"/>
          <w:pgMar w:top="1440" w:right="1440" w:bottom="1440" w:left="1440" w:header="720" w:footer="720" w:gutter="0"/>
          <w:cols w:space="720"/>
          <w:docGrid w:linePitch="360"/>
        </w:sectPr>
      </w:pPr>
    </w:p>
    <w:p w:rsidR="005E096F" w:rsidRDefault="005E096F" w:rsidP="005E096F">
      <w:pPr>
        <w:sectPr w:rsidR="005E096F" w:rsidSect="00E403E3">
          <w:pgSz w:w="12240" w:h="15840"/>
          <w:pgMar w:top="1440" w:right="1440" w:bottom="1440" w:left="1440" w:header="720" w:footer="720" w:gutter="0"/>
          <w:cols w:space="720"/>
          <w:docGrid w:linePitch="360"/>
        </w:sectPr>
      </w:pPr>
    </w:p>
    <w:p w:rsidR="005E096F" w:rsidRDefault="005E096F" w:rsidP="005E096F">
      <w:pPr>
        <w:pStyle w:val="Caption"/>
        <w:keepNext/>
      </w:pPr>
      <w:bookmarkStart w:id="1" w:name="_Ref100573752"/>
      <w:r>
        <w:lastRenderedPageBreak/>
        <w:t xml:space="preserve">Table </w:t>
      </w:r>
      <w:r>
        <w:fldChar w:fldCharType="begin"/>
      </w:r>
      <w:r>
        <w:instrText xml:space="preserve"> SEQ Table \* ARABIC </w:instrText>
      </w:r>
      <w:r>
        <w:fldChar w:fldCharType="separate"/>
      </w:r>
      <w:r>
        <w:rPr>
          <w:noProof/>
        </w:rPr>
        <w:t>1</w:t>
      </w:r>
      <w:r>
        <w:rPr>
          <w:noProof/>
        </w:rPr>
        <w:fldChar w:fldCharType="end"/>
      </w:r>
      <w:bookmarkEnd w:id="1"/>
      <w:r>
        <w:t>. Annual number of observation of juvenile Coho salmon densities for each watershed population group in the coastal Oregon ESU.</w:t>
      </w:r>
    </w:p>
    <w:tbl>
      <w:tblPr>
        <w:tblW w:w="12039" w:type="dxa"/>
        <w:tblLook w:val="04A0" w:firstRow="1" w:lastRow="0" w:firstColumn="1" w:lastColumn="0" w:noHBand="0" w:noVBand="1"/>
      </w:tblPr>
      <w:tblGrid>
        <w:gridCol w:w="1479"/>
        <w:gridCol w:w="960"/>
        <w:gridCol w:w="960"/>
        <w:gridCol w:w="960"/>
        <w:gridCol w:w="960"/>
        <w:gridCol w:w="960"/>
        <w:gridCol w:w="960"/>
        <w:gridCol w:w="960"/>
        <w:gridCol w:w="960"/>
        <w:gridCol w:w="960"/>
        <w:gridCol w:w="960"/>
        <w:gridCol w:w="960"/>
      </w:tblGrid>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Population Group</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1998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1999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2008</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Alsea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Beaver</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Coos</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Coquille</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Floras</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Lower Umpqua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MCDependent</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Middle Umpqua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MSDependent</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NCDependent</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Necanicum</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Nehalem</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Nestucca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North Umpqua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Salmon</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Siletz</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Siltcoos</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Siuslaw</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19</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Sixes</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South Umpqua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Tahkenitch</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Tenmile</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Tillamook Bay</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r>
      <w:tr w:rsidR="005E096F" w:rsidRPr="00E403E3" w:rsidTr="00C7197F">
        <w:trPr>
          <w:trHeight w:val="300"/>
        </w:trPr>
        <w:tc>
          <w:tcPr>
            <w:tcW w:w="147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Yaquina</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r>
    </w:tbl>
    <w:p w:rsidR="005E096F" w:rsidRPr="00E403E3" w:rsidRDefault="005E096F" w:rsidP="005E096F"/>
    <w:tbl>
      <w:tblPr>
        <w:tblW w:w="31680" w:type="dxa"/>
        <w:tblLook w:val="04A0" w:firstRow="1" w:lastRow="0" w:firstColumn="1" w:lastColumn="0" w:noHBand="0" w:noVBand="1"/>
      </w:tblPr>
      <w:tblGrid>
        <w:gridCol w:w="12252"/>
        <w:gridCol w:w="438"/>
        <w:gridCol w:w="439"/>
        <w:gridCol w:w="439"/>
        <w:gridCol w:w="439"/>
        <w:gridCol w:w="439"/>
        <w:gridCol w:w="438"/>
        <w:gridCol w:w="438"/>
        <w:gridCol w:w="438"/>
        <w:gridCol w:w="438"/>
        <w:gridCol w:w="438"/>
        <w:gridCol w:w="438"/>
        <w:gridCol w:w="438"/>
        <w:gridCol w:w="438"/>
        <w:gridCol w:w="438"/>
        <w:gridCol w:w="438"/>
        <w:gridCol w:w="438"/>
        <w:gridCol w:w="438"/>
        <w:gridCol w:w="438"/>
        <w:gridCol w:w="2885"/>
        <w:gridCol w:w="2885"/>
        <w:gridCol w:w="2885"/>
        <w:gridCol w:w="2885"/>
      </w:tblGrid>
      <w:tr w:rsidR="005E096F" w:rsidRPr="00E403E3" w:rsidTr="00C7197F">
        <w:trPr>
          <w:trHeight w:val="300"/>
        </w:trPr>
        <w:tc>
          <w:tcPr>
            <w:tcW w:w="12252" w:type="dxa"/>
            <w:tcBorders>
              <w:top w:val="nil"/>
              <w:left w:val="nil"/>
              <w:bottom w:val="nil"/>
              <w:right w:val="nil"/>
            </w:tcBorders>
            <w:shd w:val="clear" w:color="auto" w:fill="auto"/>
            <w:noWrap/>
            <w:vAlign w:val="bottom"/>
          </w:tcPr>
          <w:p w:rsidR="005E096F" w:rsidRDefault="005E096F" w:rsidP="00C7197F"/>
          <w:p w:rsidR="005E096F" w:rsidRPr="00E403E3" w:rsidRDefault="005E096F" w:rsidP="00C7197F">
            <w:pPr>
              <w:jc w:val="center"/>
            </w:pPr>
            <w:r>
              <w:fldChar w:fldCharType="begin"/>
            </w:r>
            <w:r>
              <w:instrText xml:space="preserve"> REF _Ref100573752 </w:instrText>
            </w:r>
            <w:r>
              <w:fldChar w:fldCharType="separate"/>
            </w:r>
            <w:r>
              <w:t xml:space="preserve">Table </w:t>
            </w:r>
            <w:r>
              <w:rPr>
                <w:noProof/>
              </w:rPr>
              <w:t>1</w:t>
            </w:r>
            <w:r>
              <w:rPr>
                <w:noProof/>
              </w:rPr>
              <w:fldChar w:fldCharType="end"/>
            </w:r>
            <w:r>
              <w:t xml:space="preserve"> – continued</w:t>
            </w: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r>
      <w:tr w:rsidR="005E096F" w:rsidRPr="00E403E3" w:rsidTr="00C7197F">
        <w:trPr>
          <w:trHeight w:val="300"/>
        </w:trPr>
        <w:tc>
          <w:tcPr>
            <w:tcW w:w="12252" w:type="dxa"/>
            <w:tcBorders>
              <w:top w:val="nil"/>
              <w:left w:val="nil"/>
              <w:bottom w:val="nil"/>
              <w:right w:val="nil"/>
            </w:tcBorders>
            <w:shd w:val="clear" w:color="auto" w:fill="auto"/>
            <w:noWrap/>
            <w:vAlign w:val="bottom"/>
          </w:tcPr>
          <w:p w:rsidR="005E096F" w:rsidRDefault="005E096F" w:rsidP="00C7197F"/>
          <w:tbl>
            <w:tblPr>
              <w:tblW w:w="12037" w:type="dxa"/>
              <w:tblLook w:val="04A0" w:firstRow="1" w:lastRow="0" w:firstColumn="1" w:lastColumn="0" w:noHBand="0" w:noVBand="1"/>
            </w:tblPr>
            <w:tblGrid>
              <w:gridCol w:w="1477"/>
              <w:gridCol w:w="959"/>
              <w:gridCol w:w="960"/>
              <w:gridCol w:w="960"/>
              <w:gridCol w:w="960"/>
              <w:gridCol w:w="960"/>
              <w:gridCol w:w="960"/>
              <w:gridCol w:w="960"/>
              <w:gridCol w:w="960"/>
              <w:gridCol w:w="960"/>
              <w:gridCol w:w="960"/>
              <w:gridCol w:w="960"/>
            </w:tblGrid>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Population Group</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2009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2019</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Alsea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Beaver</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Coos</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Coquille</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Floras</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Lower Umpqua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MCDependent</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Middle Umpqua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MSDependent</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NCDependent</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Necanicum</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Nehalem</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Nestucca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North Umpqua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Salmon</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Siletz</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Siltcoos</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Siuslaw</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Sixes</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South Umpqua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14</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Tahkenitch</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Tenmile</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0</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lastRenderedPageBreak/>
                    <w:t>Tillamook Bay</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9</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8</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12</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10</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11</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7</w:t>
                  </w:r>
                </w:p>
              </w:tc>
            </w:tr>
            <w:tr w:rsidR="005E096F" w:rsidRPr="00E403E3" w:rsidTr="00C7197F">
              <w:trPr>
                <w:trHeight w:val="300"/>
              </w:trPr>
              <w:tc>
                <w:tcPr>
                  <w:tcW w:w="1478"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rPr>
                      <w:rFonts w:ascii="Calibri" w:eastAsia="Times New Roman" w:hAnsi="Calibri" w:cs="Calibri"/>
                      <w:color w:val="000000"/>
                      <w:sz w:val="18"/>
                      <w:szCs w:val="18"/>
                    </w:rPr>
                  </w:pPr>
                  <w:r w:rsidRPr="00E403E3">
                    <w:rPr>
                      <w:rFonts w:ascii="Calibri" w:eastAsia="Times New Roman" w:hAnsi="Calibri" w:cs="Calibri"/>
                      <w:color w:val="000000"/>
                      <w:sz w:val="18"/>
                      <w:szCs w:val="18"/>
                    </w:rPr>
                    <w:t>Yaquina</w:t>
                  </w:r>
                </w:p>
              </w:tc>
              <w:tc>
                <w:tcPr>
                  <w:tcW w:w="959"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3</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5</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4</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c>
                <w:tcPr>
                  <w:tcW w:w="960" w:type="dxa"/>
                  <w:tcBorders>
                    <w:top w:val="nil"/>
                    <w:left w:val="nil"/>
                    <w:bottom w:val="nil"/>
                    <w:right w:val="nil"/>
                  </w:tcBorders>
                  <w:shd w:val="clear" w:color="auto" w:fill="auto"/>
                  <w:noWrap/>
                  <w:vAlign w:val="bottom"/>
                  <w:hideMark/>
                </w:tcPr>
                <w:p w:rsidR="005E096F" w:rsidRPr="00E403E3" w:rsidRDefault="005E096F" w:rsidP="00C7197F">
                  <w:pPr>
                    <w:spacing w:after="0" w:line="240" w:lineRule="auto"/>
                    <w:jc w:val="right"/>
                    <w:rPr>
                      <w:rFonts w:ascii="Calibri" w:eastAsia="Times New Roman" w:hAnsi="Calibri" w:cs="Calibri"/>
                      <w:color w:val="000000"/>
                      <w:sz w:val="18"/>
                      <w:szCs w:val="18"/>
                    </w:rPr>
                  </w:pPr>
                  <w:r w:rsidRPr="00E403E3">
                    <w:rPr>
                      <w:rFonts w:ascii="Calibri" w:eastAsia="Times New Roman" w:hAnsi="Calibri" w:cs="Calibri"/>
                      <w:color w:val="000000"/>
                      <w:sz w:val="18"/>
                      <w:szCs w:val="18"/>
                    </w:rPr>
                    <w:t>6</w:t>
                  </w:r>
                </w:p>
              </w:tc>
            </w:tr>
          </w:tbl>
          <w:p w:rsidR="005E096F" w:rsidRPr="00E403E3" w:rsidRDefault="005E096F" w:rsidP="00C7197F">
            <w:pPr>
              <w:spacing w:after="0" w:line="240" w:lineRule="auto"/>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r>
      <w:tr w:rsidR="005E096F" w:rsidRPr="00E403E3" w:rsidTr="00C7197F">
        <w:trPr>
          <w:trHeight w:val="300"/>
        </w:trPr>
        <w:tc>
          <w:tcPr>
            <w:tcW w:w="12252" w:type="dxa"/>
            <w:tcBorders>
              <w:top w:val="nil"/>
              <w:left w:val="nil"/>
              <w:bottom w:val="nil"/>
              <w:right w:val="nil"/>
            </w:tcBorders>
            <w:shd w:val="clear" w:color="auto" w:fill="auto"/>
            <w:noWrap/>
            <w:vAlign w:val="bottom"/>
          </w:tcPr>
          <w:p w:rsidR="005E096F" w:rsidRPr="00E403E3" w:rsidRDefault="005E096F" w:rsidP="00C7197F">
            <w:pPr>
              <w:spacing w:after="0" w:line="240" w:lineRule="auto"/>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r>
      <w:tr w:rsidR="005E096F" w:rsidRPr="00E403E3" w:rsidTr="00C7197F">
        <w:trPr>
          <w:trHeight w:val="300"/>
        </w:trPr>
        <w:tc>
          <w:tcPr>
            <w:tcW w:w="12252" w:type="dxa"/>
            <w:tcBorders>
              <w:top w:val="nil"/>
              <w:left w:val="nil"/>
              <w:bottom w:val="nil"/>
              <w:right w:val="nil"/>
            </w:tcBorders>
            <w:shd w:val="clear" w:color="auto" w:fill="auto"/>
            <w:noWrap/>
            <w:vAlign w:val="bottom"/>
          </w:tcPr>
          <w:p w:rsidR="005E096F" w:rsidRPr="00E403E3" w:rsidRDefault="005E096F" w:rsidP="00C7197F">
            <w:pPr>
              <w:spacing w:after="0" w:line="240" w:lineRule="auto"/>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9"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438"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c>
          <w:tcPr>
            <w:tcW w:w="2885" w:type="dxa"/>
            <w:tcBorders>
              <w:top w:val="nil"/>
              <w:left w:val="nil"/>
              <w:bottom w:val="nil"/>
              <w:right w:val="nil"/>
            </w:tcBorders>
            <w:shd w:val="clear" w:color="auto" w:fill="auto"/>
            <w:noWrap/>
            <w:vAlign w:val="bottom"/>
          </w:tcPr>
          <w:p w:rsidR="005E096F" w:rsidRPr="00E403E3" w:rsidRDefault="005E096F" w:rsidP="00C7197F">
            <w:pPr>
              <w:spacing w:after="0" w:line="240" w:lineRule="auto"/>
              <w:jc w:val="right"/>
              <w:rPr>
                <w:rFonts w:ascii="Calibri" w:eastAsia="Times New Roman" w:hAnsi="Calibri" w:cs="Calibri"/>
                <w:color w:val="000000"/>
                <w:sz w:val="10"/>
                <w:szCs w:val="10"/>
              </w:rPr>
            </w:pPr>
          </w:p>
        </w:tc>
      </w:tr>
    </w:tbl>
    <w:p w:rsidR="005E096F" w:rsidRDefault="005E096F" w:rsidP="005E096F">
      <w:pPr>
        <w:rPr>
          <w:rFonts w:ascii="Calibri" w:eastAsia="Times New Roman" w:hAnsi="Calibri" w:cs="Calibri"/>
          <w:color w:val="000000"/>
          <w:sz w:val="10"/>
          <w:szCs w:val="10"/>
        </w:rPr>
        <w:sectPr w:rsidR="005E096F" w:rsidSect="000B2154">
          <w:pgSz w:w="15840" w:h="12240" w:orient="landscape"/>
          <w:pgMar w:top="1440" w:right="1440" w:bottom="1440" w:left="1440" w:header="720" w:footer="720" w:gutter="0"/>
          <w:cols w:space="720"/>
          <w:docGrid w:linePitch="360"/>
        </w:sectPr>
      </w:pPr>
    </w:p>
    <w:p w:rsidR="005E096F" w:rsidRDefault="005E096F" w:rsidP="005E096F">
      <w:pPr>
        <w:pStyle w:val="Caption"/>
      </w:pPr>
      <w:r>
        <w:lastRenderedPageBreak/>
        <w:t xml:space="preserve">Table </w:t>
      </w:r>
      <w:r>
        <w:fldChar w:fldCharType="begin"/>
      </w:r>
      <w:r>
        <w:instrText xml:space="preserve"> SEQ Table \* ARABIC </w:instrText>
      </w:r>
      <w:r>
        <w:fldChar w:fldCharType="separate"/>
      </w:r>
      <w:r>
        <w:rPr>
          <w:noProof/>
        </w:rPr>
        <w:t>2</w:t>
      </w:r>
      <w:r>
        <w:rPr>
          <w:noProof/>
        </w:rPr>
        <w:fldChar w:fldCharType="end"/>
      </w:r>
      <w:r>
        <w:t>. AIC values for the parameteric models.</w:t>
      </w:r>
    </w:p>
    <w:p w:rsidR="005E096F" w:rsidRDefault="005E096F" w:rsidP="005E096F"/>
    <w:p w:rsidR="005E096F" w:rsidRDefault="005E096F" w:rsidP="005E096F"/>
    <w:p w:rsidR="005E096F" w:rsidRDefault="005E096F" w:rsidP="005E096F">
      <w:pPr>
        <w:spacing w:line="259" w:lineRule="auto"/>
      </w:pPr>
      <w:r>
        <w:br w:type="page"/>
      </w:r>
    </w:p>
    <w:p w:rsidR="005E096F" w:rsidRPr="001206DF" w:rsidRDefault="005E096F" w:rsidP="005E096F">
      <w:r>
        <w:lastRenderedPageBreak/>
        <w:t>Supplemental</w:t>
      </w:r>
    </w:p>
    <w:p w:rsidR="005E096F" w:rsidRDefault="005E096F" w:rsidP="005E096F">
      <w:pPr>
        <w:pStyle w:val="Caption"/>
      </w:pPr>
      <w:bookmarkStart w:id="2" w:name="_Ref106284357"/>
      <w:r>
        <w:t xml:space="preserve">Supplemental Table S </w:t>
      </w:r>
      <w:r>
        <w:fldChar w:fldCharType="begin"/>
      </w:r>
      <w:r>
        <w:instrText xml:space="preserve"> SEQ Supplemental_Table_S \* ARABIC </w:instrText>
      </w:r>
      <w:r>
        <w:fldChar w:fldCharType="separate"/>
      </w:r>
      <w:r>
        <w:rPr>
          <w:noProof/>
        </w:rPr>
        <w:t>1</w:t>
      </w:r>
      <w:r>
        <w:rPr>
          <w:noProof/>
        </w:rPr>
        <w:fldChar w:fldCharType="end"/>
      </w:r>
      <w:bookmarkEnd w:id="2"/>
      <w:r>
        <w:t xml:space="preserve">. Grid search for GLMM model (found in </w:t>
      </w:r>
      <w:r w:rsidRPr="003D669F">
        <w:t>output$exploratory$</w:t>
      </w:r>
      <w:r>
        <w:t>sdm</w:t>
      </w:r>
      <w:r w:rsidRPr="003D669F">
        <w:t>$grid_search</w:t>
      </w:r>
      <w:r>
        <w:t>).</w:t>
      </w:r>
    </w:p>
    <w:tbl>
      <w:tblPr>
        <w:tblW w:w="6280" w:type="dxa"/>
        <w:tblLook w:val="04A0" w:firstRow="1" w:lastRow="0" w:firstColumn="1" w:lastColumn="0" w:noHBand="0" w:noVBand="1"/>
      </w:tblPr>
      <w:tblGrid>
        <w:gridCol w:w="1530"/>
        <w:gridCol w:w="1149"/>
        <w:gridCol w:w="950"/>
        <w:gridCol w:w="1711"/>
        <w:gridCol w:w="1116"/>
      </w:tblGrid>
      <w:tr w:rsidR="005E096F" w:rsidRPr="003D669F" w:rsidTr="00C7197F">
        <w:trPr>
          <w:trHeight w:val="315"/>
        </w:trPr>
        <w:tc>
          <w:tcPr>
            <w:tcW w:w="1530" w:type="dxa"/>
            <w:tcBorders>
              <w:top w:val="single" w:sz="4" w:space="0" w:color="auto"/>
              <w:left w:val="nil"/>
              <w:bottom w:val="single" w:sz="4" w:space="0" w:color="auto"/>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Model ID</w:t>
            </w:r>
          </w:p>
        </w:tc>
        <w:tc>
          <w:tcPr>
            <w:tcW w:w="1080" w:type="dxa"/>
            <w:tcBorders>
              <w:top w:val="single" w:sz="4" w:space="0" w:color="auto"/>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Temporal</w:t>
            </w:r>
          </w:p>
        </w:tc>
        <w:tc>
          <w:tcPr>
            <w:tcW w:w="906" w:type="dxa"/>
            <w:tcBorders>
              <w:top w:val="single" w:sz="4" w:space="0" w:color="auto"/>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Spatial</w:t>
            </w:r>
          </w:p>
        </w:tc>
        <w:tc>
          <w:tcPr>
            <w:tcW w:w="1711" w:type="dxa"/>
            <w:tcBorders>
              <w:top w:val="single" w:sz="4" w:space="0" w:color="auto"/>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Spatiotemporal</w:t>
            </w:r>
          </w:p>
        </w:tc>
        <w:tc>
          <w:tcPr>
            <w:tcW w:w="1053" w:type="dxa"/>
            <w:tcBorders>
              <w:top w:val="single" w:sz="4" w:space="0" w:color="auto"/>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RMSE</w:t>
            </w:r>
          </w:p>
        </w:tc>
      </w:tr>
      <w:tr w:rsidR="005E096F" w:rsidRPr="003D669F" w:rsidTr="00C7197F">
        <w:trPr>
          <w:trHeight w:val="315"/>
        </w:trPr>
        <w:tc>
          <w:tcPr>
            <w:tcW w:w="1530" w:type="dxa"/>
            <w:tcBorders>
              <w:top w:val="single" w:sz="4" w:space="0" w:color="auto"/>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1</w:t>
            </w:r>
          </w:p>
        </w:tc>
        <w:tc>
          <w:tcPr>
            <w:tcW w:w="1080" w:type="dxa"/>
            <w:tcBorders>
              <w:top w:val="single" w:sz="4" w:space="0" w:color="auto"/>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single" w:sz="4" w:space="0" w:color="auto"/>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single" w:sz="4" w:space="0" w:color="auto"/>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AR1</w:t>
            </w:r>
          </w:p>
        </w:tc>
        <w:tc>
          <w:tcPr>
            <w:tcW w:w="1053" w:type="dxa"/>
            <w:tcBorders>
              <w:top w:val="single" w:sz="4" w:space="0" w:color="auto"/>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415.4570</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2</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AR1</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415.4571</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3</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i.i.d.</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416.4262</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i.i.d.</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416.4363</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5</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AR1</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417.9972</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6</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AR1</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418.0085</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7</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i.i.d.</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418.6337</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8</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i.i.d.</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423.5655</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9</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458.9284</w:t>
            </w:r>
          </w:p>
        </w:tc>
      </w:tr>
      <w:tr w:rsidR="005E096F" w:rsidRPr="003D669F" w:rsidTr="00C7197F">
        <w:trPr>
          <w:trHeight w:val="315"/>
        </w:trPr>
        <w:tc>
          <w:tcPr>
            <w:tcW w:w="1530" w:type="dxa"/>
            <w:tcBorders>
              <w:top w:val="nil"/>
              <w:left w:val="nil"/>
              <w:bottom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10</w:t>
            </w:r>
          </w:p>
        </w:tc>
        <w:tc>
          <w:tcPr>
            <w:tcW w:w="1080"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TRUE</w:t>
            </w:r>
          </w:p>
        </w:tc>
        <w:tc>
          <w:tcPr>
            <w:tcW w:w="1711"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053" w:type="dxa"/>
            <w:tcBorders>
              <w:top w:val="nil"/>
              <w:left w:val="nil"/>
              <w:bottom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460.0261</w:t>
            </w:r>
          </w:p>
        </w:tc>
      </w:tr>
      <w:tr w:rsidR="005E096F" w:rsidRPr="003D669F" w:rsidTr="00C7197F">
        <w:trPr>
          <w:trHeight w:val="315"/>
        </w:trPr>
        <w:tc>
          <w:tcPr>
            <w:tcW w:w="1530" w:type="dxa"/>
            <w:tcBorders>
              <w:top w:val="nil"/>
              <w:left w:val="nil"/>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11</w:t>
            </w:r>
          </w:p>
        </w:tc>
        <w:tc>
          <w:tcPr>
            <w:tcW w:w="1080" w:type="dxa"/>
            <w:tcBorders>
              <w:top w:val="nil"/>
              <w:left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906" w:type="dxa"/>
            <w:tcBorders>
              <w:top w:val="nil"/>
              <w:left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nil"/>
              <w:left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053" w:type="dxa"/>
            <w:tcBorders>
              <w:top w:val="nil"/>
              <w:left w:val="nil"/>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563.9657</w:t>
            </w:r>
          </w:p>
        </w:tc>
      </w:tr>
      <w:tr w:rsidR="005E096F" w:rsidRPr="003D669F" w:rsidTr="00C7197F">
        <w:trPr>
          <w:trHeight w:val="315"/>
        </w:trPr>
        <w:tc>
          <w:tcPr>
            <w:tcW w:w="1530" w:type="dxa"/>
            <w:tcBorders>
              <w:top w:val="nil"/>
              <w:left w:val="nil"/>
              <w:bottom w:val="single" w:sz="4" w:space="0" w:color="auto"/>
              <w:right w:val="nil"/>
            </w:tcBorders>
            <w:shd w:val="clear" w:color="auto" w:fill="auto"/>
            <w:noWrap/>
            <w:vAlign w:val="center"/>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12</w:t>
            </w:r>
          </w:p>
        </w:tc>
        <w:tc>
          <w:tcPr>
            <w:tcW w:w="1080" w:type="dxa"/>
            <w:tcBorders>
              <w:top w:val="nil"/>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i.i.d.</w:t>
            </w:r>
          </w:p>
        </w:tc>
        <w:tc>
          <w:tcPr>
            <w:tcW w:w="906" w:type="dxa"/>
            <w:tcBorders>
              <w:top w:val="nil"/>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711" w:type="dxa"/>
            <w:tcBorders>
              <w:top w:val="nil"/>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FALSE</w:t>
            </w:r>
          </w:p>
        </w:tc>
        <w:tc>
          <w:tcPr>
            <w:tcW w:w="1053" w:type="dxa"/>
            <w:tcBorders>
              <w:top w:val="nil"/>
              <w:left w:val="nil"/>
              <w:bottom w:val="single" w:sz="4" w:space="0" w:color="auto"/>
              <w:right w:val="nil"/>
            </w:tcBorders>
            <w:shd w:val="clear" w:color="auto" w:fill="auto"/>
            <w:noWrap/>
            <w:vAlign w:val="bottom"/>
            <w:hideMark/>
          </w:tcPr>
          <w:p w:rsidR="005E096F" w:rsidRPr="003D669F" w:rsidRDefault="005E096F" w:rsidP="00C7197F">
            <w:pPr>
              <w:spacing w:after="0" w:line="240" w:lineRule="auto"/>
              <w:jc w:val="right"/>
              <w:rPr>
                <w:rFonts w:eastAsia="Times New Roman" w:cs="Times New Roman"/>
                <w:color w:val="000000"/>
                <w:szCs w:val="24"/>
              </w:rPr>
            </w:pPr>
            <w:r w:rsidRPr="003D669F">
              <w:rPr>
                <w:rFonts w:eastAsia="Times New Roman" w:cs="Times New Roman"/>
                <w:color w:val="000000"/>
                <w:szCs w:val="24"/>
              </w:rPr>
              <w:t>567.0365</w:t>
            </w:r>
          </w:p>
        </w:tc>
      </w:tr>
    </w:tbl>
    <w:p w:rsidR="005E096F" w:rsidRDefault="005E096F" w:rsidP="005E096F">
      <w:pPr>
        <w:spacing w:after="100" w:afterAutospacing="1" w:line="240" w:lineRule="auto"/>
      </w:pPr>
    </w:p>
    <w:p w:rsidR="005E096F" w:rsidRDefault="005E096F" w:rsidP="005E096F">
      <w:pPr>
        <w:pStyle w:val="Caption"/>
      </w:pPr>
      <w:bookmarkStart w:id="3" w:name="_Ref106284362"/>
      <w:r>
        <w:t xml:space="preserve">Supplemental Table S </w:t>
      </w:r>
      <w:r>
        <w:fldChar w:fldCharType="begin"/>
      </w:r>
      <w:r>
        <w:instrText xml:space="preserve"> SEQ Supplemental_Table_S \* ARABIC </w:instrText>
      </w:r>
      <w:r>
        <w:fldChar w:fldCharType="separate"/>
      </w:r>
      <w:r>
        <w:rPr>
          <w:noProof/>
        </w:rPr>
        <w:t>2</w:t>
      </w:r>
      <w:r>
        <w:rPr>
          <w:noProof/>
        </w:rPr>
        <w:fldChar w:fldCharType="end"/>
      </w:r>
      <w:bookmarkEnd w:id="3"/>
      <w:r>
        <w:t>. Grid search for GAM models (</w:t>
      </w:r>
      <w:r w:rsidRPr="005A13EB">
        <w:rPr>
          <w:rFonts w:eastAsia="Times New Roman" w:cs="Times New Roman"/>
          <w:color w:val="000000"/>
          <w:szCs w:val="24"/>
        </w:rPr>
        <w:t>output$exploratory$gam$grid_search</w:t>
      </w:r>
      <w:r>
        <w:rPr>
          <w:rFonts w:eastAsia="Times New Roman" w:cs="Times New Roman"/>
          <w:color w:val="000000"/>
          <w:szCs w:val="24"/>
        </w:rPr>
        <w:t>).</w:t>
      </w:r>
    </w:p>
    <w:tbl>
      <w:tblPr>
        <w:tblW w:w="8192" w:type="dxa"/>
        <w:tblLook w:val="04A0" w:firstRow="1" w:lastRow="0" w:firstColumn="1" w:lastColumn="0" w:noHBand="0" w:noVBand="1"/>
      </w:tblPr>
      <w:tblGrid>
        <w:gridCol w:w="1440"/>
        <w:gridCol w:w="1620"/>
        <w:gridCol w:w="1530"/>
        <w:gridCol w:w="843"/>
        <w:gridCol w:w="1643"/>
        <w:gridCol w:w="1116"/>
      </w:tblGrid>
      <w:tr w:rsidR="005E096F" w:rsidRPr="00F77FE9" w:rsidTr="00C7197F">
        <w:trPr>
          <w:trHeight w:val="300"/>
        </w:trPr>
        <w:tc>
          <w:tcPr>
            <w:tcW w:w="1440"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rPr>
                <w:rFonts w:eastAsia="Times New Roman" w:cs="Times New Roman"/>
                <w:color w:val="000000"/>
                <w:szCs w:val="24"/>
              </w:rPr>
            </w:pPr>
            <w:r w:rsidRPr="00F77FE9">
              <w:rPr>
                <w:rFonts w:eastAsia="Times New Roman" w:cs="Times New Roman"/>
                <w:color w:val="000000"/>
                <w:szCs w:val="24"/>
              </w:rPr>
              <w:t>Model ID</w:t>
            </w:r>
          </w:p>
        </w:tc>
        <w:tc>
          <w:tcPr>
            <w:tcW w:w="1620"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Covariates</w:t>
            </w:r>
          </w:p>
        </w:tc>
        <w:tc>
          <w:tcPr>
            <w:tcW w:w="1530"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Temporal</w:t>
            </w:r>
          </w:p>
        </w:tc>
        <w:tc>
          <w:tcPr>
            <w:tcW w:w="843"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spatial</w:t>
            </w:r>
          </w:p>
        </w:tc>
        <w:tc>
          <w:tcPr>
            <w:tcW w:w="1643"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spatiotemporal</w:t>
            </w:r>
          </w:p>
        </w:tc>
        <w:tc>
          <w:tcPr>
            <w:tcW w:w="1116" w:type="dxa"/>
            <w:tcBorders>
              <w:top w:val="single" w:sz="4" w:space="0" w:color="auto"/>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RMSE</w:t>
            </w:r>
          </w:p>
        </w:tc>
      </w:tr>
      <w:tr w:rsidR="005E096F" w:rsidRPr="00F77FE9" w:rsidTr="00C7197F">
        <w:trPr>
          <w:trHeight w:val="300"/>
        </w:trPr>
        <w:tc>
          <w:tcPr>
            <w:tcW w:w="1440"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Pr>
                <w:rFonts w:cs="Times New Roman"/>
                <w:color w:val="000000"/>
                <w:szCs w:val="24"/>
              </w:rPr>
              <w:t>1</w:t>
            </w:r>
          </w:p>
        </w:tc>
        <w:tc>
          <w:tcPr>
            <w:tcW w:w="1620"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Included</w:t>
            </w:r>
          </w:p>
        </w:tc>
        <w:tc>
          <w:tcPr>
            <w:tcW w:w="1530"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843"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643"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Spline</w:t>
            </w:r>
          </w:p>
        </w:tc>
        <w:tc>
          <w:tcPr>
            <w:tcW w:w="1116"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448.5172</w:t>
            </w:r>
          </w:p>
        </w:tc>
      </w:tr>
      <w:tr w:rsidR="005E096F" w:rsidRPr="00F77FE9" w:rsidTr="00C7197F">
        <w:trPr>
          <w:trHeight w:val="300"/>
        </w:trPr>
        <w:tc>
          <w:tcPr>
            <w:tcW w:w="144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2</w:t>
            </w:r>
          </w:p>
        </w:tc>
        <w:tc>
          <w:tcPr>
            <w:tcW w:w="162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153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8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6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Spline</w:t>
            </w:r>
          </w:p>
        </w:tc>
        <w:tc>
          <w:tcPr>
            <w:tcW w:w="1116"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497.7657</w:t>
            </w:r>
          </w:p>
        </w:tc>
      </w:tr>
      <w:tr w:rsidR="005E096F" w:rsidRPr="00F77FE9" w:rsidTr="00C7197F">
        <w:trPr>
          <w:trHeight w:val="300"/>
        </w:trPr>
        <w:tc>
          <w:tcPr>
            <w:tcW w:w="144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Pr>
                <w:rFonts w:cs="Times New Roman"/>
                <w:color w:val="000000"/>
                <w:szCs w:val="24"/>
              </w:rPr>
              <w:t>3</w:t>
            </w:r>
          </w:p>
        </w:tc>
        <w:tc>
          <w:tcPr>
            <w:tcW w:w="162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Included</w:t>
            </w:r>
          </w:p>
        </w:tc>
        <w:tc>
          <w:tcPr>
            <w:tcW w:w="153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Spline</w:t>
            </w:r>
          </w:p>
        </w:tc>
        <w:tc>
          <w:tcPr>
            <w:tcW w:w="8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6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116"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500.3849</w:t>
            </w:r>
          </w:p>
        </w:tc>
      </w:tr>
      <w:tr w:rsidR="005E096F" w:rsidRPr="00F77FE9" w:rsidTr="00C7197F">
        <w:trPr>
          <w:trHeight w:val="300"/>
        </w:trPr>
        <w:tc>
          <w:tcPr>
            <w:tcW w:w="144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Pr>
                <w:rFonts w:cs="Times New Roman"/>
                <w:color w:val="000000"/>
                <w:szCs w:val="24"/>
              </w:rPr>
              <w:t>4</w:t>
            </w:r>
          </w:p>
        </w:tc>
        <w:tc>
          <w:tcPr>
            <w:tcW w:w="162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Included</w:t>
            </w:r>
          </w:p>
        </w:tc>
        <w:tc>
          <w:tcPr>
            <w:tcW w:w="1530"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8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64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NA</w:t>
            </w:r>
          </w:p>
        </w:tc>
        <w:tc>
          <w:tcPr>
            <w:tcW w:w="1116"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510.8561</w:t>
            </w:r>
          </w:p>
        </w:tc>
      </w:tr>
      <w:tr w:rsidR="005E096F" w:rsidRPr="00F77FE9" w:rsidTr="00C7197F">
        <w:trPr>
          <w:trHeight w:val="300"/>
        </w:trPr>
        <w:tc>
          <w:tcPr>
            <w:tcW w:w="1440"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Pr>
                <w:rFonts w:cs="Times New Roman"/>
                <w:color w:val="000000"/>
                <w:szCs w:val="24"/>
              </w:rPr>
              <w:t>5</w:t>
            </w:r>
          </w:p>
        </w:tc>
        <w:tc>
          <w:tcPr>
            <w:tcW w:w="1620"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1530"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Not included</w:t>
            </w:r>
          </w:p>
        </w:tc>
        <w:tc>
          <w:tcPr>
            <w:tcW w:w="843"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Spline</w:t>
            </w:r>
          </w:p>
        </w:tc>
        <w:tc>
          <w:tcPr>
            <w:tcW w:w="1643"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N.I.</w:t>
            </w:r>
          </w:p>
        </w:tc>
        <w:tc>
          <w:tcPr>
            <w:tcW w:w="1116"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cs="Times New Roman"/>
                <w:color w:val="000000"/>
                <w:szCs w:val="24"/>
              </w:rPr>
            </w:pPr>
            <w:r w:rsidRPr="005A13EB">
              <w:rPr>
                <w:rFonts w:cs="Times New Roman"/>
                <w:color w:val="000000"/>
                <w:szCs w:val="24"/>
              </w:rPr>
              <w:t>526.1989</w:t>
            </w:r>
          </w:p>
        </w:tc>
      </w:tr>
      <w:tr w:rsidR="005E096F" w:rsidRPr="00F77FE9" w:rsidTr="00C7197F">
        <w:trPr>
          <w:trHeight w:val="300"/>
        </w:trPr>
        <w:tc>
          <w:tcPr>
            <w:tcW w:w="1440"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6</w:t>
            </w:r>
          </w:p>
        </w:tc>
        <w:tc>
          <w:tcPr>
            <w:tcW w:w="1620"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Included</w:t>
            </w:r>
          </w:p>
        </w:tc>
        <w:tc>
          <w:tcPr>
            <w:tcW w:w="1530"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Factor</w:t>
            </w:r>
          </w:p>
        </w:tc>
        <w:tc>
          <w:tcPr>
            <w:tcW w:w="843"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Spline</w:t>
            </w:r>
          </w:p>
        </w:tc>
        <w:tc>
          <w:tcPr>
            <w:tcW w:w="1643"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Implicit</w:t>
            </w:r>
          </w:p>
        </w:tc>
        <w:tc>
          <w:tcPr>
            <w:tcW w:w="1116" w:type="dxa"/>
            <w:tcBorders>
              <w:top w:val="nil"/>
              <w:left w:val="nil"/>
              <w:bottom w:val="single" w:sz="4" w:space="0" w:color="auto"/>
              <w:right w:val="nil"/>
            </w:tcBorders>
            <w:shd w:val="clear" w:color="auto" w:fill="auto"/>
            <w:noWrap/>
            <w:vAlign w:val="bottom"/>
            <w:hideMark/>
          </w:tcPr>
          <w:p w:rsidR="005E096F" w:rsidRPr="00F77FE9" w:rsidRDefault="005E096F" w:rsidP="00C7197F">
            <w:pPr>
              <w:spacing w:after="0" w:line="240" w:lineRule="auto"/>
              <w:jc w:val="right"/>
              <w:rPr>
                <w:rFonts w:eastAsia="Times New Roman" w:cs="Times New Roman"/>
                <w:color w:val="000000"/>
                <w:szCs w:val="24"/>
              </w:rPr>
            </w:pPr>
            <w:r w:rsidRPr="00F77FE9">
              <w:rPr>
                <w:rFonts w:eastAsia="Times New Roman" w:cs="Times New Roman"/>
                <w:color w:val="000000"/>
                <w:szCs w:val="24"/>
              </w:rPr>
              <w:t>D.N.C.</w:t>
            </w:r>
          </w:p>
        </w:tc>
      </w:tr>
    </w:tbl>
    <w:p w:rsidR="005E096F" w:rsidRDefault="005E096F" w:rsidP="005E096F">
      <w:pPr>
        <w:spacing w:after="100" w:afterAutospacing="1" w:line="240" w:lineRule="auto"/>
      </w:pPr>
    </w:p>
    <w:p w:rsidR="005E096F" w:rsidRDefault="005E096F" w:rsidP="005E096F">
      <w:pPr>
        <w:spacing w:line="259" w:lineRule="auto"/>
        <w:rPr>
          <w:iCs/>
          <w:szCs w:val="18"/>
        </w:rPr>
      </w:pPr>
      <w:r>
        <w:br w:type="page"/>
      </w:r>
    </w:p>
    <w:p w:rsidR="005E096F" w:rsidRDefault="005E096F" w:rsidP="005E096F">
      <w:pPr>
        <w:pStyle w:val="Caption"/>
      </w:pPr>
      <w:bookmarkStart w:id="4" w:name="_Ref106284365"/>
      <w:r>
        <w:lastRenderedPageBreak/>
        <w:t xml:space="preserve">Supplemental Table S </w:t>
      </w:r>
      <w:r>
        <w:fldChar w:fldCharType="begin"/>
      </w:r>
      <w:r>
        <w:instrText xml:space="preserve"> SEQ Supplemental_Table_S \* ARABIC </w:instrText>
      </w:r>
      <w:r>
        <w:fldChar w:fldCharType="separate"/>
      </w:r>
      <w:r>
        <w:rPr>
          <w:noProof/>
        </w:rPr>
        <w:t>3</w:t>
      </w:r>
      <w:r>
        <w:rPr>
          <w:noProof/>
        </w:rPr>
        <w:fldChar w:fldCharType="end"/>
      </w:r>
      <w:bookmarkEnd w:id="4"/>
      <w:r>
        <w:t>. Grid search for random forest model. (</w:t>
      </w:r>
      <w:r w:rsidRPr="005A13EB">
        <w:t>output$exploratory$rf$grid_search[order(output$exploratory$rf$grid_search$rmse),][1:10,]</w:t>
      </w:r>
      <w:r>
        <w:t>)</w:t>
      </w:r>
    </w:p>
    <w:tbl>
      <w:tblPr>
        <w:tblW w:w="9360" w:type="dxa"/>
        <w:tblLook w:val="04A0" w:firstRow="1" w:lastRow="0" w:firstColumn="1" w:lastColumn="0" w:noHBand="0" w:noVBand="1"/>
      </w:tblPr>
      <w:tblGrid>
        <w:gridCol w:w="1141"/>
        <w:gridCol w:w="1273"/>
        <w:gridCol w:w="1503"/>
        <w:gridCol w:w="955"/>
        <w:gridCol w:w="1843"/>
        <w:gridCol w:w="653"/>
        <w:gridCol w:w="75"/>
        <w:gridCol w:w="801"/>
        <w:gridCol w:w="1116"/>
      </w:tblGrid>
      <w:tr w:rsidR="005E096F" w:rsidRPr="005A13EB" w:rsidTr="00C7197F">
        <w:trPr>
          <w:trHeight w:val="300"/>
        </w:trPr>
        <w:tc>
          <w:tcPr>
            <w:tcW w:w="1142"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rPr>
                <w:rFonts w:eastAsia="Times New Roman" w:cs="Times New Roman"/>
                <w:color w:val="000000"/>
                <w:szCs w:val="24"/>
              </w:rPr>
            </w:pPr>
            <w:r w:rsidRPr="005A13EB">
              <w:rPr>
                <w:rFonts w:eastAsia="Times New Roman" w:cs="Times New Roman"/>
                <w:color w:val="000000"/>
                <w:szCs w:val="24"/>
              </w:rPr>
              <w:t>Model ID</w:t>
            </w:r>
          </w:p>
        </w:tc>
        <w:tc>
          <w:tcPr>
            <w:tcW w:w="1274"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Covariates</w:t>
            </w:r>
          </w:p>
        </w:tc>
        <w:tc>
          <w:tcPr>
            <w:tcW w:w="1504"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Temporal</w:t>
            </w:r>
          </w:p>
        </w:tc>
        <w:tc>
          <w:tcPr>
            <w:tcW w:w="955"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Spatial</w:t>
            </w:r>
          </w:p>
        </w:tc>
        <w:tc>
          <w:tcPr>
            <w:tcW w:w="1844"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Pr>
                <w:rFonts w:eastAsia="Times New Roman" w:cs="Times New Roman"/>
                <w:color w:val="000000"/>
                <w:szCs w:val="24"/>
              </w:rPr>
              <w:t>S</w:t>
            </w:r>
            <w:r w:rsidRPr="005A13EB">
              <w:rPr>
                <w:rFonts w:eastAsia="Times New Roman" w:cs="Times New Roman"/>
                <w:color w:val="000000"/>
                <w:szCs w:val="24"/>
              </w:rPr>
              <w:t>patiotemporal</w:t>
            </w:r>
          </w:p>
        </w:tc>
        <w:tc>
          <w:tcPr>
            <w:tcW w:w="728" w:type="dxa"/>
            <w:gridSpan w:val="2"/>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rPr>
                <w:rFonts w:eastAsia="Times New Roman" w:cs="Times New Roman"/>
                <w:color w:val="000000"/>
                <w:szCs w:val="24"/>
              </w:rPr>
            </w:pPr>
            <w:r>
              <w:rPr>
                <w:rFonts w:eastAsia="Times New Roman" w:cs="Times New Roman"/>
                <w:color w:val="000000"/>
                <w:szCs w:val="24"/>
              </w:rPr>
              <w:t>Try</w:t>
            </w:r>
          </w:p>
        </w:tc>
        <w:tc>
          <w:tcPr>
            <w:tcW w:w="801"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rPr>
                <w:rFonts w:eastAsia="Times New Roman" w:cs="Times New Roman"/>
                <w:color w:val="000000"/>
                <w:szCs w:val="24"/>
              </w:rPr>
            </w:pPr>
            <w:r>
              <w:rPr>
                <w:rFonts w:eastAsia="Times New Roman" w:cs="Times New Roman"/>
                <w:color w:val="000000"/>
                <w:szCs w:val="24"/>
              </w:rPr>
              <w:t>Tree</w:t>
            </w:r>
          </w:p>
        </w:tc>
        <w:tc>
          <w:tcPr>
            <w:tcW w:w="1112" w:type="dxa"/>
            <w:tcBorders>
              <w:top w:val="single" w:sz="4" w:space="0" w:color="auto"/>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R.M.S.E.</w:t>
            </w:r>
          </w:p>
        </w:tc>
      </w:tr>
      <w:tr w:rsidR="005E096F" w:rsidRPr="005A13EB" w:rsidTr="00C7197F">
        <w:trPr>
          <w:trHeight w:val="300"/>
        </w:trPr>
        <w:tc>
          <w:tcPr>
            <w:tcW w:w="1142"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1</w:t>
            </w:r>
          </w:p>
        </w:tc>
        <w:tc>
          <w:tcPr>
            <w:tcW w:w="1274"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600</w:t>
            </w:r>
          </w:p>
        </w:tc>
        <w:tc>
          <w:tcPr>
            <w:tcW w:w="1112" w:type="dxa"/>
            <w:tcBorders>
              <w:top w:val="single" w:sz="4" w:space="0" w:color="auto"/>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416.4299</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2</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1000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416.7446</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700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416.7945</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500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417.0357</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5</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5</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500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417.3331</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6</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800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417.6237</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7</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417.8634</w:t>
            </w:r>
          </w:p>
        </w:tc>
      </w:tr>
      <w:tr w:rsidR="005E096F" w:rsidRPr="005A13EB" w:rsidTr="00C7197F">
        <w:trPr>
          <w:trHeight w:val="300"/>
        </w:trPr>
        <w:tc>
          <w:tcPr>
            <w:tcW w:w="114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8</w:t>
            </w:r>
          </w:p>
        </w:tc>
        <w:tc>
          <w:tcPr>
            <w:tcW w:w="127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5</w:t>
            </w:r>
          </w:p>
        </w:tc>
        <w:tc>
          <w:tcPr>
            <w:tcW w:w="876" w:type="dxa"/>
            <w:gridSpan w:val="2"/>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1000</w:t>
            </w:r>
          </w:p>
        </w:tc>
        <w:tc>
          <w:tcPr>
            <w:tcW w:w="1112" w:type="dxa"/>
            <w:tcBorders>
              <w:top w:val="nil"/>
              <w:left w:val="nil"/>
              <w:bottom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418.34</w:t>
            </w:r>
            <w:r>
              <w:rPr>
                <w:rFonts w:eastAsia="Times New Roman" w:cs="Times New Roman"/>
                <w:color w:val="000000"/>
                <w:szCs w:val="24"/>
              </w:rPr>
              <w:t>00</w:t>
            </w:r>
          </w:p>
        </w:tc>
      </w:tr>
      <w:tr w:rsidR="005E096F" w:rsidRPr="005A13EB" w:rsidTr="00C7197F">
        <w:trPr>
          <w:trHeight w:val="300"/>
        </w:trPr>
        <w:tc>
          <w:tcPr>
            <w:tcW w:w="1142"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9</w:t>
            </w:r>
          </w:p>
        </w:tc>
        <w:tc>
          <w:tcPr>
            <w:tcW w:w="1274"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300</w:t>
            </w:r>
          </w:p>
        </w:tc>
        <w:tc>
          <w:tcPr>
            <w:tcW w:w="1112" w:type="dxa"/>
            <w:tcBorders>
              <w:top w:val="nil"/>
              <w:left w:val="nil"/>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418.4207</w:t>
            </w:r>
          </w:p>
        </w:tc>
      </w:tr>
      <w:tr w:rsidR="005E096F" w:rsidRPr="005A13EB" w:rsidTr="00C7197F">
        <w:trPr>
          <w:trHeight w:val="300"/>
        </w:trPr>
        <w:tc>
          <w:tcPr>
            <w:tcW w:w="1142"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10</w:t>
            </w:r>
          </w:p>
        </w:tc>
        <w:tc>
          <w:tcPr>
            <w:tcW w:w="1274"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Included</w:t>
            </w:r>
          </w:p>
        </w:tc>
        <w:tc>
          <w:tcPr>
            <w:tcW w:w="1504"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Not included</w:t>
            </w:r>
          </w:p>
        </w:tc>
        <w:tc>
          <w:tcPr>
            <w:tcW w:w="955"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NA</w:t>
            </w:r>
          </w:p>
        </w:tc>
        <w:tc>
          <w:tcPr>
            <w:tcW w:w="1844"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Spline</w:t>
            </w:r>
          </w:p>
        </w:tc>
        <w:tc>
          <w:tcPr>
            <w:tcW w:w="653"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3</w:t>
            </w:r>
          </w:p>
        </w:tc>
        <w:tc>
          <w:tcPr>
            <w:tcW w:w="876" w:type="dxa"/>
            <w:gridSpan w:val="2"/>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900</w:t>
            </w:r>
          </w:p>
        </w:tc>
        <w:tc>
          <w:tcPr>
            <w:tcW w:w="1112" w:type="dxa"/>
            <w:tcBorders>
              <w:top w:val="nil"/>
              <w:left w:val="nil"/>
              <w:bottom w:val="single" w:sz="4" w:space="0" w:color="auto"/>
              <w:right w:val="nil"/>
            </w:tcBorders>
            <w:shd w:val="clear" w:color="auto" w:fill="auto"/>
            <w:noWrap/>
            <w:vAlign w:val="bottom"/>
            <w:hideMark/>
          </w:tcPr>
          <w:p w:rsidR="005E096F" w:rsidRPr="005A13EB" w:rsidRDefault="005E096F" w:rsidP="00C7197F">
            <w:pPr>
              <w:spacing w:after="0" w:line="240" w:lineRule="auto"/>
              <w:jc w:val="right"/>
              <w:rPr>
                <w:rFonts w:eastAsia="Times New Roman" w:cs="Times New Roman"/>
                <w:color w:val="000000"/>
                <w:szCs w:val="24"/>
              </w:rPr>
            </w:pPr>
            <w:r w:rsidRPr="005A13EB">
              <w:rPr>
                <w:rFonts w:eastAsia="Times New Roman" w:cs="Times New Roman"/>
                <w:color w:val="000000"/>
                <w:szCs w:val="24"/>
              </w:rPr>
              <w:t>418.5007</w:t>
            </w:r>
          </w:p>
        </w:tc>
      </w:tr>
    </w:tbl>
    <w:p w:rsidR="005E096F" w:rsidRPr="005A13EB" w:rsidRDefault="005E096F" w:rsidP="005E096F"/>
    <w:p w:rsidR="00C828DC" w:rsidRDefault="00C828DC">
      <w:bookmarkStart w:id="5" w:name="_GoBack"/>
      <w:bookmarkEnd w:id="5"/>
    </w:p>
    <w:sectPr w:rsidR="00C828DC" w:rsidSect="00F245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1188896"/>
      <w:docPartObj>
        <w:docPartGallery w:val="Page Numbers (Bottom of Page)"/>
        <w:docPartUnique/>
      </w:docPartObj>
    </w:sdtPr>
    <w:sdtEndPr>
      <w:rPr>
        <w:noProof/>
      </w:rPr>
    </w:sdtEndPr>
    <w:sdtContent>
      <w:p w:rsidR="009803CD" w:rsidRDefault="005E096F">
        <w:pPr>
          <w:pStyle w:val="Footer"/>
          <w:jc w:val="center"/>
        </w:pPr>
        <w:r>
          <w:fldChar w:fldCharType="begin"/>
        </w:r>
        <w:r>
          <w:instrText xml:space="preserve"> PAGE   \* MERGEFORMAT </w:instrText>
        </w:r>
        <w:r>
          <w:fldChar w:fldCharType="separate"/>
        </w:r>
        <w:r>
          <w:rPr>
            <w:noProof/>
          </w:rPr>
          <w:t>13</w:t>
        </w:r>
        <w:r>
          <w:rPr>
            <w:noProof/>
          </w:rPr>
          <w:fldChar w:fldCharType="end"/>
        </w:r>
      </w:p>
    </w:sdtContent>
  </w:sdt>
  <w:p w:rsidR="009803CD" w:rsidRDefault="005E096F">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96F"/>
    <w:rsid w:val="00146E19"/>
    <w:rsid w:val="001E2A98"/>
    <w:rsid w:val="002114DC"/>
    <w:rsid w:val="002202A7"/>
    <w:rsid w:val="00464FE4"/>
    <w:rsid w:val="005E096F"/>
    <w:rsid w:val="00687161"/>
    <w:rsid w:val="00760A51"/>
    <w:rsid w:val="00890055"/>
    <w:rsid w:val="008D61BB"/>
    <w:rsid w:val="00C828DC"/>
    <w:rsid w:val="00D47FA0"/>
    <w:rsid w:val="00FB2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E300BE-8F32-4E4E-A1D6-F40A1ADCD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096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5E096F"/>
    <w:pPr>
      <w:keepNext/>
      <w:keepLines/>
      <w:spacing w:before="240" w:after="0"/>
      <w:outlineLvl w:val="0"/>
    </w:pPr>
    <w:rPr>
      <w:rFonts w:eastAsiaTheme="majorEastAsia" w:cstheme="majorBidi"/>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96F"/>
    <w:rPr>
      <w:rFonts w:ascii="Times New Roman" w:eastAsiaTheme="majorEastAsia" w:hAnsi="Times New Roman" w:cstheme="majorBidi"/>
      <w:b/>
      <w:sz w:val="24"/>
      <w:szCs w:val="32"/>
    </w:rPr>
  </w:style>
  <w:style w:type="paragraph" w:styleId="Caption">
    <w:name w:val="caption"/>
    <w:basedOn w:val="Normal"/>
    <w:next w:val="Normal"/>
    <w:uiPriority w:val="35"/>
    <w:unhideWhenUsed/>
    <w:qFormat/>
    <w:rsid w:val="005E096F"/>
    <w:pPr>
      <w:spacing w:after="200"/>
    </w:pPr>
    <w:rPr>
      <w:iCs/>
      <w:szCs w:val="18"/>
    </w:rPr>
  </w:style>
  <w:style w:type="paragraph" w:styleId="Footer">
    <w:name w:val="footer"/>
    <w:basedOn w:val="Normal"/>
    <w:link w:val="FooterChar"/>
    <w:uiPriority w:val="99"/>
    <w:unhideWhenUsed/>
    <w:rsid w:val="005E09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096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977</Words>
  <Characters>5570</Characters>
  <Application>Microsoft Office Word</Application>
  <DocSecurity>0</DocSecurity>
  <Lines>46</Lines>
  <Paragraphs>13</Paragraphs>
  <ScaleCrop>false</ScaleCrop>
  <Company>Oregon State University</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Chasco, Brandon Edward</dc:creator>
  <cp:keywords/>
  <dc:description/>
  <cp:lastModifiedBy>Chasco, Brandon Edward</cp:lastModifiedBy>
  <cp:revision>1</cp:revision>
  <dcterms:created xsi:type="dcterms:W3CDTF">2022-07-12T15:05:00Z</dcterms:created>
  <dcterms:modified xsi:type="dcterms:W3CDTF">2022-07-12T15:05:00Z</dcterms:modified>
</cp:coreProperties>
</file>