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재산목록</w:t>
      </w:r>
    </w:p>
    <w:p>
      <w:r>
        <w:t>신청인: 확인 필요 / 평가 기준일: 확인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rPr>
          <w:tblHeader w:val="true"/>
        </w:trPr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번호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명칭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종류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시가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담보잔액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순가치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면제 인정액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청산가치</w:t>
            </w:r>
          </w:p>
        </w:tc>
        <w:tc>
          <w:tcPr>
            <w:tcW w:type="dxa" w:w="1109"/>
            <w:shd w:fill="E8EEF2"/>
          </w:tcPr>
          <w:p>
            <w:r>
              <w:rPr>
                <w:b/>
                <w:sz w:val="15"/>
              </w:rPr>
              <w:t>평가 출처 / 기준일</w:t>
            </w:r>
          </w:p>
        </w:tc>
      </w:tr>
      <w:tr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109"/>
          </w:tcPr>
          <w:p>
            <w:r>
              <w:rPr>
                <w:sz w:val="15"/>
              </w:rPr>
              <w:t>확인 필요</w:t>
            </w:r>
          </w:p>
        </w:tc>
      </w:tr>
    </w:tbl>
    <w:p/>
    <w:p>
      <w:r>
        <w:t>청산가치 합계: 확인 필요</w:t>
      </w:r>
    </w:p>
    <w:p>
      <w:r>
        <w:t>시가·순가치·법적 청산가치는 구분하여 기재합니다. 면제 인정액은 담당자가 근거를 확인한 입력값이며 실제 법원의 결정을 뜻하지 않습니다.</w:t>
      </w:r>
    </w:p>
    <w:p>
      <w:r>
        <w:t>압류·가압류 및 권리관계: 확인 필요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재산목록</dc:title>
  <dc:subject>D5101 · retry-court-mapping-2026-10-26.1</dc:subject>
  <dc:creator>Firm Engine prototype retry</dc:creator>
  <cp:keywords/>
  <dc:description>공개 빈 서식 기반 필드 재구성. 전문가 매핑 검수 별도.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