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개인회생채권자목록</w:t>
      </w:r>
    </w:p>
    <w:p>
      <w:r>
        <w:t>채무자: 확인 필요 / 채권현재액 기준일: 확인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tblHeader w:val="true"/>
        </w:trPr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번호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채권자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계약 식별자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채권 원인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주소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원금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이자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담보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권리 / 다툼</w:t>
            </w:r>
          </w:p>
        </w:tc>
      </w:tr>
      <w:tr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E8EEF2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4989"/>
            <w:shd w:fill="E8EEF2"/>
          </w:tcPr>
          <w:p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원금 합계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이자 합계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4989"/>
          </w:tcPr>
          <w:p>
            <w:r>
              <w:rPr>
                <w:sz w:val="18"/>
              </w:rPr>
              <w:t>채권현재액 합계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확인 필요</w:t>
            </w:r>
          </w:p>
        </w:tc>
      </w:tr>
    </w:tbl>
    <w:p/>
    <w:p>
      <w:r>
        <w:t>동일 금융기관의 복수 계약은 계약 식별자별로 구분하였습니다. 담보·우선권·다툼은 각각 별도 축으로 검토합니다.</w:t>
      </w:r>
    </w:p>
    <w:p>
      <w:r>
        <w:t>채권자별 산정근거 및 부속서류는 증빙목록·조건부 부속표를 함께 대조하여 확인합니다.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개인회생채권자목록</dc:title>
  <dc:subject>D5106 · retry-court-mapping-2026-10-26.1</dc:subject>
  <dc:creator>Firm Engine prototype retry</dc:creator>
  <cp:keywords/>
  <dc:description>공개 빈 서식 기반 필드 재구성. 전문가 매핑 검수 별도.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