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변제계획안</w:t>
      </w:r>
    </w:p>
    <w:p>
      <w:r>
        <w:t>사건: 확인 필요 개인회생 / 채무자: 확인 필요</w:t>
      </w:r>
    </w:p>
    <w:p>
      <w:pPr>
        <w:pStyle w:val="Heading2"/>
      </w:pPr>
      <w:r>
        <w:t>1. 변제기간</w:t>
      </w:r>
    </w:p>
    <w:p>
      <w:r>
        <w:t>확인 필요부터 확인 필요까지 확인 필요개월간 변제할 계획입니다.</w:t>
      </w:r>
    </w:p>
    <w:p>
      <w:pPr>
        <w:pStyle w:val="Heading2"/>
      </w:pPr>
      <w:r>
        <w:t>2. 변제에 제공되는 소득 또는 재산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월 평균 순수입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인정 생계비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별도 공제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월 가용소득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월 변제예정액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변제횟수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명목 총변제예정액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</w:tr>
    </w:tbl>
    <w:p/>
    <w:p>
      <w:r>
        <w:t>월 회생위원 보수 및 비용: 확인 필요. 생계비와 공제 항목의 중복 여부를 확인합니다.</w:t>
      </w:r>
    </w:p>
    <w:p>
      <w:pPr>
        <w:pStyle w:val="Heading2"/>
      </w:pPr>
      <w:r>
        <w:t>3. 재단채권·우선권·별제권 및 미확정채권</w:t>
      </w:r>
    </w:p>
    <w:p>
      <w:r>
        <w:t>등록 채권 중 담보·세금·다툼 등 특수분류가 표시된 항목은 없습니다. 담당자는 누락 여부를 최종 확인합니다.</w:t>
      </w:r>
    </w:p>
    <w:p>
      <w:pPr>
        <w:pStyle w:val="Heading2"/>
      </w:pPr>
      <w:r>
        <w:t>4. 일반 개인회생채권에 대한 변제</w:t>
      </w:r>
    </w:p>
    <w:p>
      <w:r>
        <w:t>확정 입력값과 적용 산식 판본 확인 필요에 따른 변제예정 내역은 다음 표와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번호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채권자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계약 식별자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기준 채권액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월 변제예정액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총 변제예정액</w:t>
            </w:r>
          </w:p>
        </w:tc>
        <w:tc>
          <w:tcPr>
            <w:tcW w:type="dxa" w:w="1425"/>
            <w:shd w:fill="E8EEF2"/>
          </w:tcPr>
          <w:p>
            <w:r>
              <w:rPr>
                <w:b/>
                <w:sz w:val="15"/>
              </w:rPr>
              <w:t>확정 / 유보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검증된 배분 결과 없음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425"/>
          </w:tcPr>
          <w:p>
            <w:r>
              <w:rPr>
                <w:sz w:val="15"/>
              </w:rPr>
              <w:t>계산 조건 확인</w:t>
            </w:r>
          </w:p>
        </w:tc>
      </w:tr>
    </w:tbl>
    <w:p/>
    <w:p>
      <w:r>
        <w:t>총채무 대비 명목 변제율: 확인 필요%. 원금 기준 또는 현재가치 변제율과 구분합니다.</w:t>
      </w:r>
    </w:p>
    <w:p>
      <w:pPr>
        <w:pStyle w:val="Heading2"/>
      </w:pPr>
      <w:r>
        <w:t>5. 청산가치와의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청산가치</w:t>
            </w:r>
          </w:p>
        </w:tc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명목 총변제예정액</w:t>
            </w:r>
          </w:p>
        </w:tc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현재가치</w:t>
            </w:r>
          </w:p>
        </w:tc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비교 기준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할인율·기준일이 없는 현재가치는 미산정</w:t>
            </w:r>
          </w:p>
        </w:tc>
      </w:tr>
    </w:tbl>
    <w:p/>
    <w:p>
      <w:pPr>
        <w:pStyle w:val="Heading2"/>
      </w:pPr>
      <w:r>
        <w:t>6. 변제금 임치 및 지급</w:t>
      </w:r>
    </w:p>
    <w:p>
      <w:r>
        <w:t>매월 납입일: 확인 필요. 회생위원 계좌는 개시결정 시 통지받은 뒤 기재합니다. 현재 신청 단계에서 알 수 없는 계좌를 임의로 생성하지 않습니다.</w:t>
      </w:r>
    </w:p>
    <w:p>
      <w:pPr>
        <w:pStyle w:val="Heading2"/>
      </w:pPr>
      <w:r>
        <w:t>7. 기타 사항</w:t>
      </w:r>
    </w:p>
    <w:p>
      <w:r>
        <w:t>확인 필요</w:t>
      </w:r>
    </w:p>
    <w:p>
      <w:r>
        <w:t>신청일: 확인 필요</w:t>
      </w:r>
    </w:p>
    <w:p>
      <w:r>
        <w:t>신청인 확인 필요  (서명 또는 날인: ____________________)</w:t>
      </w:r>
    </w:p>
    <w:p>
      <w:r>
        <w:t>확인 필요 귀중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변제계획안</dc:title>
  <dc:subject>D5110 · retry-court-mapping-2026-10-26.1</dc:subject>
  <dc:creator>Firm Engine prototype retry</dc:creator>
  <cp:keywords/>
  <dc:description>공개 빈 서식 기반 필드 재구성. 전문가 매핑 검수 별도.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