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채권자목록 부속서류 3 · 전부명령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채무 기준일</w:t>
            </w:r>
          </w:p>
        </w:tc>
        <w:tc>
          <w:tcPr>
            <w:tcW w:type="dxa" w:w="4876"/>
          </w:tcPr>
          <w:p>
            <w:r>
              <w:t>{{debt_as_of}}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3251"/>
          </w:tcPr>
          <w:p>
            <w:r>
              <w:t>채권번호·채권자</w:t>
            </w:r>
          </w:p>
        </w:tc>
        <w:tc>
          <w:tcPr>
            <w:tcW w:type="dxa" w:w="3251"/>
          </w:tcPr>
          <w:p>
            <w:r>
              <w:t>채권액 원금 / 이자</w:t>
            </w:r>
          </w:p>
        </w:tc>
        <w:tc>
          <w:tcPr>
            <w:tcW w:type="dxa" w:w="3251"/>
          </w:tcPr>
          <w:p>
            <w:r>
              <w:t>전부명령의 내용·효력</w:t>
            </w:r>
          </w:p>
        </w:tc>
      </w:tr>
      <w:tr>
        <w:tc>
          <w:tcPr>
            <w:tcW w:type="dxa" w:w="3251"/>
          </w:tcPr>
          <w:p>
            <w:r>
              <w:t>{{assignment.number}} / {{assignment.entity}}</w:t>
            </w:r>
          </w:p>
        </w:tc>
        <w:tc>
          <w:tcPr>
            <w:tcW w:type="dxa" w:w="3251"/>
          </w:tcPr>
          <w:p>
            <w:r>
              <w:t>{{assignment.principal}} / {{assignment.interest}}</w:t>
            </w:r>
          </w:p>
        </w:tc>
        <w:tc>
          <w:tcPr>
            <w:tcW w:type="dxa" w:w="3251"/>
          </w:tcPr>
          <w:p>
            <w:r>
              <w:t>{{assignment.assignment_order}}</w:t>
            </w:r>
          </w:p>
        </w:tc>
      </w:tr>
    </w:tbl>
    <w:p/>
    <w:p>
      <w:r>
        <w:t>채권번호는 본문 채권자목록과 일치시켜야 합니다. 담보·확정성·전부명령의 법적 효과는 별도로 검토하며 채권자 이름만으로 선택하지 않습니다.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ANNEX_ASSIGNMENT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