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재산별 평가·청산가치 산정 부속명세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p>
      <w:r>
        <w:t>사건별 평가근거를 정리하는 보조 서식입니다. 독립된 공식 전산양식으로 표시하지 않으며 제출 범위는 법원 양식·보정명령과 대조합니다.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채무자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50"/>
          </w:tcPr>
          <w:p>
            <w:r>
              <w:t>재산·소유자·지분</w:t>
            </w:r>
          </w:p>
        </w:tc>
        <w:tc>
          <w:tcPr>
            <w:tcW w:type="dxa" w:w="1950"/>
          </w:tcPr>
          <w:p>
            <w:r>
              <w:t>기준일·평가방법</w:t>
            </w:r>
          </w:p>
        </w:tc>
        <w:tc>
          <w:tcPr>
            <w:tcW w:type="dxa" w:w="1950"/>
          </w:tcPr>
          <w:p>
            <w:r>
              <w:t>총가액 / 담보잔액</w:t>
            </w:r>
          </w:p>
        </w:tc>
        <w:tc>
          <w:tcPr>
            <w:tcW w:type="dxa" w:w="1950"/>
          </w:tcPr>
          <w:p>
            <w:r>
              <w:t>보호·공제 근거 / 청산 반영액</w:t>
            </w:r>
          </w:p>
        </w:tc>
        <w:tc>
          <w:tcPr>
            <w:tcW w:type="dxa" w:w="1950"/>
          </w:tcPr>
          <w:p>
            <w:r>
              <w:t>증빙</w:t>
            </w:r>
          </w:p>
        </w:tc>
      </w:tr>
      <w:tr>
        <w:tc>
          <w:tcPr>
            <w:tcW w:type="dxa" w:w="1950"/>
          </w:tcPr>
          <w:p>
            <w:r>
              <w:t>{{valuation.label}} / {{valuation.owner}} / {{valuation.share}}</w:t>
            </w:r>
          </w:p>
        </w:tc>
        <w:tc>
          <w:tcPr>
            <w:tcW w:type="dxa" w:w="1950"/>
          </w:tcPr>
          <w:p>
            <w:r>
              <w:t>{{valuation.as_of}} / {{valuation.method}}</w:t>
            </w:r>
          </w:p>
        </w:tc>
        <w:tc>
          <w:tcPr>
            <w:tcW w:type="dxa" w:w="1950"/>
          </w:tcPr>
          <w:p>
            <w:r>
              <w:t>{{valuation.gross}} / {{valuation.secured_balance}}</w:t>
            </w:r>
          </w:p>
        </w:tc>
        <w:tc>
          <w:tcPr>
            <w:tcW w:type="dxa" w:w="1950"/>
          </w:tcPr>
          <w:p>
            <w:r>
              <w:t>{{valuation.protection_basis}} / {{valuation.liquidation_contribution}}</w:t>
            </w:r>
          </w:p>
        </w:tc>
        <w:tc>
          <w:tcPr>
            <w:tcW w:type="dxa" w:w="1950"/>
          </w:tcPr>
          <w:p>
            <w:r>
              <w:t>{{valuation.evidence}}</w:t>
            </w:r>
          </w:p>
        </w:tc>
      </w:tr>
    </w:tbl>
    <w:p/>
    <w:p>
      <w:pPr>
        <w:pStyle w:val="Heading1"/>
      </w:pPr>
      <w:r>
        <w:t>처분 전후 자산과 대금 추적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50"/>
          </w:tcPr>
          <w:p>
            <w:r>
              <w:t>재산</w:t>
            </w:r>
          </w:p>
        </w:tc>
        <w:tc>
          <w:tcPr>
            <w:tcW w:type="dxa" w:w="1950"/>
          </w:tcPr>
          <w:p>
            <w:r>
              <w:t>처분가 / 담보상환 / 비용</w:t>
            </w:r>
          </w:p>
        </w:tc>
        <w:tc>
          <w:tcPr>
            <w:tcW w:type="dxa" w:w="1950"/>
          </w:tcPr>
          <w:p>
            <w:r>
              <w:t>순처분대금</w:t>
            </w:r>
          </w:p>
        </w:tc>
        <w:tc>
          <w:tcPr>
            <w:tcW w:type="dxa" w:w="1950"/>
          </w:tcPr>
          <w:p>
            <w:r>
              <w:t>대체재산·입금계좌 / 변제투입</w:t>
            </w:r>
          </w:p>
        </w:tc>
        <w:tc>
          <w:tcPr>
            <w:tcW w:type="dxa" w:w="1950"/>
          </w:tcPr>
          <w:p>
            <w:r>
              <w:t>기준·출처</w:t>
            </w:r>
          </w:p>
        </w:tc>
      </w:tr>
      <w:tr>
        <w:tc>
          <w:tcPr>
            <w:tcW w:type="dxa" w:w="1950"/>
          </w:tcPr>
          <w:p>
            <w:r>
              <w:t>{{disposal.label}}</w:t>
            </w:r>
          </w:p>
        </w:tc>
        <w:tc>
          <w:tcPr>
            <w:tcW w:type="dxa" w:w="1950"/>
          </w:tcPr>
          <w:p>
            <w:r>
              <w:t>{{disposal.sale_price}} / {{disposal.secured_debt_paid}} / {{disposal.costs}}</w:t>
            </w:r>
          </w:p>
        </w:tc>
        <w:tc>
          <w:tcPr>
            <w:tcW w:type="dxa" w:w="1950"/>
          </w:tcPr>
          <w:p>
            <w:r>
              <w:t>{{disposal.net_proceeds}}</w:t>
            </w:r>
          </w:p>
        </w:tc>
        <w:tc>
          <w:tcPr>
            <w:tcW w:type="dxa" w:w="1950"/>
          </w:tcPr>
          <w:p>
            <w:r>
              <w:t>{{disposal.successor_asset_ids}} / {{disposal.payment_amount}}</w:t>
            </w:r>
          </w:p>
        </w:tc>
        <w:tc>
          <w:tcPr>
            <w:tcW w:type="dxa" w:w="1950"/>
          </w:tcPr>
          <w:p>
            <w:r>
              <w:t>{{disposal.source_ids}}</w:t>
            </w:r>
          </w:p>
        </w:tc>
      </w:tr>
    </w:tbl>
    <w:p/>
    <w:p>
      <w:r>
        <w:t>처분된 재산을 삭제하는 것만으로 청산가치를 줄이지 않습니다. 처분대금·남은 권리·대체재산과 변제투입액을 함께 대조합니다.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ASSET_VALUATION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